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0B1F" w14:textId="77777777" w:rsidR="00D21EA2" w:rsidRPr="003A3CEF" w:rsidRDefault="00D21EA2">
      <w:pPr>
        <w:pStyle w:val="BodyText"/>
        <w:spacing w:before="61"/>
        <w:ind w:left="0"/>
        <w:rPr>
          <w:sz w:val="28"/>
        </w:rPr>
      </w:pPr>
    </w:p>
    <w:p w14:paraId="495570D7" w14:textId="77777777" w:rsidR="00D21EA2" w:rsidRPr="003A3CEF" w:rsidRDefault="00531A88">
      <w:pPr>
        <w:spacing w:before="1"/>
        <w:ind w:left="1691" w:right="1686"/>
        <w:jc w:val="center"/>
        <w:rPr>
          <w:b/>
          <w:sz w:val="28"/>
        </w:rPr>
      </w:pPr>
      <w:r>
        <w:rPr>
          <w:b/>
          <w:sz w:val="28"/>
        </w:rPr>
        <w:t>Liittovaltion ympäristövirasto</w:t>
      </w:r>
    </w:p>
    <w:p w14:paraId="6DD6B401" w14:textId="77777777" w:rsidR="00D21EA2" w:rsidRPr="003A3CEF" w:rsidRDefault="00D21EA2">
      <w:pPr>
        <w:pStyle w:val="BodyText"/>
        <w:spacing w:before="107"/>
        <w:ind w:left="0"/>
        <w:rPr>
          <w:b/>
          <w:sz w:val="28"/>
        </w:rPr>
      </w:pPr>
    </w:p>
    <w:p w14:paraId="6F078E37" w14:textId="4BD687E2" w:rsidR="00D21EA2" w:rsidRPr="003A3CEF" w:rsidRDefault="00531A88" w:rsidP="00C752E8">
      <w:pPr>
        <w:spacing w:before="1" w:line="225" w:lineRule="exact"/>
        <w:ind w:left="1691" w:right="1687"/>
        <w:jc w:val="center"/>
        <w:rPr>
          <w:b/>
          <w:bCs/>
          <w:sz w:val="20"/>
        </w:rPr>
      </w:pPr>
      <w:r>
        <w:rPr>
          <w:b/>
          <w:sz w:val="20"/>
        </w:rPr>
        <w:t>Neljäs muutos</w:t>
      </w:r>
      <w:r>
        <w:rPr>
          <w:b/>
          <w:sz w:val="20"/>
        </w:rPr>
        <w:br/>
        <w:t>uudelleenlaadittuun ilmoitukseen</w:t>
      </w:r>
      <w:r>
        <w:rPr>
          <w:b/>
          <w:sz w:val="20"/>
        </w:rPr>
        <w:br/>
        <w:t>juomaveden kanssa kosketuksiin joutuvien metallisten materiaalien</w:t>
      </w:r>
      <w:r>
        <w:rPr>
          <w:b/>
          <w:sz w:val="20"/>
        </w:rPr>
        <w:br/>
        <w:t>arviointiperustasta</w:t>
      </w:r>
    </w:p>
    <w:p w14:paraId="0FE7CF9E" w14:textId="3A56FB14" w:rsidR="00D21EA2" w:rsidRPr="003A3CEF" w:rsidRDefault="00531A88">
      <w:pPr>
        <w:spacing w:line="221" w:lineRule="exact"/>
        <w:ind w:left="1691" w:right="1685"/>
        <w:jc w:val="center"/>
        <w:rPr>
          <w:b/>
          <w:bCs/>
          <w:sz w:val="20"/>
        </w:rPr>
      </w:pPr>
      <w:r>
        <w:rPr>
          <w:b/>
          <w:sz w:val="20"/>
        </w:rPr>
        <w:t>(metallien arviointiperusta)</w:t>
      </w:r>
      <w:r w:rsidR="00C752E8" w:rsidRPr="003A3CEF">
        <w:rPr>
          <w:rStyle w:val="FootnoteReference"/>
          <w:b/>
          <w:bCs/>
          <w:sz w:val="20"/>
        </w:rPr>
        <w:footnoteReference w:id="1"/>
      </w:r>
      <w:r>
        <w:rPr>
          <w:b/>
          <w:sz w:val="20"/>
          <w:vertAlign w:val="superscript"/>
        </w:rPr>
        <w:t xml:space="preserve">, </w:t>
      </w:r>
      <w:r w:rsidR="00C752E8" w:rsidRPr="003A3CEF">
        <w:rPr>
          <w:rStyle w:val="FootnoteReference"/>
          <w:b/>
          <w:bCs/>
          <w:sz w:val="20"/>
        </w:rPr>
        <w:footnoteReference w:id="2"/>
      </w:r>
    </w:p>
    <w:p w14:paraId="4B1488C9" w14:textId="77777777" w:rsidR="00D21EA2" w:rsidRPr="003A3CEF" w:rsidRDefault="00531A88">
      <w:pPr>
        <w:pStyle w:val="BodyText"/>
        <w:spacing w:before="221"/>
        <w:ind w:left="1691" w:right="1686"/>
        <w:jc w:val="center"/>
      </w:pPr>
      <w:r>
        <w:t>Annettu 10 päivänä kesäkuuta 2024</w:t>
      </w:r>
    </w:p>
    <w:p w14:paraId="6DD05D2F" w14:textId="77777777" w:rsidR="00D21EA2" w:rsidRPr="003A3CEF" w:rsidRDefault="00D21EA2">
      <w:pPr>
        <w:pStyle w:val="BodyText"/>
        <w:spacing w:before="17"/>
        <w:ind w:left="0"/>
      </w:pPr>
    </w:p>
    <w:p w14:paraId="6D93CFEE" w14:textId="77777777" w:rsidR="00D21EA2" w:rsidRPr="003A3CEF" w:rsidRDefault="00531A88">
      <w:pPr>
        <w:pStyle w:val="BodyText"/>
        <w:spacing w:before="0"/>
        <w:ind w:left="1691" w:right="1687"/>
        <w:jc w:val="center"/>
      </w:pPr>
      <w:r>
        <w:t>I.</w:t>
      </w:r>
    </w:p>
    <w:p w14:paraId="5A9CC10A" w14:textId="77777777" w:rsidR="00D21EA2" w:rsidRPr="003A3CEF" w:rsidRDefault="00531A88">
      <w:pPr>
        <w:pStyle w:val="BodyText"/>
        <w:ind w:left="4433"/>
      </w:pPr>
      <w:r>
        <w:t>Muutokset</w:t>
      </w:r>
    </w:p>
    <w:p w14:paraId="4AA685E8" w14:textId="77777777" w:rsidR="00D21EA2" w:rsidRPr="003A3CEF" w:rsidRDefault="00531A88">
      <w:pPr>
        <w:pStyle w:val="ListParagraph"/>
        <w:numPr>
          <w:ilvl w:val="0"/>
          <w:numId w:val="4"/>
        </w:numPr>
        <w:tabs>
          <w:tab w:val="left" w:pos="435"/>
        </w:tabs>
        <w:spacing w:before="75"/>
        <w:ind w:hanging="216"/>
        <w:jc w:val="left"/>
        <w:rPr>
          <w:sz w:val="18"/>
        </w:rPr>
      </w:pPr>
      <w:r>
        <w:rPr>
          <w:sz w:val="18"/>
        </w:rPr>
        <w:t>Korvataan 1 kohdan ensimmäinen alakohta seuraavasti:</w:t>
      </w:r>
    </w:p>
    <w:p w14:paraId="55EF1C5A" w14:textId="7C931817" w:rsidR="00D21EA2" w:rsidRPr="003A3CEF" w:rsidRDefault="00531A88" w:rsidP="003A3CEF">
      <w:pPr>
        <w:pStyle w:val="BodyText"/>
        <w:spacing w:line="252" w:lineRule="auto"/>
      </w:pPr>
      <w:r>
        <w:t xml:space="preserve">Juomaveden tuotantoon, käsittelyyn tai jakeluun tarkoitettujen laitosten kunnostamisessa tai kunnossapidossa käytettävät aineet ja materiaalit, jotka ovat </w:t>
      </w:r>
      <w:r>
        <w:t>kosketuksissa juomaveden kanssa, eivät saa juomavesiasetuksen (</w:t>
      </w:r>
      <w:proofErr w:type="spellStart"/>
      <w:r>
        <w:t>TrinkwV</w:t>
      </w:r>
      <w:proofErr w:type="spellEnd"/>
      <w:r>
        <w:t>) 14 §:n mukaisesti</w:t>
      </w:r>
    </w:p>
    <w:p w14:paraId="511F9DCF" w14:textId="77777777" w:rsidR="00D21EA2" w:rsidRPr="003A3CEF" w:rsidRDefault="00531A88">
      <w:pPr>
        <w:pStyle w:val="ListParagraph"/>
        <w:numPr>
          <w:ilvl w:val="1"/>
          <w:numId w:val="4"/>
        </w:numPr>
        <w:tabs>
          <w:tab w:val="left" w:pos="675"/>
        </w:tabs>
        <w:spacing w:before="75"/>
        <w:ind w:left="675" w:hanging="209"/>
        <w:rPr>
          <w:sz w:val="18"/>
        </w:rPr>
      </w:pPr>
      <w:r>
        <w:rPr>
          <w:sz w:val="18"/>
        </w:rPr>
        <w:t>vähentää suoraan tai välillisesti ihmisten terveyden suojelua;</w:t>
      </w:r>
    </w:p>
    <w:p w14:paraId="44F5E45E" w14:textId="77777777" w:rsidR="00D21EA2" w:rsidRPr="003A3CEF" w:rsidRDefault="00531A88">
      <w:pPr>
        <w:pStyle w:val="ListParagraph"/>
        <w:numPr>
          <w:ilvl w:val="1"/>
          <w:numId w:val="4"/>
        </w:numPr>
        <w:tabs>
          <w:tab w:val="left" w:pos="675"/>
        </w:tabs>
        <w:spacing w:before="75"/>
        <w:ind w:left="675" w:hanging="219"/>
        <w:rPr>
          <w:sz w:val="18"/>
        </w:rPr>
      </w:pPr>
      <w:r>
        <w:rPr>
          <w:sz w:val="18"/>
        </w:rPr>
        <w:t>heikentää veden väriä, hajua tai makua;</w:t>
      </w:r>
    </w:p>
    <w:p w14:paraId="2846BFA5" w14:textId="77777777" w:rsidR="00D21EA2" w:rsidRPr="003A3CEF" w:rsidRDefault="00531A88">
      <w:pPr>
        <w:pStyle w:val="ListParagraph"/>
        <w:numPr>
          <w:ilvl w:val="1"/>
          <w:numId w:val="4"/>
        </w:numPr>
        <w:tabs>
          <w:tab w:val="left" w:pos="675"/>
        </w:tabs>
        <w:spacing w:before="76"/>
        <w:ind w:left="675" w:hanging="209"/>
        <w:rPr>
          <w:sz w:val="18"/>
        </w:rPr>
      </w:pPr>
      <w:r>
        <w:rPr>
          <w:sz w:val="18"/>
        </w:rPr>
        <w:t xml:space="preserve">edistää mikro-organismien lisääntymistä tai </w:t>
      </w:r>
    </w:p>
    <w:p w14:paraId="3D32DA15" w14:textId="77777777" w:rsidR="00D21EA2" w:rsidRPr="003A3CEF" w:rsidRDefault="00531A88">
      <w:pPr>
        <w:pStyle w:val="ListParagraph"/>
        <w:numPr>
          <w:ilvl w:val="1"/>
          <w:numId w:val="4"/>
        </w:numPr>
        <w:tabs>
          <w:tab w:val="left" w:pos="676"/>
        </w:tabs>
        <w:spacing w:before="75" w:line="249" w:lineRule="auto"/>
        <w:ind w:right="106" w:hanging="220"/>
        <w:rPr>
          <w:sz w:val="18"/>
        </w:rPr>
      </w:pPr>
      <w:r>
        <w:rPr>
          <w:sz w:val="18"/>
        </w:rPr>
        <w:t xml:space="preserve">vapauttaa aineita </w:t>
      </w:r>
      <w:r>
        <w:rPr>
          <w:sz w:val="18"/>
        </w:rPr>
        <w:t>veteen suurempia määriä kuin on väistämätöntä, jos ne ovat yleisesti hyväksyttyjen tekniikan sääntöjen mukaisia.</w:t>
      </w:r>
    </w:p>
    <w:p w14:paraId="62E539DC" w14:textId="77777777" w:rsidR="00D21EA2" w:rsidRPr="003A3CEF" w:rsidRDefault="00531A88">
      <w:pPr>
        <w:pStyle w:val="ListParagraph"/>
        <w:numPr>
          <w:ilvl w:val="0"/>
          <w:numId w:val="4"/>
        </w:numPr>
        <w:tabs>
          <w:tab w:val="left" w:pos="435"/>
        </w:tabs>
        <w:spacing w:before="67"/>
        <w:ind w:hanging="216"/>
        <w:jc w:val="left"/>
        <w:rPr>
          <w:sz w:val="18"/>
        </w:rPr>
      </w:pPr>
      <w:r>
        <w:rPr>
          <w:sz w:val="18"/>
        </w:rPr>
        <w:t>Korvataan 1 kohdan toinen alakohta seuraavasti:</w:t>
      </w:r>
    </w:p>
    <w:p w14:paraId="0EE98BC9" w14:textId="77777777" w:rsidR="00D21EA2" w:rsidRPr="003A3CEF" w:rsidRDefault="00531A88">
      <w:pPr>
        <w:pStyle w:val="BodyText"/>
        <w:spacing w:before="76" w:line="249" w:lineRule="auto"/>
      </w:pPr>
      <w:r>
        <w:t>Tässä juomavesiasetuksen 15 §:n 1 momentin mukaisessa arviointiperustassa täsmennetään edellä mainitut yleiset hygieniavaatimukset, jotka koskevat soveltamisalaan kuuluvia metallisia materiaaleja.</w:t>
      </w:r>
    </w:p>
    <w:p w14:paraId="30A44FD9" w14:textId="77777777" w:rsidR="00D21EA2" w:rsidRPr="003A3CEF" w:rsidRDefault="00531A88">
      <w:pPr>
        <w:pStyle w:val="ListParagraph"/>
        <w:numPr>
          <w:ilvl w:val="0"/>
          <w:numId w:val="4"/>
        </w:numPr>
        <w:tabs>
          <w:tab w:val="left" w:pos="435"/>
        </w:tabs>
        <w:spacing w:before="67"/>
        <w:ind w:hanging="216"/>
        <w:jc w:val="left"/>
        <w:rPr>
          <w:sz w:val="18"/>
        </w:rPr>
      </w:pPr>
      <w:r>
        <w:rPr>
          <w:sz w:val="18"/>
        </w:rPr>
        <w:t>Korvataan 1 kohdan kolmannen alakohdan ensimmäinen virke se</w:t>
      </w:r>
      <w:r>
        <w:rPr>
          <w:sz w:val="18"/>
        </w:rPr>
        <w:t>uraavasti:</w:t>
      </w:r>
    </w:p>
    <w:p w14:paraId="2A9809A8" w14:textId="77777777" w:rsidR="00D21EA2" w:rsidRPr="003A3CEF" w:rsidRDefault="00531A88">
      <w:pPr>
        <w:pStyle w:val="BodyText"/>
        <w:spacing w:line="249" w:lineRule="auto"/>
      </w:pPr>
      <w:r>
        <w:t>Arviointiperustassa on liitteenä lopullinen metallisia materiaaleja koskeva sallittujen aineiden luettelo (juomavesiasetuksen 15 §:n 3 momentin 3 kohta).</w:t>
      </w:r>
    </w:p>
    <w:p w14:paraId="25B732FF" w14:textId="77777777" w:rsidR="00D21EA2" w:rsidRPr="003A3CEF" w:rsidRDefault="00531A88">
      <w:pPr>
        <w:pStyle w:val="ListParagraph"/>
        <w:numPr>
          <w:ilvl w:val="0"/>
          <w:numId w:val="4"/>
        </w:numPr>
        <w:tabs>
          <w:tab w:val="left" w:pos="435"/>
        </w:tabs>
        <w:spacing w:before="67"/>
        <w:ind w:hanging="216"/>
        <w:jc w:val="left"/>
        <w:rPr>
          <w:sz w:val="18"/>
        </w:rPr>
      </w:pPr>
      <w:r>
        <w:rPr>
          <w:sz w:val="18"/>
        </w:rPr>
        <w:t>Korvataan 1 kohdan neljännen alakohdan ensimmäinen virke seuraavasti:</w:t>
      </w:r>
    </w:p>
    <w:p w14:paraId="002C26A0" w14:textId="5F4C4828" w:rsidR="00D21EA2" w:rsidRPr="003A3CEF" w:rsidRDefault="00531A88">
      <w:pPr>
        <w:pStyle w:val="BodyText"/>
        <w:spacing w:before="76" w:line="252" w:lineRule="auto"/>
      </w:pPr>
      <w:r>
        <w:t>Juomaveden kanssa kos</w:t>
      </w:r>
      <w:r>
        <w:t>ketuksissa olevien tuotteiden valmistajien on ilmoitettava, täyttävätkö niiden tuotteet juomavesiasetuksen 15 §:n mukaiset arviointiperiaatteiden vaatimukset.</w:t>
      </w:r>
    </w:p>
    <w:p w14:paraId="38D26E44" w14:textId="77777777" w:rsidR="00D21EA2" w:rsidRPr="003A3CEF" w:rsidRDefault="00531A88">
      <w:pPr>
        <w:pStyle w:val="ListParagraph"/>
        <w:numPr>
          <w:ilvl w:val="0"/>
          <w:numId w:val="4"/>
        </w:numPr>
        <w:tabs>
          <w:tab w:val="left" w:pos="435"/>
        </w:tabs>
        <w:spacing w:before="63"/>
        <w:ind w:hanging="216"/>
        <w:jc w:val="left"/>
        <w:rPr>
          <w:sz w:val="18"/>
        </w:rPr>
      </w:pPr>
      <w:r>
        <w:rPr>
          <w:sz w:val="18"/>
        </w:rPr>
        <w:t>Korvataan 1 kohdan kuudennen alakohdan ensimmäinen virke seuraavasti:</w:t>
      </w:r>
    </w:p>
    <w:p w14:paraId="7BDCEBA3" w14:textId="77777777" w:rsidR="00D21EA2" w:rsidRPr="003A3CEF" w:rsidRDefault="00531A88">
      <w:pPr>
        <w:pStyle w:val="BodyText"/>
        <w:spacing w:line="252" w:lineRule="auto"/>
        <w:ind w:right="124"/>
      </w:pPr>
      <w:r>
        <w:t>Juomavesiasetuksen 15 §:n 2</w:t>
      </w:r>
      <w:r>
        <w:t xml:space="preserve"> momentin 2 kohdan mukaan arviointiperustaa sovelletaan kahden vuoden ajan sen julkaisemisesta (eli 10 päivästä huhtikuuta 2017).</w:t>
      </w:r>
    </w:p>
    <w:p w14:paraId="6548B8A2" w14:textId="77777777" w:rsidR="00D21EA2" w:rsidRPr="003A3CEF" w:rsidRDefault="00531A88">
      <w:pPr>
        <w:pStyle w:val="ListParagraph"/>
        <w:numPr>
          <w:ilvl w:val="0"/>
          <w:numId w:val="4"/>
        </w:numPr>
        <w:tabs>
          <w:tab w:val="left" w:pos="435"/>
        </w:tabs>
        <w:spacing w:before="65"/>
        <w:ind w:hanging="216"/>
        <w:jc w:val="left"/>
        <w:rPr>
          <w:sz w:val="18"/>
        </w:rPr>
      </w:pPr>
      <w:r>
        <w:rPr>
          <w:sz w:val="18"/>
        </w:rPr>
        <w:t>Korvataan 1 kohdan kuudennen alakohdan neljäs virke seuraavasti:</w:t>
      </w:r>
    </w:p>
    <w:p w14:paraId="31E018C3" w14:textId="1CCA6340" w:rsidR="00D21EA2" w:rsidRPr="003A3CEF" w:rsidRDefault="00531A88">
      <w:pPr>
        <w:pStyle w:val="BodyText"/>
        <w:spacing w:before="74" w:line="249" w:lineRule="auto"/>
        <w:ind w:right="106"/>
        <w:jc w:val="both"/>
      </w:pPr>
      <w:r>
        <w:t>Kyseisestä päivämäärästä alkaen vesihuollon toiminnanharjoitt</w:t>
      </w:r>
      <w:r>
        <w:t>ajien on varmistettava, että juomavesiasetuksen 13 §:n 2 momentin mukaisesti vesihuollon rakentamiseen tai kunnossapitoon käytetään ainoastaan metallisia materiaaleja, jotka on lueteltu juomavesikäyttöön soveltuvien metallisten materiaalien luettelossa, ot</w:t>
      </w:r>
      <w:r>
        <w:t>taen huomioon tähän arviointiperustaan sisältyvät rajoitukset (tuoteryhmät tai käyttö tietyn juomaveden kanssa).</w:t>
      </w:r>
    </w:p>
    <w:p w14:paraId="7D22B89E" w14:textId="77777777" w:rsidR="00D21EA2" w:rsidRPr="003A3CEF" w:rsidRDefault="00531A88">
      <w:pPr>
        <w:pStyle w:val="ListParagraph"/>
        <w:numPr>
          <w:ilvl w:val="0"/>
          <w:numId w:val="4"/>
        </w:numPr>
        <w:tabs>
          <w:tab w:val="left" w:pos="435"/>
        </w:tabs>
        <w:spacing w:before="71"/>
        <w:ind w:hanging="216"/>
        <w:jc w:val="both"/>
        <w:rPr>
          <w:sz w:val="18"/>
        </w:rPr>
      </w:pPr>
      <w:r>
        <w:rPr>
          <w:sz w:val="18"/>
        </w:rPr>
        <w:t>Korvataan 1 kohdan kahdeksas alakohta seuraavasti:</w:t>
      </w:r>
    </w:p>
    <w:p w14:paraId="3811860D" w14:textId="77777777" w:rsidR="00D21EA2" w:rsidRPr="003A3CEF" w:rsidRDefault="00531A88">
      <w:pPr>
        <w:pStyle w:val="BodyText"/>
        <w:spacing w:line="249" w:lineRule="auto"/>
        <w:ind w:right="106"/>
        <w:jc w:val="both"/>
      </w:pPr>
      <w:r>
        <w:t>Tarkistetun juomavesidirektiivin (direktiivi (EU) 2020/2184) mukaan juomaveden kanssa kosket</w:t>
      </w:r>
      <w:r>
        <w:t>uksiin joutuville materiaaleille asetetaan tulevaisuudessa kaikkialla Euroopassa yhdenmukaiset vaatimukset. Näillä säännöillä korvataan nykyinen arviointiperusta.</w:t>
      </w:r>
    </w:p>
    <w:p w14:paraId="135075EB" w14:textId="77777777" w:rsidR="00D21EA2" w:rsidRPr="003A3CEF" w:rsidRDefault="00531A88">
      <w:pPr>
        <w:pStyle w:val="ListParagraph"/>
        <w:numPr>
          <w:ilvl w:val="0"/>
          <w:numId w:val="4"/>
        </w:numPr>
        <w:tabs>
          <w:tab w:val="left" w:pos="435"/>
        </w:tabs>
        <w:spacing w:before="68"/>
        <w:ind w:hanging="216"/>
        <w:jc w:val="both"/>
        <w:rPr>
          <w:sz w:val="18"/>
        </w:rPr>
      </w:pPr>
      <w:r>
        <w:rPr>
          <w:sz w:val="18"/>
        </w:rPr>
        <w:t>Korvataan 3.2.1 kohdassa toiseksi viimeinen virke seuraavasti:</w:t>
      </w:r>
    </w:p>
    <w:p w14:paraId="10C88001" w14:textId="77777777" w:rsidR="00D21EA2" w:rsidRPr="003A3CEF" w:rsidRDefault="00531A88">
      <w:pPr>
        <w:pStyle w:val="BodyText"/>
        <w:spacing w:line="252" w:lineRule="auto"/>
        <w:ind w:right="106"/>
        <w:jc w:val="both"/>
      </w:pPr>
      <w:r>
        <w:t>Asianmukaisesti arvioidut pinnoitteet on lueteltu juomavesikäyttöön soveltuvien metallisten materiaalien luettelossa (ks. liite 3 ”Pinnoitteet”).</w:t>
      </w:r>
    </w:p>
    <w:p w14:paraId="76E372B6" w14:textId="77777777" w:rsidR="00D21EA2" w:rsidRPr="003A3CEF" w:rsidRDefault="00531A88">
      <w:pPr>
        <w:pStyle w:val="ListParagraph"/>
        <w:numPr>
          <w:ilvl w:val="0"/>
          <w:numId w:val="4"/>
        </w:numPr>
        <w:tabs>
          <w:tab w:val="left" w:pos="435"/>
        </w:tabs>
        <w:spacing w:before="64"/>
        <w:ind w:hanging="216"/>
        <w:jc w:val="both"/>
        <w:rPr>
          <w:sz w:val="18"/>
        </w:rPr>
      </w:pPr>
      <w:r>
        <w:rPr>
          <w:sz w:val="18"/>
        </w:rPr>
        <w:lastRenderedPageBreak/>
        <w:t>Korvataan 5.1 kohdassa ensimmäinen alakohta seuraavasti:</w:t>
      </w:r>
    </w:p>
    <w:p w14:paraId="0EB4B3D8" w14:textId="77777777" w:rsidR="00D21EA2" w:rsidRPr="003A3CEF" w:rsidRDefault="00531A88">
      <w:pPr>
        <w:pStyle w:val="BodyText"/>
        <w:spacing w:line="252" w:lineRule="auto"/>
        <w:ind w:right="106"/>
        <w:jc w:val="both"/>
      </w:pPr>
      <w:r>
        <w:t>UBA arvioi metalliset materiaalit valmistajan tai yhdistyksen, jäljempänä ’hakija’, pyynnöstä (juomavesiasetuksen 15 §:n 5 momentti).</w:t>
      </w:r>
    </w:p>
    <w:p w14:paraId="45642588" w14:textId="77777777" w:rsidR="00D21EA2" w:rsidRPr="003A3CEF" w:rsidRDefault="00531A88">
      <w:pPr>
        <w:pStyle w:val="ListParagraph"/>
        <w:numPr>
          <w:ilvl w:val="0"/>
          <w:numId w:val="4"/>
        </w:numPr>
        <w:tabs>
          <w:tab w:val="left" w:pos="435"/>
        </w:tabs>
        <w:spacing w:before="64"/>
        <w:ind w:hanging="318"/>
        <w:jc w:val="both"/>
        <w:rPr>
          <w:sz w:val="18"/>
        </w:rPr>
      </w:pPr>
      <w:r>
        <w:rPr>
          <w:sz w:val="18"/>
        </w:rPr>
        <w:t>Korvataan ilmaisu ”juomaveden laitos” ilmaisulla ”juomavesilaitos</w:t>
      </w:r>
      <w:r>
        <w:rPr>
          <w:sz w:val="18"/>
        </w:rPr>
        <w:t>” koko asiakirjassa.</w:t>
      </w:r>
    </w:p>
    <w:p w14:paraId="016FC2DD" w14:textId="52B8DD9F" w:rsidR="00D21EA2" w:rsidRPr="003A3CEF" w:rsidRDefault="00531A88" w:rsidP="007B018D">
      <w:pPr>
        <w:pStyle w:val="ListParagraph"/>
        <w:numPr>
          <w:ilvl w:val="0"/>
          <w:numId w:val="4"/>
        </w:numPr>
        <w:tabs>
          <w:tab w:val="left" w:pos="435"/>
        </w:tabs>
        <w:spacing w:before="64"/>
        <w:ind w:hanging="318"/>
        <w:jc w:val="both"/>
        <w:rPr>
          <w:sz w:val="18"/>
        </w:rPr>
      </w:pPr>
      <w:r>
        <w:rPr>
          <w:sz w:val="18"/>
        </w:rPr>
        <w:t>Korvataan ilmaisu ”yrittäjä ja muu haltija” ilmaisulla ”toiminnanharjoittaja” koko asiakirjassa.</w:t>
      </w:r>
    </w:p>
    <w:p w14:paraId="37933A14" w14:textId="1B4E4E2B" w:rsidR="00D21EA2" w:rsidRPr="003A3CEF" w:rsidRDefault="00531A88">
      <w:pPr>
        <w:pStyle w:val="ListParagraph"/>
        <w:numPr>
          <w:ilvl w:val="0"/>
          <w:numId w:val="4"/>
        </w:numPr>
        <w:tabs>
          <w:tab w:val="left" w:pos="435"/>
        </w:tabs>
        <w:spacing w:line="249" w:lineRule="auto"/>
        <w:ind w:right="107" w:hanging="319"/>
        <w:jc w:val="both"/>
        <w:rPr>
          <w:sz w:val="18"/>
        </w:rPr>
      </w:pPr>
      <w:r>
        <w:rPr>
          <w:sz w:val="18"/>
        </w:rPr>
        <w:t>Muutetaan liitteessä ”Juomavesikäyttöön soveltuvia metallisia materiaaleja koskeva sallittujen aineiden luettelo” olevat luettelomerkinnät</w:t>
      </w:r>
      <w:r>
        <w:rPr>
          <w:sz w:val="18"/>
        </w:rPr>
        <w:t xml:space="preserve"> seuraavasti:</w:t>
      </w:r>
    </w:p>
    <w:p w14:paraId="2627E809" w14:textId="77777777" w:rsidR="00D21EA2" w:rsidRPr="003A3CEF" w:rsidRDefault="00531A88">
      <w:pPr>
        <w:pStyle w:val="ListParagraph"/>
        <w:numPr>
          <w:ilvl w:val="0"/>
          <w:numId w:val="3"/>
        </w:numPr>
        <w:tabs>
          <w:tab w:val="left" w:pos="635"/>
        </w:tabs>
        <w:spacing w:before="74"/>
        <w:ind w:hanging="170"/>
        <w:rPr>
          <w:sz w:val="18"/>
        </w:rPr>
      </w:pPr>
      <w:r>
        <w:rPr>
          <w:sz w:val="18"/>
        </w:rPr>
        <w:t xml:space="preserve">2.1.3.4 CW506L-DW (CuZn33): poistetaan lisäys ”-DW” </w:t>
      </w:r>
    </w:p>
    <w:p w14:paraId="63FD6D3F" w14:textId="77777777" w:rsidR="00D21EA2" w:rsidRPr="003A3CEF" w:rsidRDefault="00531A88">
      <w:pPr>
        <w:pStyle w:val="ListParagraph"/>
        <w:numPr>
          <w:ilvl w:val="0"/>
          <w:numId w:val="3"/>
        </w:numPr>
        <w:tabs>
          <w:tab w:val="left" w:pos="635"/>
        </w:tabs>
        <w:ind w:hanging="170"/>
        <w:rPr>
          <w:sz w:val="18"/>
        </w:rPr>
      </w:pPr>
      <w:r>
        <w:rPr>
          <w:sz w:val="18"/>
        </w:rPr>
        <w:t xml:space="preserve">2.1.3.5 CW507L-DW (CuZn36): epäpuhtaus </w:t>
      </w:r>
      <w:proofErr w:type="spellStart"/>
      <w:r>
        <w:rPr>
          <w:sz w:val="18"/>
        </w:rPr>
        <w:t>Pb</w:t>
      </w:r>
      <w:proofErr w:type="spellEnd"/>
      <w:r>
        <w:rPr>
          <w:sz w:val="18"/>
        </w:rPr>
        <w:t xml:space="preserve">: lisäys *-merkkiin </w:t>
      </w:r>
    </w:p>
    <w:p w14:paraId="0C54EAC6" w14:textId="77777777" w:rsidR="00D21EA2" w:rsidRPr="003A3CEF" w:rsidRDefault="00531A88">
      <w:pPr>
        <w:pStyle w:val="ListParagraph"/>
        <w:numPr>
          <w:ilvl w:val="0"/>
          <w:numId w:val="3"/>
        </w:numPr>
        <w:tabs>
          <w:tab w:val="left" w:pos="635"/>
        </w:tabs>
        <w:spacing w:line="249" w:lineRule="auto"/>
        <w:ind w:right="106"/>
        <w:rPr>
          <w:sz w:val="18"/>
        </w:rPr>
      </w:pPr>
      <w:r>
        <w:rPr>
          <w:sz w:val="18"/>
        </w:rPr>
        <w:t xml:space="preserve">2.1.3.7 CW509L-DW (CuZn40): seosaine </w:t>
      </w:r>
      <w:proofErr w:type="spellStart"/>
      <w:r>
        <w:rPr>
          <w:sz w:val="18"/>
        </w:rPr>
        <w:t>Cu</w:t>
      </w:r>
      <w:proofErr w:type="spellEnd"/>
      <w:r>
        <w:rPr>
          <w:sz w:val="18"/>
        </w:rPr>
        <w:t xml:space="preserve">: alarajan muutos 59,5 prosentista (m/m) 59,0 prosenttiin (m/m)  </w:t>
      </w:r>
    </w:p>
    <w:p w14:paraId="30BF5C16" w14:textId="77777777" w:rsidR="00D21EA2" w:rsidRPr="003A3CEF" w:rsidRDefault="00531A88">
      <w:pPr>
        <w:pStyle w:val="ListParagraph"/>
        <w:numPr>
          <w:ilvl w:val="0"/>
          <w:numId w:val="3"/>
        </w:numPr>
        <w:tabs>
          <w:tab w:val="left" w:pos="635"/>
        </w:tabs>
        <w:spacing w:before="74"/>
        <w:ind w:hanging="170"/>
        <w:rPr>
          <w:sz w:val="18"/>
        </w:rPr>
      </w:pPr>
      <w:r>
        <w:rPr>
          <w:sz w:val="18"/>
        </w:rPr>
        <w:t>2.2.3.1 CuZn42Al: lisä</w:t>
      </w:r>
      <w:r>
        <w:rPr>
          <w:sz w:val="18"/>
        </w:rPr>
        <w:t xml:space="preserve">ys vakionimitykseen ”CC773S” </w:t>
      </w:r>
    </w:p>
    <w:p w14:paraId="383C8DA3" w14:textId="3A3B23C3" w:rsidR="00D21EA2" w:rsidRPr="003A3CEF" w:rsidRDefault="00531A88">
      <w:pPr>
        <w:pStyle w:val="ListParagraph"/>
        <w:numPr>
          <w:ilvl w:val="0"/>
          <w:numId w:val="3"/>
        </w:numPr>
        <w:tabs>
          <w:tab w:val="left" w:pos="635"/>
        </w:tabs>
        <w:spacing w:before="83" w:line="249" w:lineRule="auto"/>
        <w:ind w:right="106"/>
        <w:rPr>
          <w:sz w:val="18"/>
        </w:rPr>
      </w:pPr>
      <w:r>
        <w:rPr>
          <w:sz w:val="18"/>
        </w:rPr>
        <w:t xml:space="preserve">2.5.3.1 CW511L (CuZn38As): lisäys *-merkkiä koskevaan selittävään </w:t>
      </w:r>
      <w:proofErr w:type="gramStart"/>
      <w:r>
        <w:rPr>
          <w:sz w:val="18"/>
        </w:rPr>
        <w:t xml:space="preserve">huomautukseen:  </w:t>
      </w:r>
      <w:r>
        <w:rPr>
          <w:sz w:val="18"/>
        </w:rPr>
        <w:t>”</w:t>
      </w:r>
      <w:proofErr w:type="gramEnd"/>
      <w:r>
        <w:rPr>
          <w:sz w:val="18"/>
        </w:rPr>
        <w:t>* muita koostumusrajoituksia (ks. jäljempänä) verrattuna CW511L:n eurooppalaiseen standardoituun koostumukseen”, lisäys nimitystä CW511L koskevaan *-merkkiin ja vakionimitykseen tehdyn lisäyksen ”-DW” lisäys</w:t>
      </w:r>
    </w:p>
    <w:p w14:paraId="0612714C" w14:textId="77777777" w:rsidR="00D21EA2" w:rsidRPr="003A3CEF" w:rsidRDefault="00531A88">
      <w:pPr>
        <w:pStyle w:val="ListParagraph"/>
        <w:numPr>
          <w:ilvl w:val="0"/>
          <w:numId w:val="3"/>
        </w:numPr>
        <w:tabs>
          <w:tab w:val="left" w:pos="635"/>
        </w:tabs>
        <w:spacing w:before="75"/>
        <w:ind w:hanging="170"/>
        <w:rPr>
          <w:sz w:val="18"/>
        </w:rPr>
      </w:pPr>
      <w:r>
        <w:rPr>
          <w:sz w:val="18"/>
        </w:rPr>
        <w:t>2.7.3.1 CC771S: merkinnän ”-C” lisäys kemiallis</w:t>
      </w:r>
      <w:r>
        <w:rPr>
          <w:sz w:val="18"/>
        </w:rPr>
        <w:t xml:space="preserve">een nimeen ”CuZn36AlAsSb-C” </w:t>
      </w:r>
    </w:p>
    <w:p w14:paraId="0C91243D" w14:textId="09D7D5E5" w:rsidR="00D21EA2" w:rsidRPr="003A3CEF" w:rsidRDefault="00531A88">
      <w:pPr>
        <w:pStyle w:val="ListParagraph"/>
        <w:numPr>
          <w:ilvl w:val="0"/>
          <w:numId w:val="3"/>
        </w:numPr>
        <w:tabs>
          <w:tab w:val="left" w:pos="635"/>
        </w:tabs>
        <w:spacing w:line="249" w:lineRule="auto"/>
        <w:ind w:right="106"/>
        <w:rPr>
          <w:sz w:val="18"/>
        </w:rPr>
      </w:pPr>
      <w:r>
        <w:rPr>
          <w:sz w:val="18"/>
        </w:rPr>
        <w:t>2.9.3.1 (uusi numerointi!) CW617N (CuZn40Pb</w:t>
      </w:r>
      <w:proofErr w:type="gramStart"/>
      <w:r>
        <w:rPr>
          <w:sz w:val="18"/>
        </w:rPr>
        <w:t>2)/</w:t>
      </w:r>
      <w:proofErr w:type="gramEnd"/>
      <w:r>
        <w:rPr>
          <w:sz w:val="18"/>
        </w:rPr>
        <w:t xml:space="preserve">CW612N (CuZn39Pb2) ja 2.9.3.2 CW614N (CuZn39Pb3)/CW603N (CuZn36Pb3): ”-DW”-lisäyksen lisäys vakionimityksiin ja epäpuhtauteen </w:t>
      </w:r>
      <w:proofErr w:type="spellStart"/>
      <w:r>
        <w:rPr>
          <w:sz w:val="18"/>
        </w:rPr>
        <w:t>Si</w:t>
      </w:r>
      <w:proofErr w:type="spellEnd"/>
      <w:r>
        <w:rPr>
          <w:sz w:val="18"/>
        </w:rPr>
        <w:t>: lisäys *-merkkiin</w:t>
      </w:r>
    </w:p>
    <w:p w14:paraId="3727F168" w14:textId="383574CE" w:rsidR="00D21EA2" w:rsidRPr="003A3CEF" w:rsidRDefault="00531A88">
      <w:pPr>
        <w:pStyle w:val="ListParagraph"/>
        <w:numPr>
          <w:ilvl w:val="0"/>
          <w:numId w:val="3"/>
        </w:numPr>
        <w:tabs>
          <w:tab w:val="left" w:pos="635"/>
        </w:tabs>
        <w:spacing w:before="75" w:line="249" w:lineRule="auto"/>
        <w:ind w:right="106"/>
        <w:rPr>
          <w:sz w:val="18"/>
        </w:rPr>
      </w:pPr>
      <w:r>
        <w:rPr>
          <w:sz w:val="18"/>
        </w:rPr>
        <w:t>2.11.3.2 (uusi numerointi!) CW626</w:t>
      </w:r>
      <w:r>
        <w:rPr>
          <w:sz w:val="18"/>
        </w:rPr>
        <w:t>N ja 2.11.3.3 CW625N: lisäyksen ”-DW” lisäys vakionimityksiin</w:t>
      </w:r>
    </w:p>
    <w:p w14:paraId="1264F3EF" w14:textId="77777777" w:rsidR="00D21EA2" w:rsidRPr="003A3CEF" w:rsidRDefault="00531A88">
      <w:pPr>
        <w:pStyle w:val="ListParagraph"/>
        <w:numPr>
          <w:ilvl w:val="0"/>
          <w:numId w:val="3"/>
        </w:numPr>
        <w:tabs>
          <w:tab w:val="left" w:pos="635"/>
        </w:tabs>
        <w:spacing w:before="74"/>
        <w:ind w:hanging="170"/>
        <w:rPr>
          <w:sz w:val="18"/>
        </w:rPr>
      </w:pPr>
      <w:r>
        <w:rPr>
          <w:sz w:val="18"/>
        </w:rPr>
        <w:t xml:space="preserve">2.12.3.1 (uusi numerointi!) CC772S: merkinnän ”-C” lisäys kemialliseen </w:t>
      </w:r>
      <w:proofErr w:type="gramStart"/>
      <w:r>
        <w:rPr>
          <w:sz w:val="18"/>
        </w:rPr>
        <w:t>nimeen:  ”</w:t>
      </w:r>
      <w:proofErr w:type="gramEnd"/>
      <w:r>
        <w:rPr>
          <w:sz w:val="18"/>
        </w:rPr>
        <w:t>CuZn36Pb1.5AsSbAl-C”.</w:t>
      </w:r>
    </w:p>
    <w:p w14:paraId="73594D65" w14:textId="67193422" w:rsidR="00D21EA2" w:rsidRPr="003A3CEF" w:rsidRDefault="00531A88" w:rsidP="00693F62">
      <w:pPr>
        <w:pStyle w:val="ListParagraph"/>
        <w:numPr>
          <w:ilvl w:val="0"/>
          <w:numId w:val="3"/>
        </w:numPr>
        <w:tabs>
          <w:tab w:val="left" w:pos="635"/>
        </w:tabs>
        <w:spacing w:before="8"/>
        <w:ind w:hanging="170"/>
      </w:pPr>
      <w:r>
        <w:rPr>
          <w:sz w:val="18"/>
        </w:rPr>
        <w:t xml:space="preserve">2.13.3.1 (uusi numerointi!) CW725R (CuZn33Pb1AlSiAs): seosaine </w:t>
      </w:r>
      <w:proofErr w:type="gramStart"/>
      <w:r>
        <w:rPr>
          <w:sz w:val="18"/>
        </w:rPr>
        <w:t>As:  *</w:t>
      </w:r>
      <w:proofErr w:type="gramEnd"/>
      <w:r>
        <w:rPr>
          <w:sz w:val="18"/>
        </w:rPr>
        <w:t xml:space="preserve">-merkin lisääminen ja </w:t>
      </w:r>
      <w:r>
        <w:rPr>
          <w:sz w:val="18"/>
        </w:rPr>
        <w:t>lisäyksen ”-DW” lisääminen vakionimitykseen</w:t>
      </w:r>
    </w:p>
    <w:p w14:paraId="10E8EEB5" w14:textId="64942B27" w:rsidR="00D21EA2" w:rsidRPr="00693F62" w:rsidRDefault="00531A88" w:rsidP="00693F62">
      <w:pPr>
        <w:pStyle w:val="ListParagraph"/>
        <w:numPr>
          <w:ilvl w:val="0"/>
          <w:numId w:val="3"/>
        </w:numPr>
        <w:tabs>
          <w:tab w:val="left" w:pos="635"/>
        </w:tabs>
        <w:spacing w:before="10"/>
        <w:ind w:hanging="170"/>
        <w:rPr>
          <w:sz w:val="18"/>
          <w:szCs w:val="18"/>
        </w:rPr>
      </w:pPr>
      <w:r>
        <w:rPr>
          <w:sz w:val="18"/>
        </w:rPr>
        <w:t xml:space="preserve">2.14.3.1 (uusi numerointi!) CC499K* (CuSn5Zn5Pb2-C): seosaineet </w:t>
      </w:r>
      <w:proofErr w:type="spellStart"/>
      <w:r>
        <w:rPr>
          <w:sz w:val="18"/>
        </w:rPr>
        <w:t>Pb</w:t>
      </w:r>
      <w:proofErr w:type="spellEnd"/>
      <w:r>
        <w:rPr>
          <w:sz w:val="18"/>
        </w:rPr>
        <w:t xml:space="preserve"> ja </w:t>
      </w:r>
      <w:proofErr w:type="spellStart"/>
      <w:proofErr w:type="gramStart"/>
      <w:r>
        <w:rPr>
          <w:sz w:val="18"/>
        </w:rPr>
        <w:t>Ni</w:t>
      </w:r>
      <w:proofErr w:type="spellEnd"/>
      <w:r>
        <w:rPr>
          <w:sz w:val="18"/>
        </w:rPr>
        <w:t>:  *</w:t>
      </w:r>
      <w:proofErr w:type="gramEnd"/>
      <w:r>
        <w:rPr>
          <w:sz w:val="18"/>
        </w:rPr>
        <w:t>-merkin poistaminen</w:t>
      </w:r>
    </w:p>
    <w:p w14:paraId="531A470E" w14:textId="77777777" w:rsidR="00D21EA2" w:rsidRPr="003A3CEF" w:rsidRDefault="00531A88">
      <w:pPr>
        <w:pStyle w:val="ListParagraph"/>
        <w:numPr>
          <w:ilvl w:val="0"/>
          <w:numId w:val="3"/>
        </w:numPr>
        <w:tabs>
          <w:tab w:val="left" w:pos="635"/>
        </w:tabs>
        <w:ind w:hanging="170"/>
        <w:jc w:val="left"/>
        <w:rPr>
          <w:sz w:val="18"/>
        </w:rPr>
      </w:pPr>
      <w:r>
        <w:rPr>
          <w:sz w:val="18"/>
        </w:rPr>
        <w:t>2.16.3.1 (uusi numerointi!) CW724R: lisäyksen ”-DW” lisäys vakionimitykseen</w:t>
      </w:r>
    </w:p>
    <w:p w14:paraId="3224D1DB" w14:textId="77777777" w:rsidR="00D21EA2" w:rsidRPr="003A3CEF" w:rsidRDefault="00531A88">
      <w:pPr>
        <w:pStyle w:val="ListParagraph"/>
        <w:numPr>
          <w:ilvl w:val="0"/>
          <w:numId w:val="3"/>
        </w:numPr>
        <w:tabs>
          <w:tab w:val="left" w:pos="635"/>
        </w:tabs>
        <w:ind w:hanging="170"/>
        <w:jc w:val="left"/>
        <w:rPr>
          <w:sz w:val="18"/>
        </w:rPr>
      </w:pPr>
      <w:r>
        <w:rPr>
          <w:sz w:val="18"/>
        </w:rPr>
        <w:t>2.16.3.2 (uusi numerointi!) CC768S: merk</w:t>
      </w:r>
      <w:r>
        <w:rPr>
          <w:sz w:val="18"/>
        </w:rPr>
        <w:t xml:space="preserve">innän ”-C” lisäys kemialliseen nimeen ”CuZn21Si3P-C”. </w:t>
      </w:r>
    </w:p>
    <w:p w14:paraId="3EE2ABDF" w14:textId="3FAF457D" w:rsidR="00D21EA2" w:rsidRPr="003A3CEF" w:rsidRDefault="00531A88" w:rsidP="001D7495">
      <w:pPr>
        <w:pStyle w:val="ListParagraph"/>
        <w:numPr>
          <w:ilvl w:val="0"/>
          <w:numId w:val="3"/>
        </w:numPr>
        <w:tabs>
          <w:tab w:val="left" w:pos="635"/>
        </w:tabs>
        <w:spacing w:before="3" w:line="249" w:lineRule="auto"/>
        <w:ind w:right="105"/>
      </w:pPr>
      <w:r>
        <w:rPr>
          <w:sz w:val="18"/>
        </w:rPr>
        <w:t xml:space="preserve">2.19.3.1 (uusi numerointi!): CW453K (CuSn8): lisäys *-merkkiä koskevaan selittävään </w:t>
      </w:r>
      <w:proofErr w:type="gramStart"/>
      <w:r>
        <w:rPr>
          <w:sz w:val="18"/>
        </w:rPr>
        <w:t>huomautukseen:  ”</w:t>
      </w:r>
      <w:proofErr w:type="gramEnd"/>
      <w:r>
        <w:rPr>
          <w:sz w:val="18"/>
        </w:rPr>
        <w:t>* koostumusta koskevat lisärajoitukset (ks. jäljempänä) verrattuna CW453K:n eurooppalaiseen standard</w:t>
      </w:r>
      <w:r>
        <w:rPr>
          <w:sz w:val="18"/>
        </w:rPr>
        <w:t>oituun koostumukseen.”, *-merkin lisääminen nimitykseen CW453K ja seosaine P: lisäys *-merkkiin</w:t>
      </w:r>
    </w:p>
    <w:p w14:paraId="18E86F2B" w14:textId="77777777" w:rsidR="00D21EA2" w:rsidRPr="003A3CEF" w:rsidRDefault="00531A88">
      <w:pPr>
        <w:pStyle w:val="ListParagraph"/>
        <w:numPr>
          <w:ilvl w:val="0"/>
          <w:numId w:val="3"/>
        </w:numPr>
        <w:tabs>
          <w:tab w:val="left" w:pos="635"/>
        </w:tabs>
        <w:ind w:hanging="170"/>
        <w:jc w:val="left"/>
        <w:rPr>
          <w:sz w:val="18"/>
        </w:rPr>
      </w:pPr>
      <w:r>
        <w:rPr>
          <w:sz w:val="18"/>
        </w:rPr>
        <w:t xml:space="preserve">2.20.3.1 (uusi numerointi!) CuSn10-C: seosaineet </w:t>
      </w:r>
      <w:proofErr w:type="spellStart"/>
      <w:r>
        <w:rPr>
          <w:sz w:val="18"/>
        </w:rPr>
        <w:t>Pb</w:t>
      </w:r>
      <w:proofErr w:type="spellEnd"/>
      <w:r>
        <w:rPr>
          <w:sz w:val="18"/>
        </w:rPr>
        <w:t xml:space="preserve"> ja P: lisäys *-merkkiin</w:t>
      </w:r>
    </w:p>
    <w:p w14:paraId="27FD8057" w14:textId="77777777" w:rsidR="00D21EA2" w:rsidRPr="003A3CEF" w:rsidRDefault="00531A88">
      <w:pPr>
        <w:pStyle w:val="ListParagraph"/>
        <w:numPr>
          <w:ilvl w:val="0"/>
          <w:numId w:val="4"/>
        </w:numPr>
        <w:tabs>
          <w:tab w:val="left" w:pos="435"/>
        </w:tabs>
        <w:spacing w:line="249" w:lineRule="auto"/>
        <w:ind w:right="106" w:hanging="319"/>
        <w:jc w:val="both"/>
        <w:rPr>
          <w:sz w:val="18"/>
        </w:rPr>
      </w:pPr>
      <w:r>
        <w:rPr>
          <w:sz w:val="18"/>
        </w:rPr>
        <w:t>Lisätään liitteessä ”Luettelo juomavesikäyttöön soveltuvista metallisista materiaaleista” olevaan 2 kohtaan luokka 2.8 ”Kupari-sinkki-tina-fosforiseokset”, mukaan lukien materiaali ”CW727R-DW (CuZn35Sn1P)”:</w:t>
      </w:r>
    </w:p>
    <w:p w14:paraId="43315A87" w14:textId="77777777" w:rsidR="00D21EA2" w:rsidRPr="003A3CEF" w:rsidRDefault="00531A88">
      <w:pPr>
        <w:pStyle w:val="ListParagraph"/>
        <w:numPr>
          <w:ilvl w:val="1"/>
          <w:numId w:val="2"/>
        </w:numPr>
        <w:tabs>
          <w:tab w:val="left" w:pos="871"/>
        </w:tabs>
        <w:spacing w:before="74"/>
        <w:ind w:left="871" w:hanging="436"/>
        <w:rPr>
          <w:sz w:val="18"/>
        </w:rPr>
      </w:pPr>
      <w:r>
        <w:rPr>
          <w:sz w:val="18"/>
        </w:rPr>
        <w:t>Kupari-sinkki-tina-fosforiseokset</w:t>
      </w:r>
    </w:p>
    <w:p w14:paraId="5E4220D1" w14:textId="77777777" w:rsidR="001D7495" w:rsidRPr="001D7495" w:rsidRDefault="00531A88" w:rsidP="001D7495">
      <w:pPr>
        <w:pStyle w:val="ListParagraph"/>
        <w:numPr>
          <w:ilvl w:val="2"/>
          <w:numId w:val="2"/>
        </w:numPr>
        <w:tabs>
          <w:tab w:val="left" w:pos="1025"/>
        </w:tabs>
        <w:spacing w:before="83" w:line="336" w:lineRule="auto"/>
        <w:ind w:right="79" w:firstLine="0"/>
        <w:rPr>
          <w:sz w:val="18"/>
        </w:rPr>
      </w:pPr>
      <w:r>
        <w:rPr>
          <w:sz w:val="18"/>
        </w:rPr>
        <w:t>Seosaineet</w:t>
      </w:r>
    </w:p>
    <w:p w14:paraId="576ACD79" w14:textId="04983551" w:rsidR="00D21EA2" w:rsidRPr="003A3CEF" w:rsidRDefault="00531A88" w:rsidP="001D7495">
      <w:pPr>
        <w:pStyle w:val="ListParagraph"/>
        <w:tabs>
          <w:tab w:val="left" w:pos="1025"/>
        </w:tabs>
        <w:spacing w:before="0" w:line="336" w:lineRule="auto"/>
        <w:ind w:left="437" w:right="79" w:firstLine="0"/>
        <w:rPr>
          <w:sz w:val="18"/>
        </w:rPr>
      </w:pPr>
      <w:r>
        <w:rPr>
          <w:sz w:val="18"/>
        </w:rPr>
        <w:t>Seos</w:t>
      </w:r>
      <w:r>
        <w:rPr>
          <w:sz w:val="18"/>
        </w:rPr>
        <w:t>aineet (% (m/m)):</w:t>
      </w: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1621"/>
        <w:gridCol w:w="1621"/>
        <w:gridCol w:w="1627"/>
      </w:tblGrid>
      <w:tr w:rsidR="00D21EA2" w:rsidRPr="003A3CEF" w14:paraId="28072301" w14:textId="77777777">
        <w:trPr>
          <w:trHeight w:val="216"/>
        </w:trPr>
        <w:tc>
          <w:tcPr>
            <w:tcW w:w="1615" w:type="dxa"/>
            <w:tcBorders>
              <w:left w:val="nil"/>
            </w:tcBorders>
          </w:tcPr>
          <w:p w14:paraId="37599265" w14:textId="77777777" w:rsidR="00D21EA2" w:rsidRPr="003A3CEF" w:rsidRDefault="00531A88">
            <w:pPr>
              <w:pStyle w:val="TableParagraph"/>
              <w:spacing w:before="0" w:line="181" w:lineRule="exact"/>
              <w:ind w:right="3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Cu</w:t>
            </w:r>
            <w:proofErr w:type="spellEnd"/>
          </w:p>
        </w:tc>
        <w:tc>
          <w:tcPr>
            <w:tcW w:w="1621" w:type="dxa"/>
          </w:tcPr>
          <w:p w14:paraId="0251F4B4" w14:textId="77777777" w:rsidR="00D21EA2" w:rsidRPr="003A3CEF" w:rsidRDefault="00531A88">
            <w:pPr>
              <w:pStyle w:val="TableParagraph"/>
              <w:spacing w:before="0" w:line="181" w:lineRule="exact"/>
              <w:ind w:right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Zn</w:t>
            </w:r>
            <w:proofErr w:type="spellEnd"/>
          </w:p>
        </w:tc>
        <w:tc>
          <w:tcPr>
            <w:tcW w:w="1621" w:type="dxa"/>
          </w:tcPr>
          <w:p w14:paraId="1D253FDC" w14:textId="77777777" w:rsidR="00D21EA2" w:rsidRPr="003A3CEF" w:rsidRDefault="00531A88">
            <w:pPr>
              <w:pStyle w:val="TableParagraph"/>
              <w:spacing w:before="0" w:line="181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Sn</w:t>
            </w:r>
          </w:p>
        </w:tc>
        <w:tc>
          <w:tcPr>
            <w:tcW w:w="1627" w:type="dxa"/>
            <w:tcBorders>
              <w:right w:val="nil"/>
            </w:tcBorders>
          </w:tcPr>
          <w:p w14:paraId="390FA3AE" w14:textId="77777777" w:rsidR="00D21EA2" w:rsidRPr="003A3CEF" w:rsidRDefault="00531A88">
            <w:pPr>
              <w:pStyle w:val="TableParagraph"/>
              <w:spacing w:before="0" w:line="181" w:lineRule="exact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</w:tr>
      <w:tr w:rsidR="00D21EA2" w:rsidRPr="003A3CEF" w14:paraId="02B0385B" w14:textId="77777777">
        <w:trPr>
          <w:trHeight w:val="329"/>
        </w:trPr>
        <w:tc>
          <w:tcPr>
            <w:tcW w:w="1615" w:type="dxa"/>
            <w:tcBorders>
              <w:left w:val="nil"/>
            </w:tcBorders>
          </w:tcPr>
          <w:p w14:paraId="34D69A35" w14:textId="77777777" w:rsidR="00D21EA2" w:rsidRPr="003A3CEF" w:rsidRDefault="00531A88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≥ 63,0 %</w:t>
            </w:r>
          </w:p>
        </w:tc>
        <w:tc>
          <w:tcPr>
            <w:tcW w:w="1621" w:type="dxa"/>
          </w:tcPr>
          <w:p w14:paraId="27E6A99D" w14:textId="77777777" w:rsidR="00D21EA2" w:rsidRPr="003A3CEF" w:rsidRDefault="00531A88">
            <w:pPr>
              <w:pStyle w:val="TableParagraph"/>
              <w:spacing w:before="69"/>
              <w:ind w:left="37"/>
              <w:rPr>
                <w:sz w:val="18"/>
              </w:rPr>
            </w:pPr>
            <w:r>
              <w:rPr>
                <w:sz w:val="18"/>
              </w:rPr>
              <w:t>Loput</w:t>
            </w:r>
          </w:p>
        </w:tc>
        <w:tc>
          <w:tcPr>
            <w:tcW w:w="1621" w:type="dxa"/>
          </w:tcPr>
          <w:p w14:paraId="5705B504" w14:textId="77777777" w:rsidR="00D21EA2" w:rsidRPr="003A3CEF" w:rsidRDefault="00531A88">
            <w:pPr>
              <w:pStyle w:val="TableParagraph"/>
              <w:spacing w:before="69"/>
              <w:ind w:left="36"/>
              <w:rPr>
                <w:sz w:val="18"/>
              </w:rPr>
            </w:pPr>
            <w:r>
              <w:rPr>
                <w:sz w:val="18"/>
              </w:rPr>
              <w:t>0,5–1,0 %</w:t>
            </w:r>
          </w:p>
        </w:tc>
        <w:tc>
          <w:tcPr>
            <w:tcW w:w="1627" w:type="dxa"/>
            <w:tcBorders>
              <w:right w:val="nil"/>
            </w:tcBorders>
          </w:tcPr>
          <w:p w14:paraId="10FE3126" w14:textId="77777777" w:rsidR="00D21EA2" w:rsidRPr="003A3CEF" w:rsidRDefault="00531A88">
            <w:pPr>
              <w:pStyle w:val="TableParagraph"/>
              <w:spacing w:before="69"/>
              <w:ind w:left="36"/>
              <w:rPr>
                <w:sz w:val="18"/>
              </w:rPr>
            </w:pPr>
            <w:r>
              <w:rPr>
                <w:sz w:val="18"/>
              </w:rPr>
              <w:t>0,05– 0,2 %</w:t>
            </w:r>
          </w:p>
        </w:tc>
      </w:tr>
    </w:tbl>
    <w:p w14:paraId="3D6E9B5A" w14:textId="77777777" w:rsidR="00D21EA2" w:rsidRPr="003A3CEF" w:rsidRDefault="00531A88">
      <w:pPr>
        <w:pStyle w:val="BodyText"/>
        <w:spacing w:before="115"/>
      </w:pPr>
      <w:r>
        <w:t>Epäpuhtaudet (% (m/m)):</w:t>
      </w:r>
    </w:p>
    <w:p w14:paraId="574AB08D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1637"/>
        <w:gridCol w:w="1637"/>
        <w:gridCol w:w="1637"/>
        <w:gridCol w:w="1643"/>
      </w:tblGrid>
      <w:tr w:rsidR="00D21EA2" w:rsidRPr="003A3CEF" w14:paraId="60E2E989" w14:textId="77777777">
        <w:trPr>
          <w:trHeight w:val="216"/>
        </w:trPr>
        <w:tc>
          <w:tcPr>
            <w:tcW w:w="1631" w:type="dxa"/>
            <w:tcBorders>
              <w:left w:val="nil"/>
            </w:tcBorders>
          </w:tcPr>
          <w:p w14:paraId="6763EE6E" w14:textId="77777777" w:rsidR="00D21EA2" w:rsidRPr="003A3CEF" w:rsidRDefault="00531A88">
            <w:pPr>
              <w:pStyle w:val="TableParagraph"/>
              <w:ind w:right="3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Al</w:t>
            </w:r>
            <w:proofErr w:type="spellEnd"/>
          </w:p>
        </w:tc>
        <w:tc>
          <w:tcPr>
            <w:tcW w:w="1637" w:type="dxa"/>
          </w:tcPr>
          <w:p w14:paraId="7FBEF0A9" w14:textId="77777777" w:rsidR="00D21EA2" w:rsidRPr="003A3CEF" w:rsidRDefault="00531A88">
            <w:pPr>
              <w:pStyle w:val="TableParagraph"/>
              <w:ind w:left="1" w:right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Fe</w:t>
            </w:r>
            <w:proofErr w:type="spellEnd"/>
          </w:p>
        </w:tc>
        <w:tc>
          <w:tcPr>
            <w:tcW w:w="1637" w:type="dxa"/>
          </w:tcPr>
          <w:p w14:paraId="5B238984" w14:textId="77777777" w:rsidR="00D21EA2" w:rsidRPr="003A3CEF" w:rsidRDefault="00531A88">
            <w:pPr>
              <w:pStyle w:val="TableParagraph"/>
              <w:ind w:right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Ni</w:t>
            </w:r>
            <w:proofErr w:type="spellEnd"/>
          </w:p>
        </w:tc>
        <w:tc>
          <w:tcPr>
            <w:tcW w:w="1637" w:type="dxa"/>
          </w:tcPr>
          <w:p w14:paraId="7D5F6C2F" w14:textId="77777777" w:rsidR="00D21EA2" w:rsidRPr="003A3CEF" w:rsidRDefault="00531A88">
            <w:pPr>
              <w:pStyle w:val="TableParagraph"/>
              <w:ind w:left="1" w:right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Pb</w:t>
            </w:r>
            <w:proofErr w:type="spellEnd"/>
          </w:p>
        </w:tc>
        <w:tc>
          <w:tcPr>
            <w:tcW w:w="1643" w:type="dxa"/>
            <w:tcBorders>
              <w:right w:val="nil"/>
            </w:tcBorders>
          </w:tcPr>
          <w:p w14:paraId="50C6421B" w14:textId="77777777" w:rsidR="00D21EA2" w:rsidRPr="003A3CEF" w:rsidRDefault="00531A88">
            <w:pPr>
              <w:pStyle w:val="TableParagraph"/>
              <w:ind w:left="69" w:right="3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Si</w:t>
            </w:r>
            <w:proofErr w:type="spellEnd"/>
          </w:p>
        </w:tc>
      </w:tr>
      <w:tr w:rsidR="00D21EA2" w:rsidRPr="003A3CEF" w14:paraId="6AEF240C" w14:textId="77777777">
        <w:trPr>
          <w:trHeight w:val="329"/>
        </w:trPr>
        <w:tc>
          <w:tcPr>
            <w:tcW w:w="1631" w:type="dxa"/>
            <w:tcBorders>
              <w:left w:val="nil"/>
            </w:tcBorders>
          </w:tcPr>
          <w:p w14:paraId="7C2623E7" w14:textId="77777777" w:rsidR="00D21EA2" w:rsidRPr="003A3CEF" w:rsidRDefault="00531A88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≤ 0,1 %</w:t>
            </w:r>
          </w:p>
        </w:tc>
        <w:tc>
          <w:tcPr>
            <w:tcW w:w="1637" w:type="dxa"/>
          </w:tcPr>
          <w:p w14:paraId="5E3C4DC7" w14:textId="77777777" w:rsidR="00D21EA2" w:rsidRPr="003A3CEF" w:rsidRDefault="00531A88">
            <w:pPr>
              <w:pStyle w:val="TableParagraph"/>
              <w:spacing w:before="80"/>
              <w:ind w:left="37"/>
              <w:rPr>
                <w:sz w:val="18"/>
              </w:rPr>
            </w:pPr>
            <w:r>
              <w:rPr>
                <w:sz w:val="18"/>
              </w:rPr>
              <w:t>≤ 0,1 %</w:t>
            </w:r>
          </w:p>
        </w:tc>
        <w:tc>
          <w:tcPr>
            <w:tcW w:w="1637" w:type="dxa"/>
          </w:tcPr>
          <w:p w14:paraId="4A80A4AF" w14:textId="77777777" w:rsidR="00D21EA2" w:rsidRPr="003A3CEF" w:rsidRDefault="00531A88">
            <w:pPr>
              <w:pStyle w:val="TableParagraph"/>
              <w:spacing w:before="80"/>
              <w:ind w:left="37"/>
              <w:rPr>
                <w:sz w:val="18"/>
              </w:rPr>
            </w:pPr>
            <w:r>
              <w:rPr>
                <w:sz w:val="18"/>
              </w:rPr>
              <w:t>≤ 0,1 %</w:t>
            </w:r>
          </w:p>
        </w:tc>
        <w:tc>
          <w:tcPr>
            <w:tcW w:w="1637" w:type="dxa"/>
          </w:tcPr>
          <w:p w14:paraId="443A9BCD" w14:textId="77777777" w:rsidR="00D21EA2" w:rsidRPr="003A3CEF" w:rsidRDefault="00531A88">
            <w:pPr>
              <w:pStyle w:val="TableParagraph"/>
              <w:spacing w:before="80"/>
              <w:ind w:left="36"/>
              <w:rPr>
                <w:sz w:val="18"/>
              </w:rPr>
            </w:pPr>
            <w:r>
              <w:rPr>
                <w:sz w:val="18"/>
              </w:rPr>
              <w:t>≤ 0,1 %</w:t>
            </w:r>
          </w:p>
        </w:tc>
        <w:tc>
          <w:tcPr>
            <w:tcW w:w="1643" w:type="dxa"/>
            <w:tcBorders>
              <w:right w:val="nil"/>
            </w:tcBorders>
          </w:tcPr>
          <w:p w14:paraId="1777D33A" w14:textId="77777777" w:rsidR="00D21EA2" w:rsidRPr="003A3CEF" w:rsidRDefault="00531A88">
            <w:pPr>
              <w:pStyle w:val="TableParagraph"/>
              <w:spacing w:before="80"/>
              <w:ind w:left="35"/>
              <w:rPr>
                <w:sz w:val="18"/>
              </w:rPr>
            </w:pPr>
            <w:r>
              <w:rPr>
                <w:sz w:val="18"/>
              </w:rPr>
              <w:t>≤ 0,10 %</w:t>
            </w:r>
          </w:p>
        </w:tc>
      </w:tr>
    </w:tbl>
    <w:p w14:paraId="46CEFC27" w14:textId="77777777" w:rsidR="001D7495" w:rsidRPr="001D7495" w:rsidRDefault="00531A88">
      <w:pPr>
        <w:pStyle w:val="ListParagraph"/>
        <w:numPr>
          <w:ilvl w:val="2"/>
          <w:numId w:val="2"/>
        </w:numPr>
        <w:tabs>
          <w:tab w:val="left" w:pos="1025"/>
        </w:tabs>
        <w:spacing w:before="126" w:line="336" w:lineRule="auto"/>
        <w:ind w:right="6586" w:firstLine="0"/>
        <w:rPr>
          <w:sz w:val="18"/>
        </w:rPr>
      </w:pPr>
      <w:r>
        <w:rPr>
          <w:sz w:val="18"/>
        </w:rPr>
        <w:t>Vertailumateriaali</w:t>
      </w:r>
    </w:p>
    <w:p w14:paraId="7346C13D" w14:textId="7456F3AC" w:rsidR="00D21EA2" w:rsidRPr="003A3CEF" w:rsidRDefault="00531A88" w:rsidP="001D7495">
      <w:pPr>
        <w:pStyle w:val="ListParagraph"/>
        <w:tabs>
          <w:tab w:val="left" w:pos="1025"/>
        </w:tabs>
        <w:spacing w:before="0" w:line="336" w:lineRule="auto"/>
        <w:ind w:left="437" w:right="79" w:firstLine="0"/>
        <w:rPr>
          <w:sz w:val="18"/>
        </w:rPr>
      </w:pPr>
      <w:r>
        <w:rPr>
          <w:sz w:val="18"/>
        </w:rPr>
        <w:t>Seosaineet (% (m/m)):</w:t>
      </w: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1621"/>
        <w:gridCol w:w="1621"/>
        <w:gridCol w:w="1627"/>
      </w:tblGrid>
      <w:tr w:rsidR="00D21EA2" w:rsidRPr="003A3CEF" w14:paraId="1600CCC3" w14:textId="77777777">
        <w:trPr>
          <w:trHeight w:val="216"/>
        </w:trPr>
        <w:tc>
          <w:tcPr>
            <w:tcW w:w="1615" w:type="dxa"/>
            <w:tcBorders>
              <w:left w:val="nil"/>
            </w:tcBorders>
          </w:tcPr>
          <w:p w14:paraId="7C703C1D" w14:textId="77777777" w:rsidR="00D21EA2" w:rsidRPr="003A3CEF" w:rsidRDefault="00531A88">
            <w:pPr>
              <w:pStyle w:val="TableParagraph"/>
              <w:spacing w:before="0" w:line="182" w:lineRule="exact"/>
              <w:ind w:right="3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Cu</w:t>
            </w:r>
            <w:proofErr w:type="spellEnd"/>
          </w:p>
        </w:tc>
        <w:tc>
          <w:tcPr>
            <w:tcW w:w="1621" w:type="dxa"/>
          </w:tcPr>
          <w:p w14:paraId="78BF2795" w14:textId="77777777" w:rsidR="00D21EA2" w:rsidRPr="003A3CEF" w:rsidRDefault="00531A88">
            <w:pPr>
              <w:pStyle w:val="TableParagraph"/>
              <w:spacing w:before="0" w:line="182" w:lineRule="exact"/>
              <w:ind w:right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Zn</w:t>
            </w:r>
            <w:proofErr w:type="spellEnd"/>
          </w:p>
        </w:tc>
        <w:tc>
          <w:tcPr>
            <w:tcW w:w="1621" w:type="dxa"/>
          </w:tcPr>
          <w:p w14:paraId="585E737E" w14:textId="77777777" w:rsidR="00D21EA2" w:rsidRPr="003A3CEF" w:rsidRDefault="00531A88">
            <w:pPr>
              <w:pStyle w:val="TableParagraph"/>
              <w:spacing w:before="0" w:line="182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Sn</w:t>
            </w:r>
          </w:p>
        </w:tc>
        <w:tc>
          <w:tcPr>
            <w:tcW w:w="1627" w:type="dxa"/>
            <w:tcBorders>
              <w:right w:val="nil"/>
            </w:tcBorders>
          </w:tcPr>
          <w:p w14:paraId="3A81860F" w14:textId="77777777" w:rsidR="00D21EA2" w:rsidRPr="003A3CEF" w:rsidRDefault="00531A88">
            <w:pPr>
              <w:pStyle w:val="TableParagraph"/>
              <w:spacing w:before="0" w:line="182" w:lineRule="exact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</w:tr>
      <w:tr w:rsidR="00D21EA2" w:rsidRPr="003A3CEF" w14:paraId="31E3E0AF" w14:textId="77777777">
        <w:trPr>
          <w:trHeight w:val="329"/>
        </w:trPr>
        <w:tc>
          <w:tcPr>
            <w:tcW w:w="1615" w:type="dxa"/>
            <w:tcBorders>
              <w:left w:val="nil"/>
            </w:tcBorders>
          </w:tcPr>
          <w:p w14:paraId="37BC0A1D" w14:textId="77777777" w:rsidR="00D21EA2" w:rsidRPr="003A3CEF" w:rsidRDefault="00531A88">
            <w:pPr>
              <w:pStyle w:val="TableParagraph"/>
              <w:spacing w:before="70"/>
              <w:rPr>
                <w:sz w:val="18"/>
              </w:rPr>
            </w:pPr>
            <w:r>
              <w:rPr>
                <w:sz w:val="18"/>
              </w:rPr>
              <w:t>63,5–65,0 %</w:t>
            </w:r>
          </w:p>
        </w:tc>
        <w:tc>
          <w:tcPr>
            <w:tcW w:w="1621" w:type="dxa"/>
          </w:tcPr>
          <w:p w14:paraId="43DCD9FE" w14:textId="77777777" w:rsidR="00D21EA2" w:rsidRPr="003A3CEF" w:rsidRDefault="00531A88">
            <w:pPr>
              <w:pStyle w:val="TableParagraph"/>
              <w:spacing w:before="70"/>
              <w:ind w:left="37"/>
              <w:rPr>
                <w:sz w:val="18"/>
              </w:rPr>
            </w:pPr>
            <w:r>
              <w:rPr>
                <w:sz w:val="18"/>
              </w:rPr>
              <w:t>Loput</w:t>
            </w:r>
          </w:p>
        </w:tc>
        <w:tc>
          <w:tcPr>
            <w:tcW w:w="1621" w:type="dxa"/>
          </w:tcPr>
          <w:p w14:paraId="0AA3CEDA" w14:textId="77777777" w:rsidR="00D21EA2" w:rsidRPr="003A3CEF" w:rsidRDefault="00531A88">
            <w:pPr>
              <w:pStyle w:val="TableParagraph"/>
              <w:spacing w:before="70"/>
              <w:ind w:left="36"/>
              <w:rPr>
                <w:sz w:val="18"/>
              </w:rPr>
            </w:pPr>
            <w:r>
              <w:rPr>
                <w:sz w:val="18"/>
              </w:rPr>
              <w:t>0,5–1,0 %</w:t>
            </w:r>
          </w:p>
        </w:tc>
        <w:tc>
          <w:tcPr>
            <w:tcW w:w="1627" w:type="dxa"/>
            <w:tcBorders>
              <w:right w:val="nil"/>
            </w:tcBorders>
          </w:tcPr>
          <w:p w14:paraId="4943320C" w14:textId="77777777" w:rsidR="00D21EA2" w:rsidRPr="003A3CEF" w:rsidRDefault="00531A88">
            <w:pPr>
              <w:pStyle w:val="TableParagraph"/>
              <w:spacing w:before="70"/>
              <w:ind w:left="36"/>
              <w:rPr>
                <w:sz w:val="18"/>
              </w:rPr>
            </w:pPr>
            <w:r>
              <w:rPr>
                <w:sz w:val="18"/>
              </w:rPr>
              <w:t>0,05–0,10 %</w:t>
            </w:r>
          </w:p>
        </w:tc>
      </w:tr>
    </w:tbl>
    <w:p w14:paraId="0E2F69C0" w14:textId="77777777" w:rsidR="00D21EA2" w:rsidRPr="003A3CEF" w:rsidRDefault="00531A88">
      <w:pPr>
        <w:pStyle w:val="BodyText"/>
        <w:spacing w:before="115"/>
      </w:pPr>
      <w:r>
        <w:t>Epäpuhtaudet (% (m/m)):</w:t>
      </w:r>
    </w:p>
    <w:p w14:paraId="4BF8ABDD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1637"/>
        <w:gridCol w:w="1637"/>
        <w:gridCol w:w="1637"/>
        <w:gridCol w:w="1643"/>
      </w:tblGrid>
      <w:tr w:rsidR="00D21EA2" w:rsidRPr="003A3CEF" w14:paraId="048C3806" w14:textId="77777777">
        <w:trPr>
          <w:trHeight w:val="216"/>
        </w:trPr>
        <w:tc>
          <w:tcPr>
            <w:tcW w:w="1631" w:type="dxa"/>
            <w:tcBorders>
              <w:left w:val="nil"/>
            </w:tcBorders>
          </w:tcPr>
          <w:p w14:paraId="1DE61135" w14:textId="77777777" w:rsidR="00D21EA2" w:rsidRPr="003A3CEF" w:rsidRDefault="00531A88">
            <w:pPr>
              <w:pStyle w:val="TableParagraph"/>
              <w:ind w:right="3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Al</w:t>
            </w:r>
            <w:proofErr w:type="spellEnd"/>
          </w:p>
        </w:tc>
        <w:tc>
          <w:tcPr>
            <w:tcW w:w="1637" w:type="dxa"/>
          </w:tcPr>
          <w:p w14:paraId="1E2EE284" w14:textId="77777777" w:rsidR="00D21EA2" w:rsidRPr="003A3CEF" w:rsidRDefault="00531A88">
            <w:pPr>
              <w:pStyle w:val="TableParagraph"/>
              <w:ind w:left="1" w:right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Fe</w:t>
            </w:r>
            <w:proofErr w:type="spellEnd"/>
          </w:p>
        </w:tc>
        <w:tc>
          <w:tcPr>
            <w:tcW w:w="1637" w:type="dxa"/>
          </w:tcPr>
          <w:p w14:paraId="07B4A7A4" w14:textId="77777777" w:rsidR="00D21EA2" w:rsidRPr="003A3CEF" w:rsidRDefault="00531A88">
            <w:pPr>
              <w:pStyle w:val="TableParagraph"/>
              <w:ind w:right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Ni</w:t>
            </w:r>
            <w:proofErr w:type="spellEnd"/>
          </w:p>
        </w:tc>
        <w:tc>
          <w:tcPr>
            <w:tcW w:w="1637" w:type="dxa"/>
          </w:tcPr>
          <w:p w14:paraId="388FEF35" w14:textId="77777777" w:rsidR="00D21EA2" w:rsidRPr="003A3CEF" w:rsidRDefault="00531A88">
            <w:pPr>
              <w:pStyle w:val="TableParagraph"/>
              <w:ind w:left="1" w:right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Pb</w:t>
            </w:r>
            <w:proofErr w:type="spellEnd"/>
          </w:p>
        </w:tc>
        <w:tc>
          <w:tcPr>
            <w:tcW w:w="1643" w:type="dxa"/>
            <w:tcBorders>
              <w:right w:val="nil"/>
            </w:tcBorders>
          </w:tcPr>
          <w:p w14:paraId="04D899AD" w14:textId="77777777" w:rsidR="00D21EA2" w:rsidRPr="003A3CEF" w:rsidRDefault="00531A88">
            <w:pPr>
              <w:pStyle w:val="TableParagraph"/>
              <w:ind w:left="69" w:right="3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Si</w:t>
            </w:r>
            <w:proofErr w:type="spellEnd"/>
          </w:p>
        </w:tc>
      </w:tr>
      <w:tr w:rsidR="00D21EA2" w:rsidRPr="003A3CEF" w14:paraId="2FE1B2EA" w14:textId="77777777">
        <w:trPr>
          <w:trHeight w:val="329"/>
        </w:trPr>
        <w:tc>
          <w:tcPr>
            <w:tcW w:w="1631" w:type="dxa"/>
            <w:tcBorders>
              <w:left w:val="nil"/>
            </w:tcBorders>
          </w:tcPr>
          <w:p w14:paraId="124DFE2C" w14:textId="77777777" w:rsidR="00D21EA2" w:rsidRPr="003A3CEF" w:rsidRDefault="00531A88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≤ 0,05 %</w:t>
            </w:r>
          </w:p>
        </w:tc>
        <w:tc>
          <w:tcPr>
            <w:tcW w:w="1637" w:type="dxa"/>
          </w:tcPr>
          <w:p w14:paraId="551C961B" w14:textId="77777777" w:rsidR="00D21EA2" w:rsidRPr="003A3CEF" w:rsidRDefault="00531A88">
            <w:pPr>
              <w:pStyle w:val="TableParagraph"/>
              <w:spacing w:before="80"/>
              <w:ind w:left="37"/>
              <w:rPr>
                <w:sz w:val="18"/>
              </w:rPr>
            </w:pPr>
            <w:r>
              <w:rPr>
                <w:sz w:val="18"/>
              </w:rPr>
              <w:t>≤ 0,10 %</w:t>
            </w:r>
          </w:p>
        </w:tc>
        <w:tc>
          <w:tcPr>
            <w:tcW w:w="1637" w:type="dxa"/>
          </w:tcPr>
          <w:p w14:paraId="44B76585" w14:textId="77777777" w:rsidR="00D21EA2" w:rsidRPr="003A3CEF" w:rsidRDefault="00531A88">
            <w:pPr>
              <w:pStyle w:val="TableParagraph"/>
              <w:spacing w:before="80"/>
              <w:ind w:left="37"/>
              <w:rPr>
                <w:sz w:val="18"/>
              </w:rPr>
            </w:pPr>
            <w:r>
              <w:rPr>
                <w:sz w:val="18"/>
              </w:rPr>
              <w:t>0,06–0,10 %</w:t>
            </w:r>
          </w:p>
        </w:tc>
        <w:tc>
          <w:tcPr>
            <w:tcW w:w="1637" w:type="dxa"/>
          </w:tcPr>
          <w:p w14:paraId="4ABE85BE" w14:textId="77777777" w:rsidR="00D21EA2" w:rsidRPr="003A3CEF" w:rsidRDefault="00531A88">
            <w:pPr>
              <w:pStyle w:val="TableParagraph"/>
              <w:spacing w:before="80"/>
              <w:ind w:left="36"/>
              <w:rPr>
                <w:sz w:val="18"/>
              </w:rPr>
            </w:pPr>
            <w:r>
              <w:rPr>
                <w:sz w:val="18"/>
              </w:rPr>
              <w:t>0,06–0,10 %</w:t>
            </w:r>
          </w:p>
        </w:tc>
        <w:tc>
          <w:tcPr>
            <w:tcW w:w="1643" w:type="dxa"/>
            <w:tcBorders>
              <w:right w:val="nil"/>
            </w:tcBorders>
          </w:tcPr>
          <w:p w14:paraId="0A1DAF7B" w14:textId="77777777" w:rsidR="00D21EA2" w:rsidRPr="003A3CEF" w:rsidRDefault="00531A88">
            <w:pPr>
              <w:pStyle w:val="TableParagraph"/>
              <w:spacing w:before="80"/>
              <w:ind w:left="35"/>
              <w:rPr>
                <w:sz w:val="18"/>
              </w:rPr>
            </w:pPr>
            <w:r>
              <w:rPr>
                <w:sz w:val="18"/>
              </w:rPr>
              <w:t>≤ 0,10 %</w:t>
            </w:r>
          </w:p>
        </w:tc>
      </w:tr>
    </w:tbl>
    <w:p w14:paraId="00997B73" w14:textId="77777777" w:rsidR="00D21EA2" w:rsidRPr="003A3CEF" w:rsidRDefault="00531A88">
      <w:pPr>
        <w:pStyle w:val="BodyText"/>
        <w:spacing w:before="127" w:line="249" w:lineRule="auto"/>
      </w:pPr>
      <w:r>
        <w:t xml:space="preserve">Vertailutestauksessa määritettävät elementit standardin DIN EN 15664-1 mukaisesti kontaktivedessä: lyijy, kupari, </w:t>
      </w:r>
      <w:r>
        <w:lastRenderedPageBreak/>
        <w:t xml:space="preserve">nikkeli, sinkki </w:t>
      </w:r>
    </w:p>
    <w:p w14:paraId="2256FA56" w14:textId="77777777" w:rsidR="001D7495" w:rsidRDefault="00531A88">
      <w:pPr>
        <w:pStyle w:val="BodyText"/>
        <w:spacing w:before="74" w:line="336" w:lineRule="auto"/>
        <w:ind w:right="6536"/>
      </w:pPr>
      <w:r>
        <w:t xml:space="preserve">Kaikkein kriittisin testivesi: </w:t>
      </w:r>
    </w:p>
    <w:p w14:paraId="1B21A659" w14:textId="5A9507BE" w:rsidR="00D21EA2" w:rsidRPr="003A3CEF" w:rsidRDefault="00531A88" w:rsidP="001D7495">
      <w:pPr>
        <w:pStyle w:val="BodyText"/>
        <w:spacing w:before="0" w:line="336" w:lineRule="auto"/>
        <w:ind w:left="437" w:right="6538"/>
      </w:pPr>
      <w:r>
        <w:t>testivesi 1 standardin DIN EN 15664-2 mukaisesti</w:t>
      </w:r>
    </w:p>
    <w:p w14:paraId="5243829A" w14:textId="77777777" w:rsidR="00D21EA2" w:rsidRPr="003A3CEF" w:rsidRDefault="00531A88">
      <w:pPr>
        <w:pStyle w:val="ListParagraph"/>
        <w:numPr>
          <w:ilvl w:val="2"/>
          <w:numId w:val="2"/>
        </w:numPr>
        <w:tabs>
          <w:tab w:val="left" w:pos="1025"/>
        </w:tabs>
        <w:spacing w:before="101"/>
        <w:ind w:left="1025" w:hanging="590"/>
        <w:rPr>
          <w:sz w:val="18"/>
        </w:rPr>
      </w:pPr>
      <w:r>
        <w:rPr>
          <w:sz w:val="18"/>
        </w:rPr>
        <w:t>Juomavesikäyttöön soveltuvat materiaalit</w:t>
      </w:r>
    </w:p>
    <w:p w14:paraId="02F62D09" w14:textId="77777777" w:rsidR="00D21EA2" w:rsidRPr="003A3CEF" w:rsidRDefault="00531A88">
      <w:pPr>
        <w:pStyle w:val="ListParagraph"/>
        <w:numPr>
          <w:ilvl w:val="3"/>
          <w:numId w:val="2"/>
        </w:numPr>
        <w:tabs>
          <w:tab w:val="left" w:pos="1179"/>
        </w:tabs>
        <w:spacing w:before="77"/>
        <w:ind w:left="1179" w:hanging="744"/>
        <w:rPr>
          <w:sz w:val="18"/>
        </w:rPr>
      </w:pPr>
      <w:r>
        <w:rPr>
          <w:sz w:val="18"/>
        </w:rPr>
        <w:t>CW7</w:t>
      </w:r>
      <w:r>
        <w:rPr>
          <w:sz w:val="18"/>
        </w:rPr>
        <w:t>27R-DW (CuZn35Sn1P)</w:t>
      </w:r>
    </w:p>
    <w:p w14:paraId="392A52A4" w14:textId="77777777" w:rsidR="00D21EA2" w:rsidRPr="003A3CEF" w:rsidRDefault="00D21EA2">
      <w:pPr>
        <w:pStyle w:val="BodyText"/>
        <w:spacing w:before="4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2679"/>
      </w:tblGrid>
      <w:tr w:rsidR="00D21EA2" w:rsidRPr="003A3CEF" w14:paraId="1E5A04ED" w14:textId="77777777">
        <w:trPr>
          <w:trHeight w:val="216"/>
        </w:trPr>
        <w:tc>
          <w:tcPr>
            <w:tcW w:w="2668" w:type="dxa"/>
            <w:tcBorders>
              <w:left w:val="nil"/>
            </w:tcBorders>
          </w:tcPr>
          <w:p w14:paraId="27B1230A" w14:textId="77777777" w:rsidR="00D21EA2" w:rsidRPr="003A3CEF" w:rsidRDefault="00531A88">
            <w:pPr>
              <w:pStyle w:val="TableParagraph"/>
              <w:ind w:left="846"/>
              <w:rPr>
                <w:sz w:val="16"/>
              </w:rPr>
            </w:pPr>
            <w:r>
              <w:rPr>
                <w:sz w:val="16"/>
              </w:rPr>
              <w:t>Nimike:</w:t>
            </w:r>
          </w:p>
        </w:tc>
        <w:tc>
          <w:tcPr>
            <w:tcW w:w="2679" w:type="dxa"/>
            <w:tcBorders>
              <w:right w:val="nil"/>
            </w:tcBorders>
          </w:tcPr>
          <w:p w14:paraId="519A0FB9" w14:textId="77777777" w:rsidR="00D21EA2" w:rsidRPr="003A3CEF" w:rsidRDefault="00531A88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Tuoteryhmä</w:t>
            </w:r>
          </w:p>
        </w:tc>
      </w:tr>
      <w:tr w:rsidR="00D21EA2" w:rsidRPr="003A3CEF" w14:paraId="1D1406F2" w14:textId="77777777">
        <w:trPr>
          <w:trHeight w:val="316"/>
        </w:trPr>
        <w:tc>
          <w:tcPr>
            <w:tcW w:w="2668" w:type="dxa"/>
            <w:tcBorders>
              <w:left w:val="nil"/>
            </w:tcBorders>
          </w:tcPr>
          <w:p w14:paraId="7E7BADF8" w14:textId="77777777" w:rsidR="00D21EA2" w:rsidRPr="003A3CEF" w:rsidRDefault="00531A88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CW727R-DW (CuZn35Sn1P)</w:t>
            </w:r>
          </w:p>
        </w:tc>
        <w:tc>
          <w:tcPr>
            <w:tcW w:w="2679" w:type="dxa"/>
            <w:tcBorders>
              <w:right w:val="nil"/>
            </w:tcBorders>
          </w:tcPr>
          <w:p w14:paraId="69CDF3EF" w14:textId="77777777" w:rsidR="00D21EA2" w:rsidRPr="003A3CEF" w:rsidRDefault="00531A88">
            <w:pPr>
              <w:pStyle w:val="TableParagraph"/>
              <w:spacing w:before="76"/>
              <w:ind w:left="37"/>
              <w:rPr>
                <w:sz w:val="18"/>
              </w:rPr>
            </w:pPr>
            <w:r>
              <w:rPr>
                <w:sz w:val="18"/>
              </w:rPr>
              <w:t>B–D</w:t>
            </w:r>
          </w:p>
        </w:tc>
      </w:tr>
    </w:tbl>
    <w:p w14:paraId="245B33B4" w14:textId="77777777" w:rsidR="00D21EA2" w:rsidRPr="003A3CEF" w:rsidRDefault="00531A88">
      <w:pPr>
        <w:pStyle w:val="BodyText"/>
        <w:spacing w:before="117"/>
      </w:pPr>
      <w:r>
        <w:t>Seosaineet (% (m/m)):</w:t>
      </w:r>
    </w:p>
    <w:p w14:paraId="59DB464C" w14:textId="77777777" w:rsidR="00D21EA2" w:rsidRPr="003A3CEF" w:rsidRDefault="00D21EA2">
      <w:pPr>
        <w:pStyle w:val="BodyText"/>
        <w:spacing w:before="4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3"/>
        <w:gridCol w:w="1649"/>
        <w:gridCol w:w="1649"/>
        <w:gridCol w:w="1655"/>
      </w:tblGrid>
      <w:tr w:rsidR="00D21EA2" w:rsidRPr="003A3CEF" w14:paraId="388A4C83" w14:textId="77777777">
        <w:trPr>
          <w:trHeight w:val="216"/>
        </w:trPr>
        <w:tc>
          <w:tcPr>
            <w:tcW w:w="1643" w:type="dxa"/>
            <w:tcBorders>
              <w:left w:val="nil"/>
            </w:tcBorders>
          </w:tcPr>
          <w:p w14:paraId="4C24BD81" w14:textId="77777777" w:rsidR="00D21EA2" w:rsidRPr="003A3CEF" w:rsidRDefault="00531A88">
            <w:pPr>
              <w:pStyle w:val="TableParagraph"/>
              <w:ind w:left="33" w:right="69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Cu</w:t>
            </w:r>
            <w:proofErr w:type="spellEnd"/>
          </w:p>
        </w:tc>
        <w:tc>
          <w:tcPr>
            <w:tcW w:w="1649" w:type="dxa"/>
          </w:tcPr>
          <w:p w14:paraId="3886ED48" w14:textId="77777777" w:rsidR="00D21EA2" w:rsidRPr="003A3CEF" w:rsidRDefault="00531A88">
            <w:pPr>
              <w:pStyle w:val="TableParagraph"/>
              <w:ind w:left="1" w:right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Zn</w:t>
            </w:r>
            <w:proofErr w:type="spellEnd"/>
          </w:p>
        </w:tc>
        <w:tc>
          <w:tcPr>
            <w:tcW w:w="1649" w:type="dxa"/>
          </w:tcPr>
          <w:p w14:paraId="2B49C0D1" w14:textId="77777777" w:rsidR="00D21EA2" w:rsidRPr="003A3CEF" w:rsidRDefault="00531A88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Sn</w:t>
            </w:r>
          </w:p>
        </w:tc>
        <w:tc>
          <w:tcPr>
            <w:tcW w:w="1655" w:type="dxa"/>
            <w:tcBorders>
              <w:right w:val="nil"/>
            </w:tcBorders>
          </w:tcPr>
          <w:p w14:paraId="4776EDB6" w14:textId="77777777" w:rsidR="00D21EA2" w:rsidRPr="003A3CEF" w:rsidRDefault="00531A88"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</w:tr>
      <w:tr w:rsidR="00D21EA2" w:rsidRPr="003A3CEF" w14:paraId="72F1B245" w14:textId="77777777">
        <w:trPr>
          <w:trHeight w:val="316"/>
        </w:trPr>
        <w:tc>
          <w:tcPr>
            <w:tcW w:w="1643" w:type="dxa"/>
            <w:tcBorders>
              <w:left w:val="nil"/>
            </w:tcBorders>
          </w:tcPr>
          <w:p w14:paraId="2CA61EEC" w14:textId="77777777" w:rsidR="00D21EA2" w:rsidRPr="003A3CEF" w:rsidRDefault="00531A88">
            <w:pPr>
              <w:pStyle w:val="TableParagraph"/>
              <w:spacing w:before="75"/>
              <w:rPr>
                <w:sz w:val="18"/>
              </w:rPr>
            </w:pPr>
            <w:r>
              <w:rPr>
                <w:sz w:val="18"/>
              </w:rPr>
              <w:t>63,5–65,0 %</w:t>
            </w:r>
          </w:p>
        </w:tc>
        <w:tc>
          <w:tcPr>
            <w:tcW w:w="1649" w:type="dxa"/>
          </w:tcPr>
          <w:p w14:paraId="7BFD1BB2" w14:textId="77777777" w:rsidR="00D21EA2" w:rsidRPr="003A3CEF" w:rsidRDefault="00531A88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Loput</w:t>
            </w:r>
          </w:p>
        </w:tc>
        <w:tc>
          <w:tcPr>
            <w:tcW w:w="1649" w:type="dxa"/>
          </w:tcPr>
          <w:p w14:paraId="381C854F" w14:textId="77777777" w:rsidR="00D21EA2" w:rsidRPr="003A3CEF" w:rsidRDefault="00531A88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0,5–1,0 %</w:t>
            </w:r>
          </w:p>
        </w:tc>
        <w:tc>
          <w:tcPr>
            <w:tcW w:w="1655" w:type="dxa"/>
            <w:tcBorders>
              <w:right w:val="nil"/>
            </w:tcBorders>
          </w:tcPr>
          <w:p w14:paraId="3932F51A" w14:textId="77777777" w:rsidR="00D21EA2" w:rsidRPr="003A3CEF" w:rsidRDefault="00531A88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0,05–0,15 %</w:t>
            </w:r>
          </w:p>
        </w:tc>
      </w:tr>
    </w:tbl>
    <w:p w14:paraId="3D50FA60" w14:textId="77777777" w:rsidR="00D21EA2" w:rsidRPr="003A3CEF" w:rsidRDefault="00531A88">
      <w:pPr>
        <w:pStyle w:val="BodyText"/>
        <w:spacing w:before="117"/>
      </w:pPr>
      <w:r>
        <w:t>Epäpuhtaudet (% (m/m)):</w:t>
      </w:r>
    </w:p>
    <w:p w14:paraId="66A211B6" w14:textId="77777777" w:rsidR="00D21EA2" w:rsidRPr="003A3CEF" w:rsidRDefault="00D21EA2">
      <w:pPr>
        <w:pStyle w:val="BodyText"/>
        <w:spacing w:before="4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1637"/>
        <w:gridCol w:w="1637"/>
        <w:gridCol w:w="1637"/>
        <w:gridCol w:w="1643"/>
      </w:tblGrid>
      <w:tr w:rsidR="00D21EA2" w:rsidRPr="003A3CEF" w14:paraId="15387E81" w14:textId="77777777">
        <w:trPr>
          <w:trHeight w:val="216"/>
        </w:trPr>
        <w:tc>
          <w:tcPr>
            <w:tcW w:w="1631" w:type="dxa"/>
            <w:tcBorders>
              <w:left w:val="nil"/>
            </w:tcBorders>
          </w:tcPr>
          <w:p w14:paraId="728E4EFA" w14:textId="77777777" w:rsidR="00D21EA2" w:rsidRPr="003A3CEF" w:rsidRDefault="00531A88">
            <w:pPr>
              <w:pStyle w:val="TableParagraph"/>
              <w:ind w:right="3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Al</w:t>
            </w:r>
            <w:proofErr w:type="spellEnd"/>
          </w:p>
        </w:tc>
        <w:tc>
          <w:tcPr>
            <w:tcW w:w="1637" w:type="dxa"/>
          </w:tcPr>
          <w:p w14:paraId="5878C12F" w14:textId="77777777" w:rsidR="00D21EA2" w:rsidRPr="003A3CEF" w:rsidRDefault="00531A88">
            <w:pPr>
              <w:pStyle w:val="TableParagraph"/>
              <w:ind w:left="1" w:right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Fe</w:t>
            </w:r>
            <w:proofErr w:type="spellEnd"/>
          </w:p>
        </w:tc>
        <w:tc>
          <w:tcPr>
            <w:tcW w:w="1637" w:type="dxa"/>
          </w:tcPr>
          <w:p w14:paraId="2B98055D" w14:textId="77777777" w:rsidR="00D21EA2" w:rsidRPr="003A3CEF" w:rsidRDefault="00531A88">
            <w:pPr>
              <w:pStyle w:val="TableParagraph"/>
              <w:ind w:right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Ni</w:t>
            </w:r>
            <w:proofErr w:type="spellEnd"/>
          </w:p>
        </w:tc>
        <w:tc>
          <w:tcPr>
            <w:tcW w:w="1637" w:type="dxa"/>
          </w:tcPr>
          <w:p w14:paraId="021279BC" w14:textId="77777777" w:rsidR="00D21EA2" w:rsidRPr="003A3CEF" w:rsidRDefault="00531A88">
            <w:pPr>
              <w:pStyle w:val="TableParagraph"/>
              <w:ind w:left="1" w:right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Pb</w:t>
            </w:r>
            <w:proofErr w:type="spellEnd"/>
          </w:p>
        </w:tc>
        <w:tc>
          <w:tcPr>
            <w:tcW w:w="1643" w:type="dxa"/>
            <w:tcBorders>
              <w:right w:val="nil"/>
            </w:tcBorders>
          </w:tcPr>
          <w:p w14:paraId="19D4D693" w14:textId="77777777" w:rsidR="00D21EA2" w:rsidRPr="003A3CEF" w:rsidRDefault="00531A88">
            <w:pPr>
              <w:pStyle w:val="TableParagraph"/>
              <w:ind w:left="69" w:right="3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Si</w:t>
            </w:r>
            <w:proofErr w:type="spellEnd"/>
          </w:p>
        </w:tc>
      </w:tr>
      <w:tr w:rsidR="00D21EA2" w:rsidRPr="003A3CEF" w14:paraId="1B292E15" w14:textId="77777777">
        <w:trPr>
          <w:trHeight w:val="316"/>
        </w:trPr>
        <w:tc>
          <w:tcPr>
            <w:tcW w:w="1631" w:type="dxa"/>
            <w:tcBorders>
              <w:left w:val="nil"/>
            </w:tcBorders>
          </w:tcPr>
          <w:p w14:paraId="3359CEB7" w14:textId="77777777" w:rsidR="00D21EA2" w:rsidRPr="003A3CEF" w:rsidRDefault="00531A88">
            <w:pPr>
              <w:pStyle w:val="TableParagraph"/>
              <w:spacing w:before="75"/>
              <w:rPr>
                <w:sz w:val="18"/>
              </w:rPr>
            </w:pPr>
            <w:r>
              <w:rPr>
                <w:sz w:val="18"/>
              </w:rPr>
              <w:t>≤ 0,05 %</w:t>
            </w:r>
          </w:p>
        </w:tc>
        <w:tc>
          <w:tcPr>
            <w:tcW w:w="1637" w:type="dxa"/>
          </w:tcPr>
          <w:p w14:paraId="175C10A2" w14:textId="77777777" w:rsidR="00D21EA2" w:rsidRPr="003A3CEF" w:rsidRDefault="00531A88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≤ 0,10 %</w:t>
            </w:r>
          </w:p>
        </w:tc>
        <w:tc>
          <w:tcPr>
            <w:tcW w:w="1637" w:type="dxa"/>
          </w:tcPr>
          <w:p w14:paraId="41F6DBA3" w14:textId="77777777" w:rsidR="00D21EA2" w:rsidRPr="003A3CEF" w:rsidRDefault="00531A88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≤ 0,10 %</w:t>
            </w:r>
          </w:p>
        </w:tc>
        <w:tc>
          <w:tcPr>
            <w:tcW w:w="1637" w:type="dxa"/>
          </w:tcPr>
          <w:p w14:paraId="3654CC50" w14:textId="77777777" w:rsidR="00D21EA2" w:rsidRPr="003A3CEF" w:rsidRDefault="00531A88">
            <w:pPr>
              <w:pStyle w:val="TableParagraph"/>
              <w:spacing w:before="75"/>
              <w:ind w:left="36"/>
              <w:rPr>
                <w:sz w:val="18"/>
              </w:rPr>
            </w:pPr>
            <w:r>
              <w:rPr>
                <w:sz w:val="18"/>
              </w:rPr>
              <w:t>≤ 0,10 %</w:t>
            </w:r>
          </w:p>
        </w:tc>
        <w:tc>
          <w:tcPr>
            <w:tcW w:w="1643" w:type="dxa"/>
            <w:tcBorders>
              <w:right w:val="nil"/>
            </w:tcBorders>
          </w:tcPr>
          <w:p w14:paraId="6E2EF991" w14:textId="77777777" w:rsidR="00D21EA2" w:rsidRPr="003A3CEF" w:rsidRDefault="00531A88">
            <w:pPr>
              <w:pStyle w:val="TableParagraph"/>
              <w:spacing w:before="75"/>
              <w:ind w:left="35"/>
              <w:rPr>
                <w:sz w:val="18"/>
              </w:rPr>
            </w:pPr>
            <w:r>
              <w:rPr>
                <w:sz w:val="18"/>
              </w:rPr>
              <w:t>≤ 0,10 %</w:t>
            </w:r>
          </w:p>
        </w:tc>
      </w:tr>
    </w:tbl>
    <w:p w14:paraId="15D99F97" w14:textId="18F52D0D" w:rsidR="00D21EA2" w:rsidRPr="003A3CEF" w:rsidRDefault="00531A88">
      <w:pPr>
        <w:pStyle w:val="ListParagraph"/>
        <w:numPr>
          <w:ilvl w:val="0"/>
          <w:numId w:val="4"/>
        </w:numPr>
        <w:tabs>
          <w:tab w:val="left" w:pos="435"/>
        </w:tabs>
        <w:spacing w:before="117" w:line="249" w:lineRule="auto"/>
        <w:ind w:right="106" w:hanging="319"/>
        <w:jc w:val="both"/>
        <w:rPr>
          <w:sz w:val="18"/>
        </w:rPr>
      </w:pPr>
      <w:r>
        <w:rPr>
          <w:sz w:val="18"/>
        </w:rPr>
        <w:t>Liitteessä ”Luettelo juomavesikäyttöön soveltuvista metallisista materiaaleista” uuden luokan 2.8 lisääminen johtaa siihen, että 2 kohdassa olevia numerointeja siirretään.</w:t>
      </w:r>
    </w:p>
    <w:p w14:paraId="2CF4D805" w14:textId="08C1DD69" w:rsidR="00D21EA2" w:rsidRPr="00693F62" w:rsidRDefault="00531A88" w:rsidP="001D7495">
      <w:pPr>
        <w:pStyle w:val="ListParagraph"/>
        <w:numPr>
          <w:ilvl w:val="0"/>
          <w:numId w:val="4"/>
        </w:numPr>
        <w:tabs>
          <w:tab w:val="left" w:pos="435"/>
        </w:tabs>
        <w:spacing w:before="80" w:line="250" w:lineRule="auto"/>
        <w:ind w:left="431" w:right="108" w:hanging="318"/>
        <w:jc w:val="both"/>
        <w:rPr>
          <w:sz w:val="18"/>
        </w:rPr>
      </w:pPr>
      <w:r>
        <w:rPr>
          <w:sz w:val="18"/>
        </w:rPr>
        <w:t>Lisätään liitteeseen ”Luettelo juomavesikäyttöön soveltuvista metallisista materiaal</w:t>
      </w:r>
      <w:r>
        <w:rPr>
          <w:sz w:val="18"/>
        </w:rPr>
        <w:t xml:space="preserve">eista” 3 kohta ”Galvaaniset </w:t>
      </w:r>
      <w:proofErr w:type="spellStart"/>
      <w:r>
        <w:rPr>
          <w:sz w:val="18"/>
        </w:rPr>
        <w:t>Cu</w:t>
      </w:r>
      <w:proofErr w:type="spellEnd"/>
      <w:r>
        <w:rPr>
          <w:sz w:val="18"/>
        </w:rPr>
        <w:t>/Sn-pinnoitteet ulkopinnalla” seuraavasti:</w:t>
      </w:r>
    </w:p>
    <w:p w14:paraId="48100BBC" w14:textId="77777777" w:rsidR="00D21EA2" w:rsidRPr="003A3CEF" w:rsidRDefault="00531A88">
      <w:pPr>
        <w:pStyle w:val="ListParagraph"/>
        <w:numPr>
          <w:ilvl w:val="1"/>
          <w:numId w:val="1"/>
        </w:numPr>
        <w:tabs>
          <w:tab w:val="left" w:pos="871"/>
        </w:tabs>
        <w:spacing w:before="77"/>
        <w:ind w:left="871" w:hanging="436"/>
        <w:rPr>
          <w:sz w:val="18"/>
        </w:rPr>
      </w:pPr>
      <w:r>
        <w:rPr>
          <w:sz w:val="18"/>
        </w:rPr>
        <w:t xml:space="preserve">Galvaaniset </w:t>
      </w:r>
      <w:proofErr w:type="spellStart"/>
      <w:r>
        <w:rPr>
          <w:sz w:val="18"/>
        </w:rPr>
        <w:t>Cu</w:t>
      </w:r>
      <w:proofErr w:type="spellEnd"/>
      <w:r>
        <w:rPr>
          <w:sz w:val="18"/>
        </w:rPr>
        <w:t>/Sn-pinnoitteet ulkopinnalla</w:t>
      </w:r>
    </w:p>
    <w:p w14:paraId="2A9F15EC" w14:textId="77777777" w:rsidR="00D21EA2" w:rsidRPr="003A3CEF" w:rsidRDefault="00531A88">
      <w:pPr>
        <w:pStyle w:val="BodyText"/>
        <w:spacing w:before="78" w:line="249" w:lineRule="auto"/>
        <w:ind w:right="106"/>
        <w:jc w:val="both"/>
      </w:pPr>
      <w:r>
        <w:t>Komponentit, jotka on valmistettu kaikista 2 kohdan mukaisista metallisista materiaaleista. Tähän sallittujen aineiden luetteloon sisältyvie</w:t>
      </w:r>
      <w:r>
        <w:t xml:space="preserve">n liittimien, putkiliittimien, laitteiden ja pumppujen (B) sekä liittimien, putkiliittimien, laitteiden ja pumppujen (C) komponenttien materiaalit voidaan pinnoittaa galvaanisesti </w:t>
      </w:r>
      <w:proofErr w:type="spellStart"/>
      <w:r>
        <w:t>Cu</w:t>
      </w:r>
      <w:proofErr w:type="spellEnd"/>
      <w:r>
        <w:t>/Sn-pinnoitteella.</w:t>
      </w:r>
    </w:p>
    <w:p w14:paraId="3418C46B" w14:textId="77777777" w:rsidR="00D21EA2" w:rsidRPr="003A3CEF" w:rsidRDefault="00531A88">
      <w:pPr>
        <w:pStyle w:val="BodyText"/>
        <w:spacing w:before="71"/>
      </w:pPr>
      <w:r>
        <w:t>Rajoitukset:</w:t>
      </w:r>
    </w:p>
    <w:p w14:paraId="353413DD" w14:textId="77777777" w:rsidR="00D21EA2" w:rsidRPr="003A3CEF" w:rsidRDefault="00531A88">
      <w:pPr>
        <w:pStyle w:val="ListParagraph"/>
        <w:numPr>
          <w:ilvl w:val="2"/>
          <w:numId w:val="1"/>
        </w:numPr>
        <w:tabs>
          <w:tab w:val="left" w:pos="635"/>
        </w:tabs>
        <w:spacing w:before="77"/>
        <w:ind w:left="635" w:hanging="170"/>
        <w:jc w:val="left"/>
        <w:rPr>
          <w:sz w:val="18"/>
        </w:rPr>
      </w:pPr>
      <w:proofErr w:type="spellStart"/>
      <w:r>
        <w:rPr>
          <w:sz w:val="18"/>
        </w:rPr>
        <w:t>Cu</w:t>
      </w:r>
      <w:proofErr w:type="spellEnd"/>
      <w:r>
        <w:rPr>
          <w:sz w:val="18"/>
        </w:rPr>
        <w:t xml:space="preserve">/Sn-pinnoitteen ainesosat: </w:t>
      </w:r>
      <w:proofErr w:type="spellStart"/>
      <w:r>
        <w:rPr>
          <w:sz w:val="18"/>
        </w:rPr>
        <w:t>Cu</w:t>
      </w:r>
      <w:proofErr w:type="spellEnd"/>
      <w:r>
        <w:rPr>
          <w:sz w:val="18"/>
        </w:rPr>
        <w:t xml:space="preserve"> 62 (± 1) % ja Sn 38 (± 1) % (moolisuhde 1:1) </w:t>
      </w:r>
    </w:p>
    <w:p w14:paraId="29EADAB5" w14:textId="77777777" w:rsidR="00D21EA2" w:rsidRPr="003A3CEF" w:rsidRDefault="00531A88">
      <w:pPr>
        <w:pStyle w:val="ListParagraph"/>
        <w:numPr>
          <w:ilvl w:val="2"/>
          <w:numId w:val="1"/>
        </w:numPr>
        <w:tabs>
          <w:tab w:val="left" w:pos="635"/>
        </w:tabs>
        <w:spacing w:before="78"/>
        <w:ind w:left="635" w:hanging="170"/>
        <w:jc w:val="left"/>
        <w:rPr>
          <w:sz w:val="18"/>
        </w:rPr>
      </w:pPr>
      <w:r>
        <w:rPr>
          <w:sz w:val="18"/>
        </w:rPr>
        <w:t>Käytettyjen anodien puhtaus: ≥ 99,90 %</w:t>
      </w:r>
    </w:p>
    <w:p w14:paraId="06C76EB2" w14:textId="77777777" w:rsidR="001D7495" w:rsidRPr="001D7495" w:rsidRDefault="00531A88">
      <w:pPr>
        <w:pStyle w:val="ListParagraph"/>
        <w:numPr>
          <w:ilvl w:val="2"/>
          <w:numId w:val="1"/>
        </w:numPr>
        <w:tabs>
          <w:tab w:val="left" w:pos="634"/>
        </w:tabs>
        <w:spacing w:before="77" w:line="328" w:lineRule="auto"/>
        <w:ind w:right="5492" w:firstLine="29"/>
        <w:jc w:val="left"/>
        <w:rPr>
          <w:sz w:val="18"/>
        </w:rPr>
      </w:pPr>
      <w:r>
        <w:rPr>
          <w:sz w:val="18"/>
        </w:rPr>
        <w:t>Pinnoitteiden tuotantomenetelmä; galvanointi</w:t>
      </w:r>
    </w:p>
    <w:p w14:paraId="31D507EE" w14:textId="400479F4" w:rsidR="00D21EA2" w:rsidRPr="003A3CEF" w:rsidRDefault="00531A88" w:rsidP="001D7495">
      <w:pPr>
        <w:pStyle w:val="ListParagraph"/>
        <w:tabs>
          <w:tab w:val="left" w:pos="634"/>
        </w:tabs>
        <w:spacing w:before="0" w:line="329" w:lineRule="auto"/>
        <w:ind w:left="465" w:right="79" w:firstLine="0"/>
        <w:jc w:val="left"/>
        <w:rPr>
          <w:sz w:val="18"/>
        </w:rPr>
      </w:pPr>
      <w:r>
        <w:rPr>
          <w:sz w:val="18"/>
        </w:rPr>
        <w:t>Lisävaatimus:</w:t>
      </w:r>
    </w:p>
    <w:p w14:paraId="549DF573" w14:textId="77777777" w:rsidR="00D21EA2" w:rsidRPr="003A3CEF" w:rsidRDefault="00531A88">
      <w:pPr>
        <w:pStyle w:val="BodyText"/>
        <w:spacing w:before="3" w:line="249" w:lineRule="auto"/>
        <w:ind w:right="106"/>
        <w:jc w:val="both"/>
      </w:pPr>
      <w:r>
        <w:t>Kunkin tuotantoprosessin osalta on todistettava, että valmiissa tuotteissa ei ol</w:t>
      </w:r>
      <w:r>
        <w:t>e epäpuhtauksina orgaanisia eikä epäorgaanisia aineita, jotka on lisätty galvanointikylpyyn. Tämän voi todistaa standardin DIN EN 12873-1 mukaisella migraatiotestillä.</w:t>
      </w:r>
    </w:p>
    <w:p w14:paraId="4ADE1B43" w14:textId="4DA0ECB6" w:rsidR="00D21EA2" w:rsidRPr="003A3CEF" w:rsidRDefault="00531A88">
      <w:pPr>
        <w:pStyle w:val="BodyText"/>
        <w:spacing w:before="70" w:line="249" w:lineRule="auto"/>
        <w:ind w:right="106"/>
        <w:jc w:val="both"/>
      </w:pPr>
      <w:r>
        <w:t>Todistuksen voi saada hyväksyntä- tai sertifiointimenettelyn yhteydessä. Kyseisessä mene</w:t>
      </w:r>
      <w:r>
        <w:t>ttelyssä metallien liukenemistesti ei ole tarpeen. Lisäksi tarvitaan tuotantoprosessin laadunvarmistusjärjestelmä.</w:t>
      </w:r>
    </w:p>
    <w:p w14:paraId="45C8B50D" w14:textId="77777777" w:rsidR="00D21EA2" w:rsidRPr="003A3CEF" w:rsidRDefault="00531A88">
      <w:pPr>
        <w:pStyle w:val="ListParagraph"/>
        <w:numPr>
          <w:ilvl w:val="0"/>
          <w:numId w:val="4"/>
        </w:numPr>
        <w:tabs>
          <w:tab w:val="left" w:pos="435"/>
        </w:tabs>
        <w:spacing w:before="72" w:line="249" w:lineRule="auto"/>
        <w:ind w:right="106" w:hanging="319"/>
        <w:jc w:val="both"/>
        <w:rPr>
          <w:sz w:val="18"/>
        </w:rPr>
      </w:pPr>
      <w:r>
        <w:rPr>
          <w:sz w:val="18"/>
        </w:rPr>
        <w:t>Täydennetään liitteessä ”Luettelo juomavesikäyttöön soveltuvista metallisista materiaaleista” olevan 4 kohdan materiaaleja ”NiCr8020” ja ”</w:t>
      </w:r>
      <w:proofErr w:type="spellStart"/>
      <w:r>
        <w:rPr>
          <w:sz w:val="18"/>
        </w:rPr>
        <w:t>TaC</w:t>
      </w:r>
      <w:r>
        <w:rPr>
          <w:sz w:val="18"/>
        </w:rPr>
        <w:t>r</w:t>
      </w:r>
      <w:proofErr w:type="spellEnd"/>
      <w:r>
        <w:rPr>
          <w:sz w:val="18"/>
        </w:rPr>
        <w:t>” seuraavasti:</w:t>
      </w:r>
    </w:p>
    <w:p w14:paraId="3FD69A26" w14:textId="1D18AA04" w:rsidR="00D21EA2" w:rsidRPr="003A3CEF" w:rsidRDefault="00531A88">
      <w:pPr>
        <w:pStyle w:val="BodyText"/>
        <w:spacing w:before="70"/>
        <w:jc w:val="both"/>
      </w:pPr>
      <w:r>
        <w:t>4.3.2 NiCr8020</w:t>
      </w:r>
    </w:p>
    <w:p w14:paraId="26E48942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2679"/>
      </w:tblGrid>
      <w:tr w:rsidR="00D21EA2" w:rsidRPr="003A3CEF" w14:paraId="65002740" w14:textId="77777777">
        <w:trPr>
          <w:trHeight w:val="216"/>
        </w:trPr>
        <w:tc>
          <w:tcPr>
            <w:tcW w:w="2668" w:type="dxa"/>
            <w:tcBorders>
              <w:left w:val="nil"/>
            </w:tcBorders>
          </w:tcPr>
          <w:p w14:paraId="28728092" w14:textId="77777777" w:rsidR="00D21EA2" w:rsidRPr="003A3CEF" w:rsidRDefault="00531A88">
            <w:pPr>
              <w:pStyle w:val="TableParagraph"/>
              <w:ind w:left="846"/>
              <w:rPr>
                <w:sz w:val="16"/>
              </w:rPr>
            </w:pPr>
            <w:r>
              <w:rPr>
                <w:sz w:val="16"/>
              </w:rPr>
              <w:t>Nimike:</w:t>
            </w:r>
          </w:p>
        </w:tc>
        <w:tc>
          <w:tcPr>
            <w:tcW w:w="2679" w:type="dxa"/>
            <w:tcBorders>
              <w:right w:val="nil"/>
            </w:tcBorders>
          </w:tcPr>
          <w:p w14:paraId="4BBB217A" w14:textId="77777777" w:rsidR="00D21EA2" w:rsidRPr="003A3CEF" w:rsidRDefault="00531A88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Tuoteryhmä</w:t>
            </w:r>
          </w:p>
        </w:tc>
      </w:tr>
      <w:tr w:rsidR="00D21EA2" w:rsidRPr="003A3CEF" w14:paraId="6682B54C" w14:textId="77777777">
        <w:trPr>
          <w:trHeight w:val="317"/>
        </w:trPr>
        <w:tc>
          <w:tcPr>
            <w:tcW w:w="2668" w:type="dxa"/>
            <w:tcBorders>
              <w:left w:val="nil"/>
            </w:tcBorders>
          </w:tcPr>
          <w:p w14:paraId="51EEAB99" w14:textId="77777777" w:rsidR="00D21EA2" w:rsidRPr="003A3CEF" w:rsidRDefault="00531A88">
            <w:pPr>
              <w:pStyle w:val="TableParagraph"/>
              <w:spacing w:before="75"/>
              <w:rPr>
                <w:sz w:val="18"/>
              </w:rPr>
            </w:pPr>
            <w:r>
              <w:rPr>
                <w:sz w:val="18"/>
              </w:rPr>
              <w:t>NiCr8020</w:t>
            </w:r>
          </w:p>
        </w:tc>
        <w:tc>
          <w:tcPr>
            <w:tcW w:w="2679" w:type="dxa"/>
            <w:tcBorders>
              <w:right w:val="nil"/>
            </w:tcBorders>
          </w:tcPr>
          <w:p w14:paraId="4C39F542" w14:textId="77777777" w:rsidR="00D21EA2" w:rsidRPr="003A3CEF" w:rsidRDefault="00531A88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B–D</w:t>
            </w:r>
          </w:p>
        </w:tc>
      </w:tr>
    </w:tbl>
    <w:p w14:paraId="3F721A06" w14:textId="77777777" w:rsidR="00D21EA2" w:rsidRPr="003A3CEF" w:rsidRDefault="00531A88">
      <w:pPr>
        <w:pStyle w:val="BodyText"/>
        <w:spacing w:before="117"/>
        <w:jc w:val="both"/>
      </w:pPr>
      <w:r>
        <w:t>Seosaineet (% (m/m)):</w:t>
      </w:r>
    </w:p>
    <w:p w14:paraId="175D23DC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1594"/>
        <w:gridCol w:w="1600"/>
      </w:tblGrid>
      <w:tr w:rsidR="00D21EA2" w:rsidRPr="003A3CEF" w14:paraId="08EB271E" w14:textId="77777777">
        <w:trPr>
          <w:trHeight w:val="216"/>
        </w:trPr>
        <w:tc>
          <w:tcPr>
            <w:tcW w:w="1588" w:type="dxa"/>
            <w:tcBorders>
              <w:left w:val="nil"/>
            </w:tcBorders>
          </w:tcPr>
          <w:p w14:paraId="6B3573EE" w14:textId="77777777" w:rsidR="00D21EA2" w:rsidRPr="003A3CEF" w:rsidRDefault="00531A88">
            <w:pPr>
              <w:pStyle w:val="TableParagraph"/>
              <w:ind w:right="3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Ni</w:t>
            </w:r>
            <w:proofErr w:type="spellEnd"/>
          </w:p>
        </w:tc>
        <w:tc>
          <w:tcPr>
            <w:tcW w:w="1594" w:type="dxa"/>
          </w:tcPr>
          <w:p w14:paraId="7CAD5676" w14:textId="77777777" w:rsidR="00D21EA2" w:rsidRPr="003A3CEF" w:rsidRDefault="00531A88">
            <w:pPr>
              <w:pStyle w:val="TableParagraph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Cr</w:t>
            </w:r>
            <w:proofErr w:type="spellEnd"/>
          </w:p>
        </w:tc>
        <w:tc>
          <w:tcPr>
            <w:tcW w:w="1600" w:type="dxa"/>
            <w:tcBorders>
              <w:right w:val="nil"/>
            </w:tcBorders>
          </w:tcPr>
          <w:p w14:paraId="20DAE761" w14:textId="77777777" w:rsidR="00D21EA2" w:rsidRPr="003A3CEF" w:rsidRDefault="00531A88">
            <w:pPr>
              <w:pStyle w:val="TableParagraph"/>
              <w:ind w:left="3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Si</w:t>
            </w:r>
            <w:proofErr w:type="spellEnd"/>
          </w:p>
        </w:tc>
      </w:tr>
      <w:tr w:rsidR="00D21EA2" w:rsidRPr="003A3CEF" w14:paraId="4AA3A126" w14:textId="77777777">
        <w:trPr>
          <w:trHeight w:val="316"/>
        </w:trPr>
        <w:tc>
          <w:tcPr>
            <w:tcW w:w="1588" w:type="dxa"/>
            <w:tcBorders>
              <w:left w:val="nil"/>
            </w:tcBorders>
          </w:tcPr>
          <w:p w14:paraId="40486A30" w14:textId="77777777" w:rsidR="00D21EA2" w:rsidRPr="003A3CEF" w:rsidRDefault="00531A88">
            <w:pPr>
              <w:pStyle w:val="TableParagraph"/>
              <w:spacing w:before="75"/>
              <w:rPr>
                <w:sz w:val="18"/>
              </w:rPr>
            </w:pPr>
            <w:r>
              <w:rPr>
                <w:sz w:val="18"/>
              </w:rPr>
              <w:t>≥ 75,0 %</w:t>
            </w:r>
          </w:p>
        </w:tc>
        <w:tc>
          <w:tcPr>
            <w:tcW w:w="1594" w:type="dxa"/>
          </w:tcPr>
          <w:p w14:paraId="351E876F" w14:textId="77777777" w:rsidR="00D21EA2" w:rsidRPr="003A3CEF" w:rsidRDefault="00531A88">
            <w:pPr>
              <w:pStyle w:val="TableParagraph"/>
              <w:spacing w:before="75"/>
              <w:ind w:left="38"/>
              <w:rPr>
                <w:sz w:val="18"/>
              </w:rPr>
            </w:pPr>
            <w:r>
              <w:rPr>
                <w:sz w:val="18"/>
              </w:rPr>
              <w:t>19,0–21,0 %</w:t>
            </w:r>
          </w:p>
        </w:tc>
        <w:tc>
          <w:tcPr>
            <w:tcW w:w="1600" w:type="dxa"/>
            <w:tcBorders>
              <w:right w:val="nil"/>
            </w:tcBorders>
          </w:tcPr>
          <w:p w14:paraId="6F3E788D" w14:textId="77777777" w:rsidR="00D21EA2" w:rsidRPr="003A3CEF" w:rsidRDefault="00531A88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0,50–2,0 %</w:t>
            </w:r>
          </w:p>
        </w:tc>
      </w:tr>
    </w:tbl>
    <w:p w14:paraId="026A0640" w14:textId="77777777" w:rsidR="00D21EA2" w:rsidRPr="003A3CEF" w:rsidRDefault="00531A88">
      <w:pPr>
        <w:pStyle w:val="BodyText"/>
        <w:spacing w:before="118"/>
        <w:jc w:val="both"/>
      </w:pPr>
      <w:r>
        <w:t>Epäpuhtaudet (% (m/m)):</w:t>
      </w:r>
    </w:p>
    <w:p w14:paraId="387E77C1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"/>
        <w:gridCol w:w="1035"/>
        <w:gridCol w:w="1035"/>
        <w:gridCol w:w="1035"/>
        <w:gridCol w:w="1035"/>
        <w:gridCol w:w="1035"/>
        <w:gridCol w:w="1035"/>
        <w:gridCol w:w="1035"/>
        <w:gridCol w:w="1041"/>
      </w:tblGrid>
      <w:tr w:rsidR="00D21EA2" w:rsidRPr="003A3CEF" w14:paraId="73576BFA" w14:textId="77777777">
        <w:trPr>
          <w:trHeight w:val="216"/>
        </w:trPr>
        <w:tc>
          <w:tcPr>
            <w:tcW w:w="1029" w:type="dxa"/>
            <w:tcBorders>
              <w:left w:val="nil"/>
            </w:tcBorders>
          </w:tcPr>
          <w:p w14:paraId="66C4EAEC" w14:textId="77777777" w:rsidR="00D21EA2" w:rsidRPr="003A3CEF" w:rsidRDefault="00531A88">
            <w:pPr>
              <w:pStyle w:val="TableParagraph"/>
              <w:ind w:right="3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Al</w:t>
            </w:r>
            <w:proofErr w:type="spellEnd"/>
          </w:p>
        </w:tc>
        <w:tc>
          <w:tcPr>
            <w:tcW w:w="1035" w:type="dxa"/>
          </w:tcPr>
          <w:p w14:paraId="2B755F57" w14:textId="77777777" w:rsidR="00D21EA2" w:rsidRPr="003A3CEF" w:rsidRDefault="00531A8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035" w:type="dxa"/>
          </w:tcPr>
          <w:p w14:paraId="50D74CE5" w14:textId="77777777" w:rsidR="00D21EA2" w:rsidRPr="003A3CEF" w:rsidRDefault="00531A88">
            <w:pPr>
              <w:pStyle w:val="TableParagraph"/>
              <w:ind w:left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Co</w:t>
            </w:r>
            <w:proofErr w:type="spellEnd"/>
          </w:p>
        </w:tc>
        <w:tc>
          <w:tcPr>
            <w:tcW w:w="1035" w:type="dxa"/>
          </w:tcPr>
          <w:p w14:paraId="6EADC12F" w14:textId="77777777" w:rsidR="00D21EA2" w:rsidRPr="003A3CEF" w:rsidRDefault="00531A88">
            <w:pPr>
              <w:pStyle w:val="TableParagraph"/>
              <w:ind w:left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Cu</w:t>
            </w:r>
            <w:proofErr w:type="spellEnd"/>
          </w:p>
        </w:tc>
        <w:tc>
          <w:tcPr>
            <w:tcW w:w="1035" w:type="dxa"/>
          </w:tcPr>
          <w:p w14:paraId="1AD919AB" w14:textId="77777777" w:rsidR="00D21EA2" w:rsidRPr="003A3CEF" w:rsidRDefault="00531A88">
            <w:pPr>
              <w:pStyle w:val="TableParagraph"/>
              <w:ind w:left="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Fe</w:t>
            </w:r>
            <w:proofErr w:type="spellEnd"/>
          </w:p>
        </w:tc>
        <w:tc>
          <w:tcPr>
            <w:tcW w:w="1035" w:type="dxa"/>
          </w:tcPr>
          <w:p w14:paraId="15BA76B0" w14:textId="77777777" w:rsidR="00D21EA2" w:rsidRPr="003A3CEF" w:rsidRDefault="00531A88">
            <w:pPr>
              <w:pStyle w:val="TableParagraph"/>
              <w:ind w:left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Mn</w:t>
            </w:r>
            <w:proofErr w:type="spellEnd"/>
          </w:p>
        </w:tc>
        <w:tc>
          <w:tcPr>
            <w:tcW w:w="1035" w:type="dxa"/>
          </w:tcPr>
          <w:p w14:paraId="2D67EEF1" w14:textId="77777777" w:rsidR="00D21EA2" w:rsidRPr="003A3CEF" w:rsidRDefault="00531A88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035" w:type="dxa"/>
          </w:tcPr>
          <w:p w14:paraId="07466574" w14:textId="77777777" w:rsidR="00D21EA2" w:rsidRPr="003A3CEF" w:rsidRDefault="00531A88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041" w:type="dxa"/>
            <w:tcBorders>
              <w:right w:val="nil"/>
            </w:tcBorders>
          </w:tcPr>
          <w:p w14:paraId="32AEB4B6" w14:textId="77777777" w:rsidR="00D21EA2" w:rsidRPr="003A3CEF" w:rsidRDefault="00531A88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Ti</w:t>
            </w:r>
          </w:p>
        </w:tc>
      </w:tr>
      <w:tr w:rsidR="00D21EA2" w:rsidRPr="003A3CEF" w14:paraId="35DC2FE1" w14:textId="77777777">
        <w:trPr>
          <w:trHeight w:val="316"/>
        </w:trPr>
        <w:tc>
          <w:tcPr>
            <w:tcW w:w="1029" w:type="dxa"/>
            <w:tcBorders>
              <w:left w:val="nil"/>
            </w:tcBorders>
          </w:tcPr>
          <w:p w14:paraId="7BD6490F" w14:textId="77777777" w:rsidR="00D21EA2" w:rsidRPr="003A3CEF" w:rsidRDefault="00531A88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≤ 0,30 %</w:t>
            </w:r>
          </w:p>
        </w:tc>
        <w:tc>
          <w:tcPr>
            <w:tcW w:w="1035" w:type="dxa"/>
          </w:tcPr>
          <w:p w14:paraId="66BDAC5F" w14:textId="77777777" w:rsidR="00D21EA2" w:rsidRPr="003A3CEF" w:rsidRDefault="00531A88">
            <w:pPr>
              <w:pStyle w:val="TableParagraph"/>
              <w:spacing w:before="76"/>
              <w:ind w:left="38"/>
              <w:rPr>
                <w:sz w:val="18"/>
              </w:rPr>
            </w:pPr>
            <w:r>
              <w:rPr>
                <w:sz w:val="18"/>
              </w:rPr>
              <w:t>≤ 0,15 %</w:t>
            </w:r>
          </w:p>
        </w:tc>
        <w:tc>
          <w:tcPr>
            <w:tcW w:w="1035" w:type="dxa"/>
          </w:tcPr>
          <w:p w14:paraId="158AB652" w14:textId="77777777" w:rsidR="00D21EA2" w:rsidRPr="003A3CEF" w:rsidRDefault="00531A88">
            <w:pPr>
              <w:pStyle w:val="TableParagraph"/>
              <w:spacing w:before="76"/>
              <w:ind w:left="38"/>
              <w:rPr>
                <w:sz w:val="18"/>
              </w:rPr>
            </w:pPr>
            <w:r>
              <w:rPr>
                <w:sz w:val="18"/>
              </w:rPr>
              <w:t>≤ 1,5 %</w:t>
            </w:r>
          </w:p>
        </w:tc>
        <w:tc>
          <w:tcPr>
            <w:tcW w:w="1035" w:type="dxa"/>
          </w:tcPr>
          <w:p w14:paraId="05811A4B" w14:textId="77777777" w:rsidR="00D21EA2" w:rsidRPr="003A3CEF" w:rsidRDefault="00531A88">
            <w:pPr>
              <w:pStyle w:val="TableParagraph"/>
              <w:spacing w:before="76"/>
              <w:ind w:left="38"/>
              <w:rPr>
                <w:sz w:val="18"/>
              </w:rPr>
            </w:pPr>
            <w:r>
              <w:rPr>
                <w:sz w:val="18"/>
              </w:rPr>
              <w:t>≤ 0,50 %</w:t>
            </w:r>
          </w:p>
        </w:tc>
        <w:tc>
          <w:tcPr>
            <w:tcW w:w="1035" w:type="dxa"/>
          </w:tcPr>
          <w:p w14:paraId="44DA730E" w14:textId="77777777" w:rsidR="00D21EA2" w:rsidRPr="003A3CEF" w:rsidRDefault="00531A88">
            <w:pPr>
              <w:pStyle w:val="TableParagraph"/>
              <w:spacing w:before="76"/>
              <w:ind w:left="39"/>
              <w:rPr>
                <w:sz w:val="18"/>
              </w:rPr>
            </w:pPr>
            <w:r>
              <w:rPr>
                <w:sz w:val="18"/>
              </w:rPr>
              <w:t>≤ 1,0 %</w:t>
            </w:r>
          </w:p>
        </w:tc>
        <w:tc>
          <w:tcPr>
            <w:tcW w:w="1035" w:type="dxa"/>
          </w:tcPr>
          <w:p w14:paraId="0B7CC8B0" w14:textId="77777777" w:rsidR="00D21EA2" w:rsidRPr="003A3CEF" w:rsidRDefault="00531A88">
            <w:pPr>
              <w:pStyle w:val="TableParagraph"/>
              <w:spacing w:before="76"/>
              <w:ind w:left="39"/>
              <w:rPr>
                <w:sz w:val="18"/>
              </w:rPr>
            </w:pPr>
            <w:r>
              <w:rPr>
                <w:sz w:val="18"/>
              </w:rPr>
              <w:t>≤ 1,00 %</w:t>
            </w:r>
          </w:p>
        </w:tc>
        <w:tc>
          <w:tcPr>
            <w:tcW w:w="1035" w:type="dxa"/>
          </w:tcPr>
          <w:p w14:paraId="4D2BD14B" w14:textId="77777777" w:rsidR="00D21EA2" w:rsidRPr="003A3CEF" w:rsidRDefault="00531A88">
            <w:pPr>
              <w:pStyle w:val="TableParagraph"/>
              <w:spacing w:before="76"/>
              <w:ind w:left="2" w:right="86"/>
              <w:jc w:val="center"/>
              <w:rPr>
                <w:sz w:val="18"/>
              </w:rPr>
            </w:pPr>
            <w:r>
              <w:rPr>
                <w:sz w:val="18"/>
              </w:rPr>
              <w:t>≤ 0,020 %</w:t>
            </w:r>
          </w:p>
        </w:tc>
        <w:tc>
          <w:tcPr>
            <w:tcW w:w="1035" w:type="dxa"/>
          </w:tcPr>
          <w:p w14:paraId="2508FD6B" w14:textId="77777777" w:rsidR="00D21EA2" w:rsidRPr="003A3CEF" w:rsidRDefault="00531A88">
            <w:pPr>
              <w:pStyle w:val="TableParagraph"/>
              <w:spacing w:before="76"/>
              <w:ind w:left="2" w:right="86"/>
              <w:jc w:val="center"/>
              <w:rPr>
                <w:sz w:val="18"/>
              </w:rPr>
            </w:pPr>
            <w:r>
              <w:rPr>
                <w:sz w:val="18"/>
              </w:rPr>
              <w:t>≤ 0,015 %</w:t>
            </w:r>
          </w:p>
        </w:tc>
        <w:tc>
          <w:tcPr>
            <w:tcW w:w="1041" w:type="dxa"/>
            <w:tcBorders>
              <w:right w:val="nil"/>
            </w:tcBorders>
          </w:tcPr>
          <w:p w14:paraId="64EEBD2C" w14:textId="77777777" w:rsidR="00D21EA2" w:rsidRPr="003A3CEF" w:rsidRDefault="00531A88">
            <w:pPr>
              <w:pStyle w:val="TableParagraph"/>
              <w:spacing w:before="76"/>
              <w:ind w:left="38"/>
              <w:rPr>
                <w:sz w:val="18"/>
              </w:rPr>
            </w:pPr>
            <w:r>
              <w:rPr>
                <w:sz w:val="18"/>
              </w:rPr>
              <w:t>≤ 0,1 %</w:t>
            </w:r>
          </w:p>
        </w:tc>
      </w:tr>
    </w:tbl>
    <w:p w14:paraId="5B259DFB" w14:textId="70FF6A52" w:rsidR="00D21EA2" w:rsidRPr="003A3CEF" w:rsidRDefault="00531A88">
      <w:pPr>
        <w:pStyle w:val="BodyText"/>
        <w:spacing w:before="118"/>
        <w:jc w:val="both"/>
      </w:pPr>
      <w:r>
        <w:t xml:space="preserve">4.3.9 </w:t>
      </w:r>
      <w:proofErr w:type="spellStart"/>
      <w:r>
        <w:t>TaCr</w:t>
      </w:r>
      <w:proofErr w:type="spellEnd"/>
    </w:p>
    <w:p w14:paraId="4D2A9ED1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2679"/>
      </w:tblGrid>
      <w:tr w:rsidR="00D21EA2" w:rsidRPr="003A3CEF" w14:paraId="247D2F0E" w14:textId="77777777">
        <w:trPr>
          <w:trHeight w:val="216"/>
        </w:trPr>
        <w:tc>
          <w:tcPr>
            <w:tcW w:w="2668" w:type="dxa"/>
            <w:tcBorders>
              <w:left w:val="nil"/>
            </w:tcBorders>
          </w:tcPr>
          <w:p w14:paraId="771BA2B2" w14:textId="77777777" w:rsidR="00D21EA2" w:rsidRPr="003A3CEF" w:rsidRDefault="00531A88">
            <w:pPr>
              <w:pStyle w:val="TableParagraph"/>
              <w:ind w:left="846"/>
              <w:rPr>
                <w:sz w:val="16"/>
              </w:rPr>
            </w:pPr>
            <w:r>
              <w:rPr>
                <w:sz w:val="16"/>
              </w:rPr>
              <w:t>Nimike:</w:t>
            </w:r>
          </w:p>
        </w:tc>
        <w:tc>
          <w:tcPr>
            <w:tcW w:w="2679" w:type="dxa"/>
            <w:tcBorders>
              <w:right w:val="nil"/>
            </w:tcBorders>
          </w:tcPr>
          <w:p w14:paraId="7A3D80A5" w14:textId="77777777" w:rsidR="00D21EA2" w:rsidRPr="003A3CEF" w:rsidRDefault="00531A88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Tuoteryhmä</w:t>
            </w:r>
          </w:p>
        </w:tc>
      </w:tr>
      <w:tr w:rsidR="00D21EA2" w:rsidRPr="003A3CEF" w14:paraId="10B3525B" w14:textId="77777777">
        <w:trPr>
          <w:trHeight w:val="316"/>
        </w:trPr>
        <w:tc>
          <w:tcPr>
            <w:tcW w:w="2668" w:type="dxa"/>
            <w:tcBorders>
              <w:left w:val="nil"/>
            </w:tcBorders>
          </w:tcPr>
          <w:p w14:paraId="71830253" w14:textId="77777777" w:rsidR="00D21EA2" w:rsidRPr="003A3CEF" w:rsidRDefault="00531A88">
            <w:pPr>
              <w:pStyle w:val="TableParagraph"/>
              <w:spacing w:before="76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TaCr</w:t>
            </w:r>
            <w:proofErr w:type="spellEnd"/>
          </w:p>
        </w:tc>
        <w:tc>
          <w:tcPr>
            <w:tcW w:w="2679" w:type="dxa"/>
            <w:tcBorders>
              <w:right w:val="nil"/>
            </w:tcBorders>
          </w:tcPr>
          <w:p w14:paraId="49FD2CFA" w14:textId="77777777" w:rsidR="00D21EA2" w:rsidRPr="003A3CEF" w:rsidRDefault="00531A88">
            <w:pPr>
              <w:pStyle w:val="TableParagraph"/>
              <w:spacing w:before="76"/>
              <w:ind w:left="37"/>
              <w:rPr>
                <w:sz w:val="18"/>
              </w:rPr>
            </w:pPr>
            <w:r>
              <w:rPr>
                <w:sz w:val="18"/>
              </w:rPr>
              <w:t>C ja D</w:t>
            </w:r>
          </w:p>
        </w:tc>
      </w:tr>
    </w:tbl>
    <w:p w14:paraId="4A6B373D" w14:textId="77777777" w:rsidR="00D21EA2" w:rsidRPr="003A3CEF" w:rsidRDefault="00531A88">
      <w:pPr>
        <w:pStyle w:val="BodyText"/>
        <w:spacing w:before="118"/>
        <w:jc w:val="both"/>
      </w:pPr>
      <w:r>
        <w:t>Seosaineet (% (m/m)):</w:t>
      </w:r>
    </w:p>
    <w:p w14:paraId="0E32F242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2679"/>
      </w:tblGrid>
      <w:tr w:rsidR="00D21EA2" w:rsidRPr="003A3CEF" w14:paraId="01DFE65B" w14:textId="77777777">
        <w:trPr>
          <w:trHeight w:val="216"/>
        </w:trPr>
        <w:tc>
          <w:tcPr>
            <w:tcW w:w="2668" w:type="dxa"/>
            <w:tcBorders>
              <w:left w:val="nil"/>
            </w:tcBorders>
          </w:tcPr>
          <w:p w14:paraId="5384924F" w14:textId="77777777" w:rsidR="00D21EA2" w:rsidRPr="003A3CEF" w:rsidRDefault="00531A88">
            <w:pPr>
              <w:pStyle w:val="TableParagraph"/>
              <w:ind w:right="1258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Ta</w:t>
            </w:r>
            <w:proofErr w:type="spellEnd"/>
          </w:p>
        </w:tc>
        <w:tc>
          <w:tcPr>
            <w:tcW w:w="2679" w:type="dxa"/>
            <w:tcBorders>
              <w:right w:val="nil"/>
            </w:tcBorders>
          </w:tcPr>
          <w:p w14:paraId="1FEDD3B7" w14:textId="77777777" w:rsidR="00D21EA2" w:rsidRPr="003A3CEF" w:rsidRDefault="00531A88">
            <w:pPr>
              <w:pStyle w:val="TableParagraph"/>
              <w:ind w:right="1230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Cr</w:t>
            </w:r>
            <w:proofErr w:type="spellEnd"/>
          </w:p>
        </w:tc>
      </w:tr>
      <w:tr w:rsidR="00D21EA2" w:rsidRPr="003A3CEF" w14:paraId="10D1E257" w14:textId="77777777">
        <w:trPr>
          <w:trHeight w:val="316"/>
        </w:trPr>
        <w:tc>
          <w:tcPr>
            <w:tcW w:w="2668" w:type="dxa"/>
            <w:tcBorders>
              <w:left w:val="nil"/>
            </w:tcBorders>
          </w:tcPr>
          <w:p w14:paraId="0594E07E" w14:textId="77777777" w:rsidR="00D21EA2" w:rsidRPr="003A3CEF" w:rsidRDefault="00531A88">
            <w:pPr>
              <w:pStyle w:val="TableParagraph"/>
              <w:spacing w:before="76"/>
              <w:ind w:right="1267"/>
              <w:jc w:val="right"/>
              <w:rPr>
                <w:sz w:val="18"/>
              </w:rPr>
            </w:pPr>
            <w:r>
              <w:rPr>
                <w:sz w:val="18"/>
              </w:rPr>
              <w:t>74,7–80,7 %</w:t>
            </w:r>
          </w:p>
        </w:tc>
        <w:tc>
          <w:tcPr>
            <w:tcW w:w="2679" w:type="dxa"/>
            <w:tcBorders>
              <w:right w:val="nil"/>
            </w:tcBorders>
          </w:tcPr>
          <w:p w14:paraId="3B74F46E" w14:textId="77777777" w:rsidR="00D21EA2" w:rsidRPr="003A3CEF" w:rsidRDefault="00531A88">
            <w:pPr>
              <w:pStyle w:val="TableParagraph"/>
              <w:spacing w:before="76"/>
              <w:ind w:right="1240"/>
              <w:jc w:val="right"/>
              <w:rPr>
                <w:sz w:val="18"/>
              </w:rPr>
            </w:pPr>
            <w:r>
              <w:rPr>
                <w:sz w:val="18"/>
              </w:rPr>
              <w:t>19,3–25,3 %</w:t>
            </w:r>
          </w:p>
        </w:tc>
      </w:tr>
    </w:tbl>
    <w:p w14:paraId="5EE4EB9C" w14:textId="13FC0156" w:rsidR="00D21EA2" w:rsidRPr="003A3CEF" w:rsidRDefault="00531A88">
      <w:pPr>
        <w:pStyle w:val="ListParagraph"/>
        <w:numPr>
          <w:ilvl w:val="0"/>
          <w:numId w:val="4"/>
        </w:numPr>
        <w:tabs>
          <w:tab w:val="left" w:pos="435"/>
        </w:tabs>
        <w:spacing w:before="118" w:line="249" w:lineRule="auto"/>
        <w:ind w:right="106" w:hanging="319"/>
        <w:jc w:val="both"/>
        <w:rPr>
          <w:sz w:val="18"/>
        </w:rPr>
      </w:pPr>
      <w:r>
        <w:rPr>
          <w:sz w:val="18"/>
        </w:rPr>
        <w:t>Uusien materiaalien lisääminen liitteessä ”Luettelo juomavesikäyttöön soveltuvista metallisista materiaaleista” oleviin 4.3.2 ja 4.3.9 kohtaan johtaa siihen, että 4 kohdassa olevia numerointeja siirretään.</w:t>
      </w:r>
    </w:p>
    <w:p w14:paraId="33544368" w14:textId="77777777" w:rsidR="00D21EA2" w:rsidRPr="003A3CEF" w:rsidRDefault="00531A88" w:rsidP="007B018D">
      <w:pPr>
        <w:pStyle w:val="BodyText"/>
        <w:keepNext/>
        <w:keepLines/>
        <w:spacing w:before="101"/>
        <w:ind w:left="1690" w:right="1684"/>
        <w:jc w:val="center"/>
      </w:pPr>
      <w:r>
        <w:t>II.</w:t>
      </w:r>
    </w:p>
    <w:p w14:paraId="42AAAE92" w14:textId="77777777" w:rsidR="00D21EA2" w:rsidRPr="003A3CEF" w:rsidRDefault="00531A88" w:rsidP="007B018D">
      <w:pPr>
        <w:pStyle w:val="BodyText"/>
        <w:keepNext/>
        <w:keepLines/>
        <w:spacing w:before="73"/>
        <w:ind w:left="1690" w:right="1684"/>
        <w:jc w:val="center"/>
      </w:pPr>
      <w:r>
        <w:t>Voimaantulo</w:t>
      </w:r>
    </w:p>
    <w:p w14:paraId="28F7DCF3" w14:textId="77777777" w:rsidR="00D21EA2" w:rsidRPr="003A3CEF" w:rsidRDefault="00531A88">
      <w:pPr>
        <w:pStyle w:val="BodyText"/>
        <w:spacing w:before="73"/>
        <w:ind w:left="113"/>
      </w:pPr>
      <w:r>
        <w:t>Nämä muutokset tulevat voimaan sitä päivää seuraavana päivänä, jona ne julkaistaan Saksan liittotasavallan virallisessa lehdessä.</w:t>
      </w:r>
    </w:p>
    <w:p w14:paraId="47E41BD0" w14:textId="77777777" w:rsidR="00D21EA2" w:rsidRPr="003A3CEF" w:rsidRDefault="00D21EA2">
      <w:pPr>
        <w:pStyle w:val="BodyText"/>
        <w:spacing w:before="14"/>
        <w:ind w:left="0"/>
      </w:pPr>
    </w:p>
    <w:p w14:paraId="150BC39F" w14:textId="77777777" w:rsidR="00D21EA2" w:rsidRPr="003A3CEF" w:rsidRDefault="00531A88">
      <w:pPr>
        <w:pStyle w:val="BodyText"/>
        <w:spacing w:before="1"/>
        <w:ind w:left="113"/>
      </w:pPr>
      <w:proofErr w:type="spellStart"/>
      <w:r>
        <w:t>Dessau-Roßlau</w:t>
      </w:r>
      <w:proofErr w:type="spellEnd"/>
      <w:r>
        <w:t>, 10 päivänä kesäkuuta 2024</w:t>
      </w:r>
    </w:p>
    <w:p w14:paraId="698C0C34" w14:textId="77777777" w:rsidR="00634AF4" w:rsidRDefault="00531A88">
      <w:pPr>
        <w:pStyle w:val="BodyText"/>
        <w:spacing w:before="2" w:line="320" w:lineRule="atLeast"/>
        <w:ind w:left="4078" w:right="4071"/>
        <w:jc w:val="center"/>
      </w:pPr>
      <w:r>
        <w:t>Liittovaltion ympäristövirasto</w:t>
      </w:r>
    </w:p>
    <w:p w14:paraId="7F5C620E" w14:textId="09C1C415" w:rsidR="00D21EA2" w:rsidRPr="003A3CEF" w:rsidRDefault="00531A88">
      <w:pPr>
        <w:pStyle w:val="BodyText"/>
        <w:spacing w:before="2" w:line="320" w:lineRule="atLeast"/>
        <w:ind w:left="4078" w:right="4071"/>
        <w:jc w:val="center"/>
      </w:pPr>
      <w:r>
        <w:t>pääjohtaja</w:t>
      </w:r>
    </w:p>
    <w:p w14:paraId="162AB53D" w14:textId="77777777" w:rsidR="00D21EA2" w:rsidRPr="003A3CEF" w:rsidRDefault="00531A88">
      <w:pPr>
        <w:pStyle w:val="BodyText"/>
        <w:spacing w:before="11"/>
        <w:ind w:left="1691" w:right="1687"/>
        <w:jc w:val="center"/>
      </w:pPr>
      <w:r>
        <w:t>prof., tri Dirk </w:t>
      </w:r>
      <w:proofErr w:type="spellStart"/>
      <w:r>
        <w:t>Messner</w:t>
      </w:r>
      <w:proofErr w:type="spellEnd"/>
    </w:p>
    <w:sectPr w:rsidR="00D21EA2" w:rsidRPr="003A3CEF" w:rsidSect="001D74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840" w:right="1040" w:bottom="560" w:left="1020" w:header="214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BEA63" w14:textId="77777777" w:rsidR="00531A88" w:rsidRDefault="00531A88">
      <w:r>
        <w:separator/>
      </w:r>
    </w:p>
  </w:endnote>
  <w:endnote w:type="continuationSeparator" w:id="0">
    <w:p w14:paraId="0B7A5366" w14:textId="77777777" w:rsidR="00531A88" w:rsidRDefault="0053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1DF6" w14:textId="77777777" w:rsidR="00C532D2" w:rsidRDefault="00C532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BB22" w14:textId="6C49A03A" w:rsidR="00D21EA2" w:rsidRPr="003A3CEF" w:rsidRDefault="00D21EA2" w:rsidP="003A3CEF">
    <w:pPr>
      <w:pStyle w:val="Footer"/>
      <w:pBdr>
        <w:top w:val="single" w:sz="12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55FB1" w14:textId="77777777" w:rsidR="00C532D2" w:rsidRDefault="00C53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441DE" w14:textId="77777777" w:rsidR="00531A88" w:rsidRDefault="00531A88">
      <w:r>
        <w:separator/>
      </w:r>
    </w:p>
  </w:footnote>
  <w:footnote w:type="continuationSeparator" w:id="0">
    <w:p w14:paraId="183690B8" w14:textId="77777777" w:rsidR="00531A88" w:rsidRDefault="00531A88">
      <w:r>
        <w:continuationSeparator/>
      </w:r>
    </w:p>
  </w:footnote>
  <w:footnote w:id="1">
    <w:p w14:paraId="5DCD95D2" w14:textId="4362685C" w:rsidR="00C752E8" w:rsidRPr="00C752E8" w:rsidRDefault="00C752E8" w:rsidP="001D7495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sz w:val="14"/>
        </w:rPr>
        <w:t>Ilmoitettu teknisiä määräyksiä ja tietoyhteiskunnan palveluja koskevia määräyksiä koskevien tietojen toimittamisessa noudatettavasta menettelystä 9 päivänä syyskuuta 2015 annetun Euroopan parlamentin ja neuvoston direktiivin (EU) 2015/1535 (EUVL L 241, 17.9.2015, s. 1) mukaisesti.</w:t>
      </w:r>
    </w:p>
  </w:footnote>
  <w:footnote w:id="2">
    <w:p w14:paraId="3A83F447" w14:textId="314A66C4" w:rsidR="00C752E8" w:rsidRPr="00C752E8" w:rsidRDefault="00C752E8" w:rsidP="00C532D2">
      <w:pPr>
        <w:pStyle w:val="FootnoteText"/>
        <w:spacing w:after="120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sz w:val="14"/>
        </w:rPr>
        <w:t>Ilmoitusnumero 2024/0103/D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A0F4" w14:textId="77777777" w:rsidR="00C532D2" w:rsidRDefault="00C53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09" w:type="dxa"/>
      <w:tblInd w:w="-318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1"/>
      <w:gridCol w:w="5038"/>
    </w:tblGrid>
    <w:tr w:rsidR="003A3CEF" w14:paraId="6CC6DA98" w14:textId="77777777" w:rsidTr="003A3CEF">
      <w:tc>
        <w:tcPr>
          <w:tcW w:w="5671" w:type="dxa"/>
        </w:tcPr>
        <w:p w14:paraId="42A6BE2B" w14:textId="77777777" w:rsidR="003A3CEF" w:rsidRPr="00644B9C" w:rsidRDefault="003A3CEF" w:rsidP="003A3CEF">
          <w:pPr>
            <w:ind w:left="1024"/>
            <w:rPr>
              <w:b/>
              <w:bCs/>
              <w:sz w:val="48"/>
              <w:szCs w:val="48"/>
            </w:rPr>
          </w:pPr>
          <w:r>
            <w:rPr>
              <w:noProof/>
            </w:rPr>
            <w:drawing>
              <wp:anchor distT="0" distB="0" distL="0" distR="0" simplePos="0" relativeHeight="251666432" behindDoc="1" locked="0" layoutInCell="1" allowOverlap="1" wp14:anchorId="6C6AFDA4" wp14:editId="5F916AA5">
                <wp:simplePos x="0" y="0"/>
                <wp:positionH relativeFrom="page">
                  <wp:posOffset>67310</wp:posOffset>
                </wp:positionH>
                <wp:positionV relativeFrom="page">
                  <wp:posOffset>133985</wp:posOffset>
                </wp:positionV>
                <wp:extent cx="600075" cy="535305"/>
                <wp:effectExtent l="0" t="0" r="9525" b="0"/>
                <wp:wrapNone/>
                <wp:docPr id="409679989" name="Image 1" descr="A black and white text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A black and white text&#10;&#10;Description automatically generated"/>
                        <pic:cNvPicPr/>
                      </pic:nvPicPr>
                      <pic:blipFill rotWithShape="1">
                        <a:blip r:embed="rId1" cstate="print"/>
                        <a:srcRect r="80812"/>
                        <a:stretch/>
                      </pic:blipFill>
                      <pic:spPr bwMode="auto">
                        <a:xfrm>
                          <a:off x="0" y="0"/>
                          <a:ext cx="600075" cy="535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>
            <w:rPr>
              <w:b/>
              <w:sz w:val="48"/>
            </w:rPr>
            <w:t>Saksan liittotasavallan virallinen lehti</w:t>
          </w:r>
        </w:p>
        <w:p w14:paraId="11DA4879" w14:textId="77777777" w:rsidR="003A3CEF" w:rsidRPr="007B018D" w:rsidRDefault="003A3CEF" w:rsidP="003A3CEF">
          <w:pPr>
            <w:ind w:left="1024"/>
            <w:rPr>
              <w:sz w:val="20"/>
              <w:szCs w:val="20"/>
            </w:rPr>
          </w:pPr>
          <w:r>
            <w:rPr>
              <w:sz w:val="20"/>
            </w:rPr>
            <w:t>Julkaisija:</w:t>
          </w:r>
          <w:r>
            <w:rPr>
              <w:sz w:val="20"/>
            </w:rPr>
            <w:br/>
            <w:t>liittotasavallan oikeusministeriö</w:t>
          </w:r>
        </w:p>
        <w:p w14:paraId="4FF48002" w14:textId="17CB5157" w:rsidR="003A3CEF" w:rsidRDefault="00531A88" w:rsidP="003A3CEF">
          <w:pPr>
            <w:pStyle w:val="Header"/>
            <w:spacing w:after="120"/>
            <w:ind w:left="1026"/>
          </w:pPr>
          <w:hyperlink r:id="rId2" w:history="1">
            <w:r w:rsidR="003A3CEF">
              <w:rPr>
                <w:rStyle w:val="Hyperlink"/>
                <w:b/>
                <w:sz w:val="16"/>
              </w:rPr>
              <w:t>www.bundesanzeiger.de</w:t>
            </w:r>
          </w:hyperlink>
        </w:p>
      </w:tc>
      <w:tc>
        <w:tcPr>
          <w:tcW w:w="5038" w:type="dxa"/>
        </w:tcPr>
        <w:p w14:paraId="68B535B3" w14:textId="77777777" w:rsidR="003A3CEF" w:rsidRDefault="003A3CEF" w:rsidP="003A3CEF">
          <w:pPr>
            <w:spacing w:before="45"/>
            <w:ind w:left="20"/>
            <w:rPr>
              <w:b/>
              <w:sz w:val="32"/>
            </w:rPr>
          </w:pPr>
          <w:r>
            <w:rPr>
              <w:b/>
              <w:sz w:val="32"/>
            </w:rPr>
            <w:t>Ilmoitus</w:t>
          </w:r>
        </w:p>
        <w:p w14:paraId="67575A73" w14:textId="77777777" w:rsidR="003A3CEF" w:rsidRDefault="003A3CEF" w:rsidP="003A3CEF">
          <w:pPr>
            <w:pStyle w:val="BodyText"/>
            <w:spacing w:before="80"/>
            <w:ind w:left="20"/>
          </w:pPr>
          <w:r>
            <w:t>Julkaistu perjantaina 21. kesäkuuta 2024</w:t>
          </w:r>
        </w:p>
        <w:p w14:paraId="0AD9F43D" w14:textId="1D35E2BE" w:rsidR="003A3CEF" w:rsidRDefault="003A3CEF" w:rsidP="003A3CEF">
          <w:pPr>
            <w:pStyle w:val="BodyText"/>
            <w:spacing w:before="80"/>
            <w:ind w:left="20"/>
          </w:pPr>
          <w:r>
            <w:t>Saksan liittotasavallan virallinen lehti AT 21.6.2024 B10</w:t>
          </w:r>
        </w:p>
        <w:p w14:paraId="71DFAFDB" w14:textId="667B8453" w:rsidR="003A3CEF" w:rsidRPr="003A3CEF" w:rsidRDefault="003A3CEF" w:rsidP="003A3CEF">
          <w:pPr>
            <w:pStyle w:val="Header"/>
            <w:spacing w:before="80"/>
            <w:ind w:left="20"/>
            <w:rPr>
              <w:sz w:val="18"/>
              <w:szCs w:val="18"/>
            </w:rPr>
          </w:pPr>
          <w:r>
            <w:rPr>
              <w:sz w:val="18"/>
            </w:rPr>
            <w:t xml:space="preserve">Sivu </w:t>
          </w:r>
          <w:r w:rsidRPr="003A3CEF">
            <w:rPr>
              <w:sz w:val="18"/>
            </w:rPr>
            <w:fldChar w:fldCharType="begin"/>
          </w:r>
          <w:r w:rsidRPr="003A3CEF">
            <w:rPr>
              <w:sz w:val="18"/>
            </w:rPr>
            <w:instrText xml:space="preserve"> PAGE </w:instrText>
          </w:r>
          <w:r w:rsidRPr="003A3CEF">
            <w:rPr>
              <w:sz w:val="18"/>
            </w:rPr>
            <w:fldChar w:fldCharType="separate"/>
          </w:r>
          <w:r w:rsidRPr="003A3CEF">
            <w:rPr>
              <w:sz w:val="18"/>
            </w:rPr>
            <w:t>1</w:t>
          </w:r>
          <w:r w:rsidRPr="003A3CEF">
            <w:rPr>
              <w:sz w:val="18"/>
            </w:rPr>
            <w:fldChar w:fldCharType="end"/>
          </w:r>
          <w:r>
            <w:rPr>
              <w:sz w:val="18"/>
            </w:rPr>
            <w:t>/</w:t>
          </w:r>
          <w:r w:rsidRPr="003A3CEF">
            <w:rPr>
              <w:sz w:val="18"/>
            </w:rPr>
            <w:fldChar w:fldCharType="begin"/>
          </w:r>
          <w:r w:rsidRPr="003A3CEF">
            <w:rPr>
              <w:sz w:val="18"/>
            </w:rPr>
            <w:instrText xml:space="preserve"> NUMPAGES </w:instrText>
          </w:r>
          <w:r w:rsidRPr="003A3CEF">
            <w:rPr>
              <w:sz w:val="18"/>
            </w:rPr>
            <w:fldChar w:fldCharType="separate"/>
          </w:r>
          <w:r w:rsidRPr="003A3CEF">
            <w:rPr>
              <w:sz w:val="18"/>
            </w:rPr>
            <w:t>5</w:t>
          </w:r>
          <w:r w:rsidRPr="003A3CEF">
            <w:rPr>
              <w:sz w:val="18"/>
            </w:rPr>
            <w:fldChar w:fldCharType="end"/>
          </w:r>
        </w:p>
      </w:tc>
    </w:tr>
  </w:tbl>
  <w:p w14:paraId="03BD0224" w14:textId="53006803" w:rsidR="003A3CEF" w:rsidRDefault="003A3CEF">
    <w:pPr>
      <w:pStyle w:val="Header"/>
      <w:rPr>
        <w:lang w:val="el-GR"/>
      </w:rPr>
    </w:pPr>
  </w:p>
  <w:p w14:paraId="6FCCC019" w14:textId="77777777" w:rsidR="001D7495" w:rsidRPr="001D7495" w:rsidRDefault="001D7495">
    <w:pPr>
      <w:pStyle w:val="Header"/>
      <w:rPr>
        <w:lang w:val="el-G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AEE6" w14:textId="77777777" w:rsidR="00C532D2" w:rsidRDefault="00C532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862D4"/>
    <w:multiLevelType w:val="multilevel"/>
    <w:tmpl w:val="8D78D4DC"/>
    <w:lvl w:ilvl="0">
      <w:start w:val="3"/>
      <w:numFmt w:val="decimal"/>
      <w:lvlText w:val="%1"/>
      <w:lvlJc w:val="left"/>
      <w:pPr>
        <w:ind w:left="872" w:hanging="437"/>
      </w:pPr>
      <w:rPr>
        <w:rFonts w:hint="default"/>
        <w:lang w:val="de-DE" w:eastAsia="en-US" w:bidi="ar-SA"/>
      </w:rPr>
    </w:lvl>
    <w:lvl w:ilvl="1">
      <w:start w:val="3"/>
      <w:numFmt w:val="decimal"/>
      <w:lvlText w:val="%1.%2"/>
      <w:lvlJc w:val="left"/>
      <w:pPr>
        <w:ind w:left="872" w:hanging="4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2">
      <w:numFmt w:val="bullet"/>
      <w:lvlText w:val="–"/>
      <w:lvlJc w:val="left"/>
      <w:pPr>
        <w:ind w:left="435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de-DE" w:eastAsia="en-US" w:bidi="ar-SA"/>
      </w:rPr>
    </w:lvl>
    <w:lvl w:ilvl="3">
      <w:numFmt w:val="bullet"/>
      <w:lvlText w:val="•"/>
      <w:lvlJc w:val="left"/>
      <w:pPr>
        <w:ind w:left="2875" w:hanging="171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3873" w:hanging="171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871" w:hanging="171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868" w:hanging="171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866" w:hanging="171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864" w:hanging="171"/>
      </w:pPr>
      <w:rPr>
        <w:rFonts w:hint="default"/>
        <w:lang w:val="de-DE" w:eastAsia="en-US" w:bidi="ar-SA"/>
      </w:rPr>
    </w:lvl>
  </w:abstractNum>
  <w:abstractNum w:abstractNumId="1" w15:restartNumberingAfterBreak="0">
    <w:nsid w:val="3DA80D2F"/>
    <w:multiLevelType w:val="hybridMultilevel"/>
    <w:tmpl w:val="4C6C3028"/>
    <w:lvl w:ilvl="0" w:tplc="E57ED02E">
      <w:start w:val="1"/>
      <w:numFmt w:val="decimal"/>
      <w:lvlText w:val="%1."/>
      <w:lvlJc w:val="left"/>
      <w:pPr>
        <w:ind w:left="435" w:hanging="21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22405636">
      <w:start w:val="1"/>
      <w:numFmt w:val="lowerLetter"/>
      <w:lvlText w:val="%2)"/>
      <w:lvlJc w:val="left"/>
      <w:pPr>
        <w:ind w:left="676" w:hanging="21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2" w:tplc="50727C02">
      <w:numFmt w:val="bullet"/>
      <w:lvlText w:val="•"/>
      <w:lvlJc w:val="left"/>
      <w:pPr>
        <w:ind w:left="1700" w:hanging="210"/>
      </w:pPr>
      <w:rPr>
        <w:rFonts w:hint="default"/>
        <w:lang w:val="de-DE" w:eastAsia="en-US" w:bidi="ar-SA"/>
      </w:rPr>
    </w:lvl>
    <w:lvl w:ilvl="3" w:tplc="E65A9F1C">
      <w:numFmt w:val="bullet"/>
      <w:lvlText w:val="•"/>
      <w:lvlJc w:val="left"/>
      <w:pPr>
        <w:ind w:left="2720" w:hanging="210"/>
      </w:pPr>
      <w:rPr>
        <w:rFonts w:hint="default"/>
        <w:lang w:val="de-DE" w:eastAsia="en-US" w:bidi="ar-SA"/>
      </w:rPr>
    </w:lvl>
    <w:lvl w:ilvl="4" w:tplc="67EE87A4">
      <w:numFmt w:val="bullet"/>
      <w:lvlText w:val="•"/>
      <w:lvlJc w:val="left"/>
      <w:pPr>
        <w:ind w:left="3740" w:hanging="210"/>
      </w:pPr>
      <w:rPr>
        <w:rFonts w:hint="default"/>
        <w:lang w:val="de-DE" w:eastAsia="en-US" w:bidi="ar-SA"/>
      </w:rPr>
    </w:lvl>
    <w:lvl w:ilvl="5" w:tplc="18783AEE">
      <w:numFmt w:val="bullet"/>
      <w:lvlText w:val="•"/>
      <w:lvlJc w:val="left"/>
      <w:pPr>
        <w:ind w:left="4760" w:hanging="210"/>
      </w:pPr>
      <w:rPr>
        <w:rFonts w:hint="default"/>
        <w:lang w:val="de-DE" w:eastAsia="en-US" w:bidi="ar-SA"/>
      </w:rPr>
    </w:lvl>
    <w:lvl w:ilvl="6" w:tplc="0B6CA01E">
      <w:numFmt w:val="bullet"/>
      <w:lvlText w:val="•"/>
      <w:lvlJc w:val="left"/>
      <w:pPr>
        <w:ind w:left="5780" w:hanging="210"/>
      </w:pPr>
      <w:rPr>
        <w:rFonts w:hint="default"/>
        <w:lang w:val="de-DE" w:eastAsia="en-US" w:bidi="ar-SA"/>
      </w:rPr>
    </w:lvl>
    <w:lvl w:ilvl="7" w:tplc="1A1E2FF6">
      <w:numFmt w:val="bullet"/>
      <w:lvlText w:val="•"/>
      <w:lvlJc w:val="left"/>
      <w:pPr>
        <w:ind w:left="6800" w:hanging="210"/>
      </w:pPr>
      <w:rPr>
        <w:rFonts w:hint="default"/>
        <w:lang w:val="de-DE" w:eastAsia="en-US" w:bidi="ar-SA"/>
      </w:rPr>
    </w:lvl>
    <w:lvl w:ilvl="8" w:tplc="758877D6">
      <w:numFmt w:val="bullet"/>
      <w:lvlText w:val="•"/>
      <w:lvlJc w:val="left"/>
      <w:pPr>
        <w:ind w:left="7820" w:hanging="210"/>
      </w:pPr>
      <w:rPr>
        <w:rFonts w:hint="default"/>
        <w:lang w:val="de-DE" w:eastAsia="en-US" w:bidi="ar-SA"/>
      </w:rPr>
    </w:lvl>
  </w:abstractNum>
  <w:abstractNum w:abstractNumId="2" w15:restartNumberingAfterBreak="0">
    <w:nsid w:val="6B1675B8"/>
    <w:multiLevelType w:val="hybridMultilevel"/>
    <w:tmpl w:val="C8E23D2C"/>
    <w:lvl w:ilvl="0" w:tplc="1ED64018">
      <w:numFmt w:val="bullet"/>
      <w:lvlText w:val="–"/>
      <w:lvlJc w:val="left"/>
      <w:pPr>
        <w:ind w:left="635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de-DE" w:eastAsia="en-US" w:bidi="ar-SA"/>
      </w:rPr>
    </w:lvl>
    <w:lvl w:ilvl="1" w:tplc="6BE220CC">
      <w:numFmt w:val="bullet"/>
      <w:lvlText w:val="•"/>
      <w:lvlJc w:val="left"/>
      <w:pPr>
        <w:ind w:left="1562" w:hanging="171"/>
      </w:pPr>
      <w:rPr>
        <w:rFonts w:hint="default"/>
        <w:lang w:val="de-DE" w:eastAsia="en-US" w:bidi="ar-SA"/>
      </w:rPr>
    </w:lvl>
    <w:lvl w:ilvl="2" w:tplc="742C4D00">
      <w:numFmt w:val="bullet"/>
      <w:lvlText w:val="•"/>
      <w:lvlJc w:val="left"/>
      <w:pPr>
        <w:ind w:left="2484" w:hanging="171"/>
      </w:pPr>
      <w:rPr>
        <w:rFonts w:hint="default"/>
        <w:lang w:val="de-DE" w:eastAsia="en-US" w:bidi="ar-SA"/>
      </w:rPr>
    </w:lvl>
    <w:lvl w:ilvl="3" w:tplc="51269CF8">
      <w:numFmt w:val="bullet"/>
      <w:lvlText w:val="•"/>
      <w:lvlJc w:val="left"/>
      <w:pPr>
        <w:ind w:left="3406" w:hanging="171"/>
      </w:pPr>
      <w:rPr>
        <w:rFonts w:hint="default"/>
        <w:lang w:val="de-DE" w:eastAsia="en-US" w:bidi="ar-SA"/>
      </w:rPr>
    </w:lvl>
    <w:lvl w:ilvl="4" w:tplc="6A7CA634">
      <w:numFmt w:val="bullet"/>
      <w:lvlText w:val="•"/>
      <w:lvlJc w:val="left"/>
      <w:pPr>
        <w:ind w:left="4328" w:hanging="171"/>
      </w:pPr>
      <w:rPr>
        <w:rFonts w:hint="default"/>
        <w:lang w:val="de-DE" w:eastAsia="en-US" w:bidi="ar-SA"/>
      </w:rPr>
    </w:lvl>
    <w:lvl w:ilvl="5" w:tplc="BDFE6214">
      <w:numFmt w:val="bullet"/>
      <w:lvlText w:val="•"/>
      <w:lvlJc w:val="left"/>
      <w:pPr>
        <w:ind w:left="5250" w:hanging="171"/>
      </w:pPr>
      <w:rPr>
        <w:rFonts w:hint="default"/>
        <w:lang w:val="de-DE" w:eastAsia="en-US" w:bidi="ar-SA"/>
      </w:rPr>
    </w:lvl>
    <w:lvl w:ilvl="6" w:tplc="064E1954">
      <w:numFmt w:val="bullet"/>
      <w:lvlText w:val="•"/>
      <w:lvlJc w:val="left"/>
      <w:pPr>
        <w:ind w:left="6172" w:hanging="171"/>
      </w:pPr>
      <w:rPr>
        <w:rFonts w:hint="default"/>
        <w:lang w:val="de-DE" w:eastAsia="en-US" w:bidi="ar-SA"/>
      </w:rPr>
    </w:lvl>
    <w:lvl w:ilvl="7" w:tplc="15B05AF8">
      <w:numFmt w:val="bullet"/>
      <w:lvlText w:val="•"/>
      <w:lvlJc w:val="left"/>
      <w:pPr>
        <w:ind w:left="7094" w:hanging="171"/>
      </w:pPr>
      <w:rPr>
        <w:rFonts w:hint="default"/>
        <w:lang w:val="de-DE" w:eastAsia="en-US" w:bidi="ar-SA"/>
      </w:rPr>
    </w:lvl>
    <w:lvl w:ilvl="8" w:tplc="72E66C16">
      <w:numFmt w:val="bullet"/>
      <w:lvlText w:val="•"/>
      <w:lvlJc w:val="left"/>
      <w:pPr>
        <w:ind w:left="8016" w:hanging="171"/>
      </w:pPr>
      <w:rPr>
        <w:rFonts w:hint="default"/>
        <w:lang w:val="de-DE" w:eastAsia="en-US" w:bidi="ar-SA"/>
      </w:rPr>
    </w:lvl>
  </w:abstractNum>
  <w:abstractNum w:abstractNumId="3" w15:restartNumberingAfterBreak="0">
    <w:nsid w:val="78BC127D"/>
    <w:multiLevelType w:val="multilevel"/>
    <w:tmpl w:val="E1062E72"/>
    <w:lvl w:ilvl="0">
      <w:start w:val="2"/>
      <w:numFmt w:val="decimal"/>
      <w:lvlText w:val="%1"/>
      <w:lvlJc w:val="left"/>
      <w:pPr>
        <w:ind w:left="872" w:hanging="437"/>
      </w:pPr>
      <w:rPr>
        <w:rFonts w:hint="default"/>
        <w:lang w:val="de-DE" w:eastAsia="en-US" w:bidi="ar-SA"/>
      </w:rPr>
    </w:lvl>
    <w:lvl w:ilvl="1">
      <w:start w:val="8"/>
      <w:numFmt w:val="decimal"/>
      <w:lvlText w:val="%1.%2"/>
      <w:lvlJc w:val="left"/>
      <w:pPr>
        <w:ind w:left="872" w:hanging="4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435" w:hanging="59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3">
      <w:start w:val="1"/>
      <w:numFmt w:val="decimal"/>
      <w:lvlText w:val="%1.%2.%3.%4"/>
      <w:lvlJc w:val="left"/>
      <w:pPr>
        <w:ind w:left="1180" w:hanging="7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4">
      <w:numFmt w:val="bullet"/>
      <w:lvlText w:val="•"/>
      <w:lvlJc w:val="left"/>
      <w:pPr>
        <w:ind w:left="3350" w:hanging="745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435" w:hanging="745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520" w:hanging="745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605" w:hanging="745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690" w:hanging="745"/>
      </w:pPr>
      <w:rPr>
        <w:rFonts w:hint="default"/>
        <w:lang w:val="de-DE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A2"/>
    <w:rsid w:val="001D7495"/>
    <w:rsid w:val="00326838"/>
    <w:rsid w:val="003A3CEF"/>
    <w:rsid w:val="00531A88"/>
    <w:rsid w:val="00634AF4"/>
    <w:rsid w:val="00693F62"/>
    <w:rsid w:val="007B018D"/>
    <w:rsid w:val="00BB11D9"/>
    <w:rsid w:val="00C532D2"/>
    <w:rsid w:val="00C752E8"/>
    <w:rsid w:val="00D21EA2"/>
    <w:rsid w:val="00E32B92"/>
    <w:rsid w:val="00E7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55ED2"/>
  <w15:docId w15:val="{D3A56BFC-1EE2-494A-9528-2E355F43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CEF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5"/>
      <w:ind w:left="435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45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82"/>
      <w:ind w:left="435" w:hanging="17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C75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2E8"/>
    <w:rPr>
      <w:rFonts w:ascii="Arial" w:eastAsia="Arial" w:hAnsi="Arial" w:cs="Arial"/>
      <w:lang w:val="fi-FI"/>
    </w:rPr>
  </w:style>
  <w:style w:type="paragraph" w:styleId="Footer">
    <w:name w:val="footer"/>
    <w:basedOn w:val="Normal"/>
    <w:link w:val="FooterChar"/>
    <w:uiPriority w:val="99"/>
    <w:unhideWhenUsed/>
    <w:rsid w:val="00C75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2E8"/>
    <w:rPr>
      <w:rFonts w:ascii="Arial" w:eastAsia="Arial" w:hAnsi="Arial" w:cs="Arial"/>
      <w:lang w:val="fi-FI"/>
    </w:rPr>
  </w:style>
  <w:style w:type="table" w:styleId="TableGrid">
    <w:name w:val="Table Grid"/>
    <w:basedOn w:val="TableNormal"/>
    <w:uiPriority w:val="39"/>
    <w:rsid w:val="00C7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52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2E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52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2E8"/>
    <w:rPr>
      <w:rFonts w:ascii="Arial" w:eastAsia="Arial" w:hAnsi="Arial" w:cs="Arial"/>
      <w:sz w:val="20"/>
      <w:szCs w:val="20"/>
      <w:lang w:val="fi-FI"/>
    </w:rPr>
  </w:style>
  <w:style w:type="character" w:styleId="FootnoteReference">
    <w:name w:val="footnote reference"/>
    <w:basedOn w:val="DefaultParagraphFont"/>
    <w:uiPriority w:val="99"/>
    <w:semiHidden/>
    <w:unhideWhenUsed/>
    <w:rsid w:val="00C752E8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CEF"/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3A3CEF"/>
    <w:rPr>
      <w:rFonts w:ascii="Arial" w:eastAsia="Arial" w:hAnsi="Arial" w:cs="Arial"/>
      <w:sz w:val="18"/>
      <w:szCs w:val="18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ndesanzeiger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B5B74-6FA0-4FD8-A0B2-24BF0B18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7499</Characters>
  <Application>Microsoft Office Word</Application>
  <DocSecurity>0</DocSecurity>
  <Lines>234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Ragnhild Efraimsson</dc:creator>
  <cp:keywords>class='Internal'</cp:keywords>
  <cp:lastModifiedBy>Ragnhild Efraimsson</cp:lastModifiedBy>
  <cp:revision>2</cp:revision>
  <dcterms:created xsi:type="dcterms:W3CDTF">2024-07-24T13:18:00Z</dcterms:created>
  <dcterms:modified xsi:type="dcterms:W3CDTF">2024-07-24T13:18:00Z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Producer">
    <vt:lpwstr>PStill Engine 1.90</vt:lpwstr>
  </property>
  <property fmtid="{D5CDD505-2E9C-101B-9397-08002B2CF9AE}" pid="4" name="LastSaved">
    <vt:filetime>2024-06-21T00:00:00Z</vt:filetime>
  </property>
</Properties>
</file>