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Lovforslag nr. 8333 om ændring af den ændrede lov af 11. august 2006</w:t>
      </w:r>
      <w:r>
        <w:rPr>
          <w:rFonts w:ascii="Times New Roman" w:hAnsi="Times New Roman"/>
        </w:rPr>
        <w:t xml:space="preserve"> </w:t>
      </w:r>
      <w:r>
        <w:rPr>
          <w:rFonts w:ascii="Calibri" w:hAnsi="Calibri"/>
          <w:b/>
          <w:color w:val="000000"/>
        </w:rPr>
        <w:t>om bekæmpelse af tobaksrygning og om gennemførelse af Kommissionens direktiv (EU) 2022/2100 af 29. juni 2022</w:t>
      </w:r>
      <w:r>
        <w:rPr>
          <w:rFonts w:ascii="Times New Roman" w:hAnsi="Times New Roman"/>
        </w:rPr>
        <w:t xml:space="preserve"> </w:t>
      </w:r>
      <w:r>
        <w:rPr>
          <w:rFonts w:ascii="Calibri" w:hAnsi="Calibri"/>
          <w:b/>
          <w:color w:val="000000"/>
        </w:rPr>
        <w:t>om ændring af Europa-Parlamentets og Rådets direktiv 2014/40/EU for så vidt angår tilbagetrækning af</w:t>
      </w:r>
      <w:r>
        <w:rPr>
          <w:rFonts w:ascii="Times New Roman" w:hAnsi="Times New Roman"/>
        </w:rPr>
        <w:t xml:space="preserve"> </w:t>
      </w:r>
      <w:r>
        <w:rPr>
          <w:rFonts w:ascii="Calibri" w:hAnsi="Calibri"/>
          <w:b/>
          <w:color w:val="000000"/>
        </w:rPr>
        <w:t xml:space="preserve">visse undtagelser for opvarmede tobaksvarer </w:t>
      </w:r>
    </w:p>
    <w:p w14:paraId="35112C07" w14:textId="77777777" w:rsidR="00041F59" w:rsidRPr="00925A86" w:rsidRDefault="00041F59">
      <w:pPr>
        <w:spacing w:after="234"/>
        <w:rPr>
          <w:rFonts w:ascii="Times New Roman" w:hAnsi="Times New Roman"/>
          <w:color w:val="000000" w:themeColor="text1"/>
          <w:sz w:val="24"/>
          <w:szCs w:val="24"/>
        </w:rPr>
      </w:pPr>
    </w:p>
    <w:p w14:paraId="6ED2C828" w14:textId="3F989DEC" w:rsidR="00041F59" w:rsidRPr="00171ECB" w:rsidRDefault="00171ECB">
      <w:pPr>
        <w:spacing w:line="446" w:lineRule="exact"/>
        <w:ind w:left="5188" w:right="855" w:hanging="3197"/>
        <w:rPr>
          <w:rFonts w:ascii="Times New Roman" w:hAnsi="Times New Roman" w:cs="Times New Roman"/>
          <w:color w:val="010302"/>
        </w:rPr>
      </w:pPr>
      <w:r>
        <w:rPr>
          <w:rFonts w:ascii="Calibri" w:hAnsi="Calibri"/>
          <w:b/>
          <w:color w:val="000000"/>
        </w:rPr>
        <w:t xml:space="preserve">Konsolideret tekst til den ændrede lov af 11. august 2006 om bekæmpelse af tobaksrygning </w:t>
      </w:r>
      <w:r>
        <w:br w:type="textWrapping" w:clear="all"/>
      </w:r>
      <w:r>
        <w:rPr>
          <w:rFonts w:ascii="Calibri" w:hAnsi="Calibri"/>
          <w:b/>
          <w:color w:val="000000"/>
        </w:rPr>
        <w:t xml:space="preserve">(Uddrag)  </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 1.</w:t>
      </w:r>
      <w:r>
        <w:rPr>
          <w:rFonts w:ascii="Calibri" w:hAnsi="Calibri"/>
          <w:color w:val="000000"/>
        </w:rPr>
        <w:t xml:space="preserve"> Formålet med denne lov er af hensyn til den offentlige sundhed at gennemføre</w:t>
      </w:r>
      <w:r>
        <w:rPr>
          <w:rFonts w:ascii="Times New Roman" w:hAnsi="Times New Roman"/>
        </w:rPr>
        <w:t xml:space="preserve"> </w:t>
      </w:r>
      <w:r>
        <w:rPr>
          <w:rFonts w:ascii="Calibri" w:hAnsi="Calibri"/>
          <w:color w:val="000000"/>
        </w:rPr>
        <w:t xml:space="preserve">foranstaltninger til bekæmpelse af tobaksrygning.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Artikel 2</w:t>
      </w:r>
      <w:r>
        <w:rPr>
          <w:rFonts w:ascii="Calibri" w:hAnsi="Calibri"/>
          <w:color w:val="000000"/>
        </w:rPr>
        <w:t xml:space="preserve"> I denne lov forstås ved: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"tobaksvarer": alle varer, der er bestemt til at ryges, indsnuses, suttes eller tygges, hvis de, også kun delvist, er fremstillet af tobak, uanset om de er genetisk modificeret eller ej, og</w:t>
      </w:r>
      <w:r>
        <w:rPr>
          <w:rFonts w:ascii="Times New Roman" w:hAnsi="Times New Roman"/>
        </w:rPr>
        <w:t xml:space="preserve"> </w:t>
      </w:r>
      <w:r>
        <w:rPr>
          <w:rFonts w:ascii="Calibri" w:hAnsi="Calibri"/>
          <w:color w:val="000000"/>
        </w:rPr>
        <w:t>produkter, der er bestemt til at ryges, selv om de ikke indeholder tobak, undtagen cigaretter</w:t>
      </w:r>
      <w:r>
        <w:rPr>
          <w:rFonts w:ascii="Times New Roman" w:hAnsi="Times New Roman"/>
        </w:rPr>
        <w:t xml:space="preserve"> </w:t>
      </w:r>
      <w:r>
        <w:rPr>
          <w:rFonts w:ascii="Calibri" w:hAnsi="Calibri"/>
          <w:color w:val="000000"/>
        </w:rPr>
        <w:t>og rygeprodukter, der er beregnet til medicinsk brug, og som præsenteres som undertrykkende</w:t>
      </w:r>
      <w:r>
        <w:rPr>
          <w:rFonts w:ascii="Times New Roman" w:hAnsi="Times New Roman"/>
        </w:rPr>
        <w:t xml:space="preserve"> </w:t>
      </w:r>
      <w:r>
        <w:rPr>
          <w:rFonts w:ascii="Calibri" w:hAnsi="Calibri"/>
          <w:color w:val="000000"/>
        </w:rPr>
        <w:t xml:space="preserve">ønsket om at ryge eller mindske tobaksafhængigheden.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 xml:space="preserve">"tobak, der indtages oralt": alle tobaksprodukter, der er bestemt til oral indtagelse, med undtagelse af varer bestemt til at ryges eller tygges, og som helt eller delvis består af tobak i form af pulver eller fine partikler eller enhver kombination af disse former –  navnlig varer i portionsbreve eller porøse breve –  eller i en form, der minder om fødevarer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"reklame": enhver form for kommerciel meddelelse med sigte på at fremme afsætningen af en tobaksvare eller med dette som en direkte eller indirekte virkning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"sponsorering": ethvert offentligt eller privat bidrag til et arrangement, en aktivitet eller enkeltperson med sigte på at fremme afsætningen af en tobaksvare eller med dette som en direkte eller indirekte virkning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 xml:space="preserve">"cateringforretning": alle offentligt tilgængelige lokaler, hvor der tilberedes eller serveres måltider, også til forbrug på salgsstedet, uanset om de er gratis eller mod betaling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"drikkevirksomhed": alle lokaler, der er tilgængelige for offentligheden, og hvis hoved- eller biaktivitet er</w:t>
      </w:r>
      <w:r>
        <w:rPr>
          <w:rFonts w:ascii="Times New Roman" w:hAnsi="Times New Roman"/>
        </w:rPr>
        <w:t xml:space="preserve"> </w:t>
      </w:r>
      <w:r>
        <w:rPr>
          <w:rFonts w:ascii="Calibri" w:hAnsi="Calibri"/>
          <w:color w:val="000000"/>
        </w:rPr>
        <w:t>at sælge eller udbyde alkoholholdige eller ikke-alkoholholdige drikkevarer, uanset om de er gratis eller sælges, til forbrug</w:t>
      </w:r>
      <w:r>
        <w:rPr>
          <w:rFonts w:ascii="Times New Roman" w:hAnsi="Times New Roman"/>
        </w:rPr>
        <w:t xml:space="preserve"> </w:t>
      </w:r>
      <w:r>
        <w:rPr>
          <w:rFonts w:ascii="Calibri" w:hAnsi="Calibri"/>
          <w:color w:val="000000"/>
        </w:rPr>
        <w:t xml:space="preserve">på salgsstedet eller til takeaway </w:t>
      </w:r>
    </w:p>
    <w:p w14:paraId="57565780" w14:textId="7CC1836E"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g) "røgfri tobaksvare": en tobaksvare, der ikke forbruges via en forbrændingsproces, herunder tyggetobak, tobak, der indtages nasalt, og tobak, der indtages oralt </w:t>
      </w:r>
    </w:p>
    <w:p w14:paraId="2667BDCA" w14:textId="61B01CD5"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"ny kategori af tobaksvarer": en tobaksvare, der ikke falder ind under en af følgende kategorier:</w:t>
      </w:r>
      <w:r>
        <w:rPr>
          <w:rFonts w:ascii="Times New Roman" w:hAnsi="Times New Roman"/>
        </w:rPr>
        <w:t xml:space="preserve"> </w:t>
      </w:r>
      <w:r>
        <w:rPr>
          <w:rFonts w:ascii="Calibri" w:hAnsi="Calibri"/>
          <w:color w:val="000000"/>
        </w:rPr>
        <w:t xml:space="preserve">cigaretter, rulletobak, pibetobak, vandpibetobak, cigarer, cigarillos, tyggetobak, tobak, der indtages nasalt, eller tobak, der indtages oralt </w:t>
      </w:r>
    </w:p>
    <w:p w14:paraId="74E8C49F" w14:textId="77777777" w:rsidR="00041F59" w:rsidRPr="00C53DC4" w:rsidRDefault="00041F59">
      <w:pPr>
        <w:spacing w:after="233"/>
        <w:rPr>
          <w:rFonts w:ascii="Times New Roman" w:hAnsi="Times New Roman"/>
          <w:color w:val="000000" w:themeColor="text1"/>
          <w:sz w:val="24"/>
          <w:szCs w:val="24"/>
        </w:rPr>
      </w:pPr>
    </w:p>
    <w:p w14:paraId="4EBEFC06" w14:textId="77777777" w:rsidR="00041F59" w:rsidRPr="00C53DC4" w:rsidRDefault="00041F59">
      <w:pPr>
        <w:rPr>
          <w:rFonts w:ascii="Times New Roman" w:hAnsi="Times New Roman"/>
          <w:color w:val="000000" w:themeColor="text1"/>
          <w:sz w:val="24"/>
          <w:szCs w:val="24"/>
        </w:rPr>
      </w:pPr>
    </w:p>
    <w:p w14:paraId="217C2437" w14:textId="77777777" w:rsidR="00925A86" w:rsidRDefault="00925A86">
      <w:pPr>
        <w:spacing w:line="292" w:lineRule="exact"/>
        <w:ind w:left="920" w:right="853"/>
        <w:rPr>
          <w:rFonts w:ascii="Calibri" w:hAnsi="Calibri"/>
          <w:strike/>
          <w:color w:val="000000"/>
        </w:rPr>
      </w:pPr>
    </w:p>
    <w:p w14:paraId="4DC5F389" w14:textId="18A588C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"urtebaseret rygeprodukt": et produkt baseret på planter, urter eller frugter, som ikke indeholder tobak, og som kan forbruges via en forbrændingsproces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"røgtobak": tobaksvarer, som ikke er røgfrie tobaksvarer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"elektronisk cigaret": et produkt, der kan anvendes til forbrug af damp eller inhalering af ethvert stof, uanset om det indeholder nikotin, gennem et mundstykke, eller dele af et sådant produkt, herunder en patron, en tank og en anordning uden patron eller tank. Elektroniske cigaretter kan være til engangsforbrug eller genopfyldelige ved hjælp af en genopfyldningsbeholder og en tank eller genlades med engangspatroner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"genopfyldningsbeholder": en beholder indeholdende en nikotinholdig væske, som kan anvendes til genopfyldning af en elektronisk cigaret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"ingrediens": tobak, et tilsætningsstof og ethvert andet stof eller element, der er til stede i en færdig tobaksvare eller relaterede produkter, herunder papir, filter, blæk, kapsler og klæbemiddel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"emissioner": stoffer, der frigives, når tobak eller et relateret produkt anvendes efter hensigten, såsom stoffer, der findes i røg, eller stoffer, der frigives i forbindelse med brug af røgfrie tobaksvarer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o) "grænseværdi" eller "grænseværdi for emissionsindholdet": maksimumsgrænse, herunder også 0, for indholdet af et stof i en tobaksvare eller i emissionerne herfra målt i milligram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"tilsætningsstof": et andet stof end tobak, der tilsættes en tobaksvare </w:t>
      </w:r>
      <w:r>
        <w:rPr>
          <w:rFonts w:ascii="Calibri" w:hAnsi="Calibri"/>
          <w:b/>
          <w:bCs/>
          <w:color w:val="000000"/>
        </w:rPr>
        <w:t>eller en nikotinpose</w:t>
      </w:r>
      <w:r>
        <w:rPr>
          <w:rFonts w:ascii="Calibri" w:hAnsi="Calibri"/>
          <w:color w:val="000000"/>
        </w:rPr>
        <w:t xml:space="preserve">, en enkeltpakning eller en eventuel ydre emballage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"ydre emballage": enhver emballage, som tobaksprodukter eller relaterede produkter markedsføres i, og som omslutter en eller flere enkeltpakninger. Gennemsigtig indpakningsmateriale betragtes ikke som ydre emballage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"enkeltpakning": den mindste individuelle pakning af en tobaksvare eller et relateret produkt, der markedsføres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"vandpibetobak": en tobaksvare, der kan anvendes i en vandpibe.</w:t>
      </w:r>
      <w:r>
        <w:rPr>
          <w:rFonts w:ascii="Times New Roman" w:hAnsi="Times New Roman"/>
        </w:rPr>
        <w:t xml:space="preserve"> </w:t>
      </w:r>
      <w:r>
        <w:rPr>
          <w:rFonts w:ascii="Calibri" w:hAnsi="Calibri"/>
          <w:color w:val="000000"/>
        </w:rPr>
        <w:t xml:space="preserve">I dette direktiv anses vandpibetobak for at være røgtobak. Hvis et produkt kan anvendes både gennem vandpiber og som rulletobak, anses det som rulletobak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"kendetegnende aroma": en fremtrædende duft eller smag af andet end tobak, som er resultatet af et tilsætningsstof eller en kombination af tilsætningsstoffer, herunder blandt andet frugt, krydderier, urter, alkohol, slik, mentol eller vanilje, og som bemærkes før eller under forbruget af tobaksvaren </w:t>
      </w:r>
    </w:p>
    <w:p w14:paraId="7F0653BF" w14:textId="77777777" w:rsidR="00041F59" w:rsidRPr="00925A86" w:rsidRDefault="00041F59">
      <w:pPr>
        <w:rPr>
          <w:rFonts w:ascii="Times New Roman" w:hAnsi="Times New Roman"/>
          <w:color w:val="000000" w:themeColor="text1"/>
          <w:sz w:val="24"/>
          <w:szCs w:val="24"/>
        </w:rPr>
      </w:pP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925A86" w:rsidRDefault="00041F59">
      <w:pPr>
        <w:rPr>
          <w:rFonts w:ascii="Times New Roman" w:hAnsi="Times New Roman"/>
          <w:color w:val="000000" w:themeColor="text1"/>
          <w:sz w:val="24"/>
          <w:szCs w:val="24"/>
        </w:rPr>
      </w:pPr>
    </w:p>
    <w:p w14:paraId="3213077E" w14:textId="62681572" w:rsidR="00041F59" w:rsidRPr="00925A86" w:rsidRDefault="00041F59">
      <w:pPr>
        <w:rPr>
          <w:rFonts w:ascii="Times New Roman" w:hAnsi="Times New Roman"/>
          <w:color w:val="000000" w:themeColor="text1"/>
          <w:sz w:val="24"/>
          <w:szCs w:val="24"/>
        </w:rPr>
      </w:pPr>
    </w:p>
    <w:p w14:paraId="67845A04" w14:textId="77777777" w:rsidR="00C53DC4" w:rsidRPr="00925A86" w:rsidRDefault="00C53DC4">
      <w:pPr>
        <w:rPr>
          <w:rFonts w:ascii="Times New Roman" w:hAnsi="Times New Roman"/>
          <w:color w:val="000000" w:themeColor="text1"/>
          <w:sz w:val="24"/>
          <w:szCs w:val="24"/>
        </w:rPr>
      </w:pPr>
    </w:p>
    <w:p w14:paraId="3C3201C0" w14:textId="77777777" w:rsidR="00F53B42" w:rsidRPr="00925A86"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"legeområde": ethvert rum, der er specielt konstrueret og udstyret til børns kollektive brug til leg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"rygning": inhalering af røg fra forbrændingen af en tobaksvare eller damp</w:t>
      </w:r>
      <w:r>
        <w:rPr>
          <w:rFonts w:ascii="Times New Roman" w:hAnsi="Times New Roman"/>
        </w:rPr>
        <w:t xml:space="preserve"> </w:t>
      </w:r>
      <w:r>
        <w:rPr>
          <w:rFonts w:ascii="Calibri" w:hAnsi="Calibri"/>
          <w:color w:val="000000"/>
        </w:rPr>
        <w:t xml:space="preserve">fra en elektronisk cigaret eller enhver anden sådan anordning.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"tobak": blade og andre naturlige, forarbejdede eller uforarbejdede dele af tobaksplanter, herunder ekspanderet og rekonstitueret tobak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"pibetobak": tobak, der kan forbruges via en forbrændingsproces, og som udelukkende er bestemt til brug i en pibe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"rulletobak": tobak, der kan anvendes til fremstilling af cigaretter af forbrugeren eller detailsalgssteder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"tyggetobak": en røgfri tobaksvare, som udelukkende er bestemt til at tygges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"tobak, der indtages nasalt«: en røgfri tobaksvare, som kan forbruges via næsen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"tjære": nikotinfrit anhydridt kondensat af ufiltreret røg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"cigaret": en tobaksrulle, som kan forbruges via en forbrændingsproces, og som: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kan ryges, som den er, og ikke er en cigar eller cigarillo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hældes i cigaretrør ved hjælp af en enkel, ikke-industriel proces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er indpakket i cigaretpapir ved hjælp af en simpel</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ikke-industriel proces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30. "cigar": en tobaksrulle, der kan forbruges ved hjælp af en forbrændingsproces</w:t>
      </w:r>
      <w:r>
        <w:t>,</w:t>
      </w:r>
      <w:r>
        <w:rPr>
          <w:rFonts w:ascii="Times New Roman" w:hAnsi="Times New Roman"/>
        </w:rPr>
        <w:t xml:space="preserve"> </w:t>
      </w:r>
      <w:r>
        <w:rPr>
          <w:rFonts w:ascii="Calibri" w:hAnsi="Calibri"/>
          <w:b/>
          <w:color w:val="000000"/>
        </w:rPr>
        <w:t xml:space="preserve">og som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er dækket af en ydre indpakning af tobak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 xml:space="preserve">b) er fyldt med en reven blanding og forsynet med et dæksblad af normal cigarfarve, der dækker hele produktet, eventuelt også filteret, men ikke mundstykket i tilfælde af cigarer med mundstykke, når deres stykvægt uden filter og mundstykke er 2,3 g eller derover, dog højst 10 g, og deres omkreds er 34 mm eller derover i mindst en tredjedel af deres længde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"cigarillos": en type lille cigar med en vægt på højst 3 g pr. stk.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"afhængighedsskabende egenskaber": et stofs farmakologiske evne til at skabe afhængighed — en tilstand, der påvirker en persons evne til at styre sin adfærd, typisk ved at udløse en følelse af belønning eller dulme abstinenser eller begge dele </w:t>
      </w:r>
    </w:p>
    <w:p w14:paraId="0C07BBEB" w14:textId="77777777" w:rsidR="00041F59" w:rsidRPr="00925A86" w:rsidRDefault="00041F59">
      <w:pPr>
        <w:spacing w:after="45"/>
        <w:rPr>
          <w:rFonts w:ascii="Times New Roman" w:hAnsi="Times New Roman"/>
          <w:color w:val="000000" w:themeColor="text1"/>
          <w:sz w:val="24"/>
          <w:szCs w:val="24"/>
        </w:rPr>
      </w:pPr>
    </w:p>
    <w:p w14:paraId="4255C3D1" w14:textId="77777777" w:rsidR="00041F59" w:rsidRPr="00925A86"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925A86" w:rsidRDefault="00041F59">
      <w:pPr>
        <w:rPr>
          <w:rFonts w:ascii="Times New Roman" w:hAnsi="Times New Roman"/>
          <w:color w:val="000000" w:themeColor="text1"/>
          <w:sz w:val="24"/>
          <w:szCs w:val="24"/>
        </w:rPr>
      </w:pPr>
    </w:p>
    <w:p w14:paraId="6CF31EB7" w14:textId="77777777" w:rsidR="00041F59" w:rsidRPr="00925A86" w:rsidRDefault="00041F59">
      <w:pPr>
        <w:rPr>
          <w:rFonts w:ascii="Times New Roman" w:hAnsi="Times New Roman"/>
          <w:color w:val="000000" w:themeColor="text1"/>
          <w:sz w:val="24"/>
          <w:szCs w:val="24"/>
        </w:rPr>
      </w:pPr>
    </w:p>
    <w:p w14:paraId="45EE4E7D" w14:textId="104CC787" w:rsidR="00041F59" w:rsidRPr="00925A86" w:rsidRDefault="00041F59">
      <w:pPr>
        <w:rPr>
          <w:rFonts w:ascii="Times New Roman" w:hAnsi="Times New Roman"/>
          <w:color w:val="000000" w:themeColor="text1"/>
          <w:sz w:val="24"/>
          <w:szCs w:val="24"/>
        </w:rPr>
      </w:pPr>
    </w:p>
    <w:p w14:paraId="0EF7AA92" w14:textId="77777777" w:rsidR="00F41321" w:rsidRPr="00925A86"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"toksicitet": den grad, hvori et stof kan forårsage skadelige virkninger på den menneskelige organisme, herunder virkninger, der indtræffer over tid, normalt efter gentagen eller vedvarende forbrug eller eksponering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"sundhedsadvarsel": en advarsel vedrørende et produkts sundhedsskadelige virkninger eller andre uønskede konsekvenser ved forbrug heraf, herunder tekstadvarsler, kombinerede sundhedsadvarsler, generelle advarsler og informationsmeddelelser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35.  "kombineret sundhedsadvarsel": en sundhedsadvarsel, som består af en kombination af en tekstadvarsel og et tilhørende fotografi eller en tilhørende illustration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"fjernsalg": ethvert salg, der indgås inden for rammerne af en organiseret fjernsalgsordning</w:t>
      </w:r>
      <w:r>
        <w:rPr>
          <w:rFonts w:ascii="Times New Roman" w:hAnsi="Times New Roman"/>
        </w:rPr>
        <w:t xml:space="preserve"> </w:t>
      </w:r>
      <w:r>
        <w:rPr>
          <w:rFonts w:ascii="Calibri" w:hAnsi="Calibri"/>
          <w:b/>
          <w:color w:val="000000"/>
        </w:rPr>
        <w:t>uden sælgerens og køberens samtidige fysiske tilstedeværelse, udelukkende ved brug af en eller</w:t>
      </w:r>
      <w:r>
        <w:rPr>
          <w:rFonts w:ascii="Times New Roman" w:hAnsi="Times New Roman"/>
        </w:rPr>
        <w:t xml:space="preserve"> </w:t>
      </w:r>
      <w:r>
        <w:rPr>
          <w:rFonts w:ascii="Calibri" w:hAnsi="Calibri"/>
          <w:b/>
          <w:color w:val="000000"/>
        </w:rPr>
        <w:t>flere midler til fjernkommunikation, til og med det tidspunkt, hvor</w:t>
      </w:r>
      <w:r>
        <w:rPr>
          <w:rFonts w:ascii="Times New Roman" w:hAnsi="Times New Roman"/>
        </w:rPr>
        <w:t xml:space="preserve"> </w:t>
      </w:r>
      <w:r>
        <w:rPr>
          <w:rFonts w:ascii="Calibri" w:hAnsi="Calibri"/>
          <w:b/>
          <w:color w:val="000000"/>
        </w:rPr>
        <w:t xml:space="preserve">salget er afsluttet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"fabrikant": enhver fysisk eller juridisk person, som fremstiller et produkt eller får et produkt konstrueret eller fremstillet og markedsfører dette produkt under sit navn eller varemærke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 xml:space="preserve">38. "importør af tobak eller relaterede produkter": ejeren af eller en person med rådighedsret over tobak og relaterede produkter, der er blevet ført ind på Unionens område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 xml:space="preserve">39. "detailsalgssted": ethvert salgssted, hvor tobaksvarer markedsføres, eventuelt af en fysisk person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"nikotin": nikotinalkaloider og nikotinsalte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"opvarmningsanordning": enhver anordning eller komponent heraf, der er nødvendig for</w:t>
      </w:r>
      <w:r>
        <w:rPr>
          <w:rFonts w:ascii="Times New Roman" w:hAnsi="Times New Roman"/>
        </w:rPr>
        <w:t xml:space="preserve"> </w:t>
      </w:r>
      <w:r>
        <w:rPr>
          <w:rFonts w:ascii="Calibri" w:hAnsi="Calibri"/>
          <w:b/>
          <w:color w:val="000000"/>
        </w:rPr>
        <w:t xml:space="preserve">forbrug eller anvendelse af en ny kategori af tobaksvarer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"nyt nikotinprodukt": ethvert produkt, der ikke indeholder tobak, og som er fremstillet af, også</w:t>
      </w:r>
      <w:r>
        <w:rPr>
          <w:rFonts w:ascii="Times New Roman" w:hAnsi="Times New Roman"/>
        </w:rPr>
        <w:t xml:space="preserve"> </w:t>
      </w:r>
      <w:r>
        <w:rPr>
          <w:rFonts w:ascii="Calibri" w:hAnsi="Calibri"/>
          <w:b/>
          <w:color w:val="000000"/>
        </w:rPr>
        <w:t>delvist, nikotin, bestemt til konsum, med undtagelse af udstyr til</w:t>
      </w:r>
      <w:r>
        <w:rPr>
          <w:rFonts w:ascii="Times New Roman" w:hAnsi="Times New Roman"/>
        </w:rPr>
        <w:t xml:space="preserve"> </w:t>
      </w:r>
      <w:r>
        <w:rPr>
          <w:rFonts w:ascii="Calibri" w:hAnsi="Calibri"/>
          <w:b/>
          <w:color w:val="000000"/>
        </w:rPr>
        <w:t xml:space="preserve">holde op med at ryge, der sælges på apoteker, nikotinposer eller elektroniske cigaretter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"nikotinpose": et tobaksfrit oralt produkt, der helt eller delvist er fremstillet af syntetisk eller naturlig</w:t>
      </w:r>
      <w:r>
        <w:rPr>
          <w:rFonts w:ascii="Times New Roman" w:hAnsi="Times New Roman"/>
        </w:rPr>
        <w:t xml:space="preserve"> </w:t>
      </w:r>
      <w:r>
        <w:rPr>
          <w:rFonts w:ascii="Calibri" w:hAnsi="Calibri"/>
          <w:b/>
          <w:color w:val="000000"/>
        </w:rPr>
        <w:t>nikotin, blandet med vegetabilske fibre eller et tilsvarende substrat, og som foreligger i form af pulver, fibre, partikler eller pasta eller enhver kombination af disse former, der er fordelt i</w:t>
      </w:r>
      <w:r>
        <w:rPr>
          <w:rFonts w:ascii="Times New Roman" w:hAnsi="Times New Roman"/>
        </w:rPr>
        <w:t xml:space="preserve"> </w:t>
      </w:r>
      <w:r>
        <w:rPr>
          <w:rFonts w:ascii="Calibri" w:hAnsi="Calibri"/>
          <w:b/>
          <w:color w:val="000000"/>
        </w:rPr>
        <w:t>poser, i porøse poser eller tilsvarende, uden at de er bestemt til rygning, og som også kan</w:t>
      </w:r>
      <w:r>
        <w:rPr>
          <w:rFonts w:ascii="Times New Roman" w:hAnsi="Times New Roman"/>
        </w:rPr>
        <w:t xml:space="preserve"> </w:t>
      </w:r>
      <w:r>
        <w:rPr>
          <w:rFonts w:ascii="Calibri" w:hAnsi="Calibri"/>
          <w:b/>
          <w:color w:val="000000"/>
        </w:rPr>
        <w:t xml:space="preserve">markedsføres som en nikotinpung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"opvarmet tobaksvare": en ny kategori af tobaksvarer, der opvarmes for at fremstille en</w:t>
      </w:r>
      <w:r>
        <w:rPr>
          <w:rFonts w:ascii="Times New Roman" w:hAnsi="Times New Roman"/>
        </w:rPr>
        <w:t xml:space="preserve"> </w:t>
      </w:r>
      <w:r>
        <w:rPr>
          <w:rFonts w:ascii="Calibri" w:hAnsi="Calibri"/>
          <w:b/>
          <w:color w:val="000000"/>
        </w:rPr>
        <w:t>emission indeholdende nikotin og andre kemikalier, som derefter inhaleres af</w:t>
      </w:r>
      <w:r>
        <w:rPr>
          <w:rFonts w:ascii="Times New Roman" w:hAnsi="Times New Roman"/>
        </w:rPr>
        <w:t xml:space="preserve"> </w:t>
      </w:r>
      <w:r>
        <w:rPr>
          <w:rFonts w:ascii="Calibri" w:hAnsi="Calibri"/>
          <w:b/>
          <w:color w:val="000000"/>
        </w:rPr>
        <w:t xml:space="preserve">brugerne, og som i henhold til sine egenskaber er en røgfri tobaksvare eller en røgtobak. </w:t>
      </w:r>
    </w:p>
    <w:p w14:paraId="10A811B8" w14:textId="77777777" w:rsidR="00041F59" w:rsidRPr="00925A86"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925A86" w:rsidRDefault="00041F59">
      <w:pPr>
        <w:rPr>
          <w:rFonts w:ascii="Times New Roman" w:hAnsi="Times New Roman"/>
          <w:color w:val="000000" w:themeColor="text1"/>
          <w:sz w:val="24"/>
          <w:szCs w:val="24"/>
        </w:rPr>
      </w:pPr>
    </w:p>
    <w:p w14:paraId="4BF9D2F1" w14:textId="77777777" w:rsidR="00041F59" w:rsidRPr="00925A86" w:rsidRDefault="00041F59">
      <w:pPr>
        <w:rPr>
          <w:rFonts w:ascii="Times New Roman" w:hAnsi="Times New Roman"/>
          <w:color w:val="000000" w:themeColor="text1"/>
          <w:sz w:val="24"/>
          <w:szCs w:val="24"/>
        </w:rPr>
      </w:pPr>
    </w:p>
    <w:p w14:paraId="4A1E4523" w14:textId="4DDAD246" w:rsidR="00041F59" w:rsidRPr="00925A86" w:rsidRDefault="00041F59">
      <w:pPr>
        <w:rPr>
          <w:rFonts w:ascii="Times New Roman" w:hAnsi="Times New Roman"/>
          <w:color w:val="000000" w:themeColor="text1"/>
          <w:sz w:val="24"/>
          <w:szCs w:val="24"/>
        </w:rPr>
      </w:pPr>
    </w:p>
    <w:p w14:paraId="262E4CB2" w14:textId="77777777" w:rsidR="00041F59" w:rsidRPr="00925A86"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Artikel 3.</w:t>
      </w:r>
      <w:r>
        <w:rPr>
          <w:rFonts w:ascii="Calibri" w:hAnsi="Calibri"/>
          <w:color w:val="000000"/>
        </w:rPr>
        <w:t xml:space="preserve"> (1) Reklame for tobak, tobaksprodukter, ingredienser, elektroniske cigaretter</w:t>
      </w:r>
      <w:r>
        <w:rPr>
          <w:rFonts w:ascii="Times New Roman" w:hAnsi="Times New Roman"/>
        </w:rPr>
        <w:t xml:space="preserve"> </w:t>
      </w:r>
      <w:r>
        <w:rPr>
          <w:rFonts w:ascii="Calibri" w:hAnsi="Calibri"/>
          <w:color w:val="000000"/>
        </w:rPr>
        <w:t xml:space="preserve">og genopfyldningsbeholdere </w:t>
      </w:r>
      <w:r>
        <w:rPr>
          <w:rFonts w:ascii="Calibri" w:hAnsi="Calibri"/>
          <w:b/>
          <w:bCs/>
          <w:color w:val="000000"/>
        </w:rPr>
        <w:t>eller nikotinposer</w:t>
      </w:r>
      <w:r>
        <w:rPr>
          <w:rFonts w:ascii="Calibri" w:hAnsi="Calibri"/>
          <w:color w:val="000000"/>
        </w:rPr>
        <w:t xml:space="preserve"> og enhver gratis uddeling af et tobakprodukt eller en elektronisk cigaret- eller genopfyldningsbeholder </w:t>
      </w:r>
      <w:r>
        <w:rPr>
          <w:rFonts w:ascii="Calibri" w:hAnsi="Calibri"/>
          <w:b/>
          <w:bCs/>
          <w:color w:val="000000"/>
        </w:rPr>
        <w:t>eller nikotinposer</w:t>
      </w:r>
      <w:r>
        <w:rPr>
          <w:rFonts w:ascii="Calibri" w:hAnsi="Calibri"/>
          <w:color w:val="000000"/>
        </w:rPr>
        <w:t xml:space="preserve"> er ikke godkendt.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Dette forbud omfatter anvendelse af varemærkelogoet eller navnet på tobaksmærket eller</w:t>
      </w:r>
      <w:r>
        <w:rPr>
          <w:rFonts w:ascii="Times New Roman" w:hAnsi="Times New Roman"/>
        </w:rPr>
        <w:t xml:space="preserve"> </w:t>
      </w:r>
      <w:r>
        <w:rPr>
          <w:rFonts w:ascii="Calibri" w:hAnsi="Calibri"/>
          <w:color w:val="000000"/>
        </w:rPr>
        <w:t xml:space="preserve">tobaksvarer eller elektroniske cigaretprodukter eller genopfyldningsbeholdere </w:t>
      </w:r>
      <w:r>
        <w:rPr>
          <w:rFonts w:ascii="Calibri" w:hAnsi="Calibri"/>
          <w:b/>
          <w:bCs/>
          <w:color w:val="000000"/>
        </w:rPr>
        <w:t>eller nikotinposer</w:t>
      </w:r>
      <w:r>
        <w:rPr>
          <w:rFonts w:ascii="Calibri" w:hAnsi="Calibri"/>
          <w:color w:val="000000"/>
        </w:rPr>
        <w:t xml:space="preserve"> og anvendelse af enhver anden form for gengivelse eller angivelse, der kan henvise til dem, på hverdagsgenstande ud over dem, der direkte vedrører brugen af tobak eller elektroniske cigaretter </w:t>
      </w:r>
      <w:r>
        <w:rPr>
          <w:rFonts w:ascii="Calibri" w:hAnsi="Calibri"/>
          <w:b/>
          <w:bCs/>
          <w:color w:val="000000"/>
        </w:rPr>
        <w:t>eller af</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nikotinposer</w:t>
      </w:r>
      <w:r>
        <w:rPr>
          <w:rFonts w:ascii="Calibri" w:hAnsi="Calibri"/>
          <w:color w:val="000000"/>
        </w:rPr>
        <w:t xml:space="preserve">.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Denne bestemmelse finder ikke anvendelse på kategorier af genstande, der er markedsført inden den 9. april 1989</w:t>
      </w:r>
      <w:r>
        <w:rPr>
          <w:rFonts w:ascii="Times New Roman" w:hAnsi="Times New Roman"/>
        </w:rPr>
        <w:t xml:space="preserve"> </w:t>
      </w:r>
      <w:r>
        <w:rPr>
          <w:rFonts w:ascii="Calibri" w:hAnsi="Calibri"/>
          <w:color w:val="000000"/>
        </w:rPr>
        <w:t xml:space="preserve">under navne, mærker eller logoer, der er identiske med navne på tobak eller tobaksvarer.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Følgende betragtes ikke som reklame i henhold til foregående stykke: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t xml:space="preserve">– </w:t>
      </w:r>
      <w:r>
        <w:rPr>
          <w:rFonts w:ascii="Calibri" w:hAnsi="Calibri"/>
          <w:color w:val="000000"/>
        </w:rPr>
        <w:t>skilte, der er anbragt for at markere, at der er tale om bygninger tilhørende virksomheder, hvor produkter, der er omfattet af denne lov, fremstilles eller oplagres, så længe de</w:t>
      </w:r>
      <w:r>
        <w:rPr>
          <w:rFonts w:ascii="Times New Roman" w:hAnsi="Times New Roman"/>
        </w:rPr>
        <w:t xml:space="preserve"> </w:t>
      </w:r>
      <w:r>
        <w:rPr>
          <w:rFonts w:ascii="Calibri" w:hAnsi="Calibri"/>
          <w:color w:val="000000"/>
        </w:rPr>
        <w:t>ikke indeholder andre angivelser end fabrikantens eller distributørens navn, navnet på det mærke, der fremstilles</w:t>
      </w:r>
      <w:r>
        <w:rPr>
          <w:rFonts w:ascii="Times New Roman" w:hAnsi="Times New Roman"/>
        </w:rPr>
        <w:t xml:space="preserve"> </w:t>
      </w:r>
      <w:r>
        <w:rPr>
          <w:rFonts w:ascii="Calibri" w:hAnsi="Calibri"/>
          <w:color w:val="000000"/>
        </w:rPr>
        <w:t>eller distribueres eller en grafisk eller fotografisk gengivelse af varemærket eller dets emballage eller</w:t>
      </w:r>
      <w:r>
        <w:rPr>
          <w:rFonts w:ascii="Times New Roman" w:hAnsi="Times New Roman"/>
        </w:rPr>
        <w:t xml:space="preserve"> </w:t>
      </w:r>
      <w:r>
        <w:rPr>
          <w:rFonts w:ascii="Calibri" w:hAnsi="Calibri"/>
          <w:color w:val="000000"/>
        </w:rPr>
        <w:t xml:space="preserve">logo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den blotte angivelse på et køretøj, der normalt anvendes til salg af tobak, eller dets produkter</w:t>
      </w:r>
      <w:r>
        <w:rPr>
          <w:rFonts w:ascii="Times New Roman" w:hAnsi="Times New Roman"/>
        </w:rPr>
        <w:t xml:space="preserve"> </w:t>
      </w:r>
      <w:r>
        <w:rPr>
          <w:rFonts w:ascii="Calibri" w:hAnsi="Calibri"/>
          <w:color w:val="000000"/>
        </w:rPr>
        <w:t>eller elektroniske cigaretter og genopfyldningsbeholdere, produktets navn og sammensætning samt fabrikantens og i givet fald distributørens navn og adresse samt den</w:t>
      </w:r>
      <w:r>
        <w:t xml:space="preserve"> </w:t>
      </w:r>
      <w:r>
        <w:rPr>
          <w:rFonts w:ascii="Calibri" w:hAnsi="Calibri"/>
          <w:color w:val="000000"/>
        </w:rPr>
        <w:t>grafiske eller fotografiske fremstilling af produktet, dets emballage og logoet.</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Bestemmelserne i stk. 1 gælder ikke for: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publikationer og onlinekommunikationstjenester offentliggjort af faglige organisationer for producenter, fabrikanter og distributører af tobaksvarer, elektroniske cigaretter og genopfyldning</w:t>
      </w:r>
      <w:r>
        <w:t>s</w:t>
      </w:r>
      <w:r>
        <w:rPr>
          <w:rFonts w:ascii="Calibri" w:hAnsi="Calibri"/>
          <w:color w:val="000000"/>
        </w:rPr>
        <w:t>beholdere til deres medlemmer eller for specialiserede faglige publikationer eller onlinekommunikationstjenester, der offentliggøres professionelt, og som kun er tilgængelige for</w:t>
      </w:r>
      <w:r>
        <w:rPr>
          <w:rFonts w:ascii="Times New Roman" w:hAnsi="Times New Roman"/>
        </w:rPr>
        <w:t xml:space="preserve"> </w:t>
      </w:r>
      <w:r>
        <w:rPr>
          <w:rFonts w:ascii="Calibri" w:hAnsi="Calibri"/>
          <w:color w:val="000000"/>
        </w:rPr>
        <w:t>producenter, fabrikanter og distributører af tobaksvarer og elektroniske cigaretter</w:t>
      </w:r>
      <w:r>
        <w:rPr>
          <w:rFonts w:ascii="Times New Roman" w:hAnsi="Times New Roman"/>
        </w:rPr>
        <w:t xml:space="preserve"> </w:t>
      </w:r>
      <w:r>
        <w:rPr>
          <w:rFonts w:ascii="Calibri" w:hAnsi="Calibri"/>
          <w:color w:val="000000"/>
        </w:rPr>
        <w:t xml:space="preserve">og genopfyldningsbeholdere.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trykte og redigerede publikationer og onlinekommunikationstjenester, der stilles til rådighed for</w:t>
      </w:r>
      <w:r>
        <w:rPr>
          <w:rFonts w:ascii="Times New Roman" w:hAnsi="Times New Roman"/>
        </w:rPr>
        <w:t xml:space="preserve"> </w:t>
      </w:r>
      <w:r>
        <w:rPr>
          <w:rFonts w:ascii="Calibri" w:hAnsi="Calibri"/>
          <w:color w:val="000000"/>
        </w:rPr>
        <w:t>offentligheden af personer, der er etableret i et land uden for Den Europæiske Union, når disse</w:t>
      </w:r>
      <w:r>
        <w:rPr>
          <w:rFonts w:ascii="Times New Roman" w:hAnsi="Times New Roman"/>
        </w:rPr>
        <w:t xml:space="preserve"> </w:t>
      </w:r>
      <w:r>
        <w:rPr>
          <w:rFonts w:ascii="Calibri" w:hAnsi="Calibri"/>
          <w:color w:val="000000"/>
        </w:rPr>
        <w:t>publikationer og onlinekommunikationstjenester ikke primært er rettet mod Fællesskabets</w:t>
      </w:r>
      <w:r>
        <w:rPr>
          <w:rFonts w:ascii="Times New Roman" w:hAnsi="Times New Roman"/>
        </w:rPr>
        <w:t xml:space="preserve"> </w:t>
      </w:r>
      <w:r>
        <w:rPr>
          <w:rFonts w:ascii="Calibri" w:hAnsi="Calibri"/>
          <w:color w:val="000000"/>
        </w:rPr>
        <w:t xml:space="preserve">marked.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(4) Bestemmelserne i stk. 1 finder ikke anvendelse på reklame på salgsssteder for tobak. I butikker, der også udbyder produkter, der ikke er omfattet af denne lov, til salg</w:t>
      </w:r>
      <w:r>
        <w:rPr>
          <w:rFonts w:ascii="Times New Roman" w:hAnsi="Times New Roman"/>
        </w:rPr>
        <w:t xml:space="preserve"> </w:t>
      </w:r>
      <w:r>
        <w:rPr>
          <w:rFonts w:ascii="Calibri" w:hAnsi="Calibri"/>
          <w:color w:val="000000"/>
        </w:rPr>
        <w:t>gælder undtagelsen kun for områder, der er forbeholdt salg af tobaksvarer</w:t>
      </w:r>
      <w:r>
        <w:rPr>
          <w:rFonts w:ascii="Calibri" w:hAnsi="Calibri"/>
          <w:b/>
          <w:bCs/>
          <w:color w:val="000000"/>
        </w:rPr>
        <w:t>, nikotinposer</w:t>
      </w:r>
      <w:r>
        <w:rPr>
          <w:rFonts w:ascii="Calibri" w:hAnsi="Calibri"/>
          <w:color w:val="000000"/>
        </w:rPr>
        <w:t xml:space="preserve"> samt e-cigaretter og genopfyldningsbeholdere, og i butikker uden underopdeling i salgsområder i nærheden af stande med tobaksprodukter, </w:t>
      </w:r>
      <w:r>
        <w:rPr>
          <w:rFonts w:ascii="Calibri" w:hAnsi="Calibri"/>
          <w:b/>
          <w:color w:val="000000"/>
        </w:rPr>
        <w:t>nikotinposer</w:t>
      </w:r>
      <w:r>
        <w:rPr>
          <w:rFonts w:ascii="Calibri" w:hAnsi="Calibri"/>
          <w:color w:val="000000"/>
        </w:rPr>
        <w:t xml:space="preserve">elektroniske cigaretter eller genopfyldningsbeholdere. </w:t>
      </w:r>
    </w:p>
    <w:p w14:paraId="34EE0270" w14:textId="77777777" w:rsidR="0043140F" w:rsidRPr="00925A86"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925A86" w:rsidRDefault="0043140F" w:rsidP="0043140F">
      <w:pPr>
        <w:spacing w:before="163" w:line="289" w:lineRule="exact"/>
        <w:ind w:left="920" w:right="858"/>
        <w:jc w:val="both"/>
        <w:rPr>
          <w:rFonts w:ascii="Calibri" w:hAnsi="Calibri" w:cs="Calibri"/>
          <w:color w:val="000000"/>
        </w:rPr>
      </w:pPr>
    </w:p>
    <w:p w14:paraId="6C182740" w14:textId="77777777" w:rsidR="00C53DC4" w:rsidRPr="00925A86" w:rsidRDefault="00C53DC4" w:rsidP="0043140F">
      <w:pPr>
        <w:spacing w:before="163" w:line="289" w:lineRule="exact"/>
        <w:ind w:left="920" w:right="858"/>
        <w:jc w:val="both"/>
        <w:rPr>
          <w:rFonts w:ascii="Calibri" w:hAnsi="Calibri" w:cs="Calibri"/>
          <w:color w:val="000000"/>
        </w:rPr>
      </w:pPr>
    </w:p>
    <w:p w14:paraId="163753A7" w14:textId="77777777" w:rsidR="00C53DC4" w:rsidRPr="00925A86"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Den reklame, der er tilladt i henhold til det foregående afsnit, må kun ske ved hjælp af plakater og</w:t>
      </w:r>
      <w:r>
        <w:rPr>
          <w:rFonts w:ascii="Times New Roman" w:hAnsi="Times New Roman"/>
        </w:rPr>
        <w:t xml:space="preserve"> </w:t>
      </w:r>
      <w:r>
        <w:rPr>
          <w:rFonts w:ascii="Calibri" w:hAnsi="Calibri"/>
          <w:color w:val="000000"/>
        </w:rPr>
        <w:t>reklametavler. Det må ikke være specifikt rettet mod et publikum af mindreårige eller gøre brug af</w:t>
      </w:r>
      <w:r>
        <w:rPr>
          <w:rFonts w:ascii="Times New Roman" w:hAnsi="Times New Roman"/>
        </w:rPr>
        <w:t xml:space="preserve"> </w:t>
      </w:r>
      <w:r>
        <w:rPr>
          <w:rFonts w:ascii="Calibri" w:hAnsi="Calibri"/>
          <w:color w:val="000000"/>
        </w:rPr>
        <w:t>sundhedsorienterede argumenter eller tekst, et navn eller et figurativt tegn, der foreslår</w:t>
      </w:r>
      <w:r>
        <w:t>,</w:t>
      </w:r>
      <w:r>
        <w:rPr>
          <w:rFonts w:ascii="Times New Roman" w:hAnsi="Times New Roman"/>
        </w:rPr>
        <w:t xml:space="preserve"> </w:t>
      </w:r>
      <w:r>
        <w:rPr>
          <w:rFonts w:ascii="Calibri" w:hAnsi="Calibri"/>
          <w:color w:val="000000"/>
        </w:rPr>
        <w:t>at et bestemt produkt er mindre skadeligt end et andet produkt, eller indeholder et billede af en</w:t>
      </w:r>
      <w:r>
        <w:rPr>
          <w:rFonts w:ascii="Times New Roman" w:hAnsi="Times New Roman"/>
        </w:rPr>
        <w:t xml:space="preserve"> </w:t>
      </w:r>
      <w:r>
        <w:rPr>
          <w:rFonts w:ascii="Calibri" w:hAnsi="Calibri"/>
          <w:color w:val="000000"/>
        </w:rPr>
        <w:t xml:space="preserve">person, der er kendt af den brede offentlighed.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(5) Sponsorering af tobak, tobaksvarer eller elektroniske cigaretter</w:t>
      </w:r>
      <w:r>
        <w:rPr>
          <w:rFonts w:ascii="Times New Roman" w:hAnsi="Times New Roman"/>
        </w:rPr>
        <w:t xml:space="preserve"> </w:t>
      </w:r>
      <w:r>
        <w:rPr>
          <w:rFonts w:ascii="Calibri" w:hAnsi="Calibri"/>
          <w:color w:val="000000"/>
        </w:rPr>
        <w:t>eller genopfyldningsbeholdere</w:t>
      </w:r>
      <w:r>
        <w:rPr>
          <w:rFonts w:ascii="Calibri" w:hAnsi="Calibri"/>
          <w:b/>
          <w:bCs/>
          <w:color w:val="000000"/>
        </w:rPr>
        <w:t xml:space="preserve"> eller nikotinposer</w:t>
      </w:r>
      <w:r>
        <w:rPr>
          <w:b/>
        </w:rPr>
        <w:t xml:space="preserve"> </w:t>
      </w:r>
      <w:r>
        <w:t>er forbudt.</w:t>
      </w:r>
      <w:r>
        <w:rPr>
          <w:rFonts w:ascii="Calibri" w:hAnsi="Calibri"/>
          <w:color w:val="000000"/>
        </w:rPr>
        <w:t xml:space="preserve">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Artikel 3</w:t>
      </w:r>
      <w:r>
        <w:rPr>
          <w:rFonts w:ascii="Calibri" w:hAnsi="Calibri"/>
          <w:b/>
          <w:i/>
          <w:color w:val="000000"/>
        </w:rPr>
        <w:t>a</w:t>
      </w:r>
      <w:r>
        <w:rPr>
          <w:rFonts w:ascii="Calibri" w:hAnsi="Calibri"/>
          <w:b/>
          <w:color w:val="000000"/>
        </w:rPr>
        <w:t>.</w:t>
      </w:r>
      <w:r>
        <w:rPr>
          <w:rFonts w:ascii="Calibri" w:hAnsi="Calibri"/>
          <w:color w:val="000000"/>
        </w:rPr>
        <w:t xml:space="preserve"> (1)Producenter og importører af tobaksvarer skal til sundhedsdirektoratet, i det følgende benævnt "direktoratet", en liste over alle ingredienser og</w:t>
      </w:r>
      <w:r>
        <w:rPr>
          <w:rFonts w:ascii="Times New Roman" w:hAnsi="Times New Roman"/>
        </w:rPr>
        <w:t xml:space="preserve"> </w:t>
      </w:r>
      <w:r>
        <w:rPr>
          <w:rFonts w:ascii="Calibri" w:hAnsi="Calibri"/>
          <w:color w:val="000000"/>
        </w:rPr>
        <w:t>mængder heraf, opdelt efter mærke og type, der er anvendt til fremstilling af tobaksvarer, i faldende orden efter vægten af</w:t>
      </w:r>
      <w:r>
        <w:rPr>
          <w:rFonts w:ascii="Times New Roman" w:hAnsi="Times New Roman"/>
        </w:rPr>
        <w:t xml:space="preserve"> </w:t>
      </w:r>
      <w:r>
        <w:rPr>
          <w:rFonts w:ascii="Calibri" w:hAnsi="Calibri"/>
          <w:color w:val="000000"/>
        </w:rPr>
        <w:t xml:space="preserve">hver ingrediens i tobaksvaren samt emissionsindholdet af tjære, nikotin og kulilte.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Producenter og importører af nikotinposer, elektroniske cigaretter eller nye</w:t>
      </w:r>
      <w:r>
        <w:rPr>
          <w:rFonts w:ascii="Times New Roman" w:hAnsi="Times New Roman"/>
        </w:rPr>
        <w:t xml:space="preserve"> </w:t>
      </w:r>
      <w:r>
        <w:rPr>
          <w:rFonts w:ascii="Calibri" w:hAnsi="Calibri"/>
          <w:b/>
          <w:color w:val="000000"/>
        </w:rPr>
        <w:t>nikotinprodukter skal sende en liste over alle</w:t>
      </w:r>
      <w:r>
        <w:rPr>
          <w:rFonts w:ascii="Times New Roman" w:hAnsi="Times New Roman"/>
        </w:rPr>
        <w:t xml:space="preserve"> </w:t>
      </w:r>
      <w:r>
        <w:rPr>
          <w:rFonts w:ascii="Calibri" w:hAnsi="Calibri"/>
          <w:b/>
          <w:color w:val="000000"/>
        </w:rPr>
        <w:t xml:space="preserve">de ingredienser og de mængder heraf, opdelt efter mærke og type, der er anvendt til fremstilling af produkterne.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Fabrikanter eller importører skal også underrette myndighederne, hvis sammensætningen af et produkt ændres på en sådan måde, at den påvirker de oplysninger, der er meddelt i henhold til denne artikel.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For en ny eller ændret tobaksvare </w:t>
      </w:r>
      <w:r>
        <w:rPr>
          <w:rFonts w:ascii="Calibri" w:hAnsi="Calibri"/>
          <w:b/>
          <w:bCs/>
          <w:color w:val="000000"/>
        </w:rPr>
        <w:t>og for et ny nikotinprodukt</w:t>
      </w:r>
      <w:r>
        <w:rPr>
          <w:rFonts w:ascii="Times New Roman" w:hAnsi="Times New Roman"/>
        </w:rPr>
        <w:t xml:space="preserve"> </w:t>
      </w:r>
      <w:r>
        <w:rPr>
          <w:rFonts w:ascii="Calibri" w:hAnsi="Calibri"/>
          <w:color w:val="000000"/>
        </w:rPr>
        <w:t>skal de oplysninger, der kræves i henhold til denne artikel, gives forud for markedsføringen af det pågældende</w:t>
      </w:r>
      <w:r>
        <w:rPr>
          <w:rFonts w:ascii="Times New Roman" w:hAnsi="Times New Roman"/>
        </w:rPr>
        <w:t xml:space="preserve"> </w:t>
      </w:r>
      <w:r>
        <w:rPr>
          <w:rFonts w:ascii="Calibri" w:hAnsi="Calibri"/>
          <w:color w:val="000000"/>
        </w:rPr>
        <w:t xml:space="preserve">produkt.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Den i stk. 1 omhandlede liste ledsages af en erklæring, der indeholder oplysninger om ingrediensernes status i henhold til forordning (EF) nr. 1907/2006 af 18. december 2006 og forordning (EF) nr. 1272/2008 af 16. december 2008, toksikologiske data, virkninger på forbrugernes sundhed, ingrediensernes afhængighedsskabende egenskaber, begrundelsen for anvendelsen af ingredienserne og en generel beskrivelse af de anvendte tilsætningsstoffer og deres egenskaber.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(3) Fabrikanter og importører af tobaksvarer</w:t>
      </w:r>
      <w:r>
        <w:rPr>
          <w:rFonts w:ascii="Calibri" w:hAnsi="Calibri"/>
          <w:b/>
          <w:bCs/>
          <w:color w:val="000000"/>
        </w:rPr>
        <w:t xml:space="preserve"> og producenter og importører af nikotinposer</w:t>
      </w:r>
      <w:r>
        <w:t xml:space="preserve"> giver direktoratet meddelelse om de interne og eksterne markedsundersøgelser </w:t>
      </w:r>
      <w:r>
        <w:rPr>
          <w:rFonts w:ascii="Calibri" w:hAnsi="Calibri"/>
          <w:color w:val="000000"/>
        </w:rPr>
        <w:t>og forbrugergruppers præferencer, herunder unge og nuværende rygere,</w:t>
      </w:r>
      <w:r>
        <w:rPr>
          <w:rFonts w:ascii="Times New Roman" w:hAnsi="Times New Roman"/>
        </w:rPr>
        <w:t xml:space="preserve"> </w:t>
      </w:r>
      <w:r>
        <w:rPr>
          <w:rFonts w:ascii="Calibri" w:hAnsi="Calibri"/>
          <w:color w:val="000000"/>
        </w:rPr>
        <w:t>med hensyn til ingredienser og emissioner samt resuméer af undersøgelser med henblik på lanceringen af nye produkter.</w:t>
      </w:r>
      <w:r>
        <w:rPr>
          <w:rFonts w:ascii="Times New Roman" w:hAnsi="Times New Roman"/>
        </w:rPr>
        <w:t xml:space="preserve"> </w:t>
      </w:r>
      <w:r>
        <w:rPr>
          <w:rFonts w:ascii="Calibri" w:hAnsi="Calibri"/>
          <w:color w:val="000000"/>
        </w:rPr>
        <w:t>De rapporterer årligt inden udgangen af første kvartal til direktoratet om omfanget af deres salg i det seneste år, opdelt efter mærke og type, udtrykt i antal cigaretter/cigarer/cigarillo</w:t>
      </w:r>
      <w:r>
        <w:rPr>
          <w:rFonts w:ascii="Calibri" w:hAnsi="Calibri"/>
          <w:b/>
          <w:color w:val="000000"/>
        </w:rPr>
        <w:t>,</w:t>
      </w:r>
      <w:r>
        <w:rPr>
          <w:rFonts w:ascii="Calibri" w:hAnsi="Calibri"/>
          <w:color w:val="000000"/>
        </w:rPr>
        <w:t xml:space="preserve"> </w:t>
      </w:r>
      <w:r>
        <w:rPr>
          <w:rFonts w:ascii="Calibri" w:hAnsi="Calibri"/>
          <w:b/>
          <w:color w:val="000000"/>
        </w:rPr>
        <w:t>antal</w:t>
      </w:r>
      <w:r>
        <w:rPr>
          <w:rFonts w:ascii="Calibri" w:hAnsi="Calibri"/>
          <w:color w:val="000000"/>
        </w:rPr>
        <w:t xml:space="preserve"> </w:t>
      </w:r>
      <w:r>
        <w:rPr>
          <w:rFonts w:ascii="Calibri" w:hAnsi="Calibri"/>
          <w:b/>
          <w:color w:val="000000"/>
        </w:rPr>
        <w:t>nikotinposer</w:t>
      </w:r>
      <w:r>
        <w:rPr>
          <w:rFonts w:ascii="Calibri" w:hAnsi="Calibri"/>
          <w:color w:val="000000"/>
        </w:rPr>
        <w:t xml:space="preserve"> eller i kg</w:t>
      </w:r>
      <w:r>
        <w:t>.</w:t>
      </w:r>
      <w:r>
        <w:rPr>
          <w:rFonts w:ascii="Calibri" w:hAnsi="Calibri"/>
          <w:color w:val="000000"/>
        </w:rPr>
        <w:t xml:space="preserve">  </w:t>
      </w:r>
    </w:p>
    <w:p w14:paraId="2394CB52" w14:textId="77777777" w:rsidR="00041F59" w:rsidRPr="00925A86" w:rsidRDefault="00041F59">
      <w:pPr>
        <w:rPr>
          <w:rFonts w:ascii="Times New Roman" w:hAnsi="Times New Roman"/>
          <w:color w:val="000000" w:themeColor="text1"/>
          <w:sz w:val="24"/>
          <w:szCs w:val="24"/>
        </w:rPr>
      </w:pPr>
    </w:p>
    <w:p w14:paraId="1E48D5AB" w14:textId="77777777" w:rsidR="00041F59" w:rsidRPr="00925A86"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925A86" w:rsidRDefault="00041F59">
      <w:pPr>
        <w:rPr>
          <w:rFonts w:ascii="Times New Roman" w:hAnsi="Times New Roman"/>
          <w:color w:val="000000" w:themeColor="text1"/>
          <w:sz w:val="24"/>
          <w:szCs w:val="24"/>
        </w:rPr>
      </w:pPr>
    </w:p>
    <w:p w14:paraId="7AC83DAA" w14:textId="77777777" w:rsidR="00041F59" w:rsidRPr="00925A86" w:rsidRDefault="00041F59">
      <w:pPr>
        <w:rPr>
          <w:rFonts w:ascii="Times New Roman" w:hAnsi="Times New Roman"/>
          <w:color w:val="000000" w:themeColor="text1"/>
          <w:sz w:val="24"/>
          <w:szCs w:val="24"/>
        </w:rPr>
      </w:pPr>
    </w:p>
    <w:p w14:paraId="6EF2904D" w14:textId="77777777" w:rsidR="00041F59" w:rsidRPr="00925A86" w:rsidRDefault="00041F59">
      <w:pPr>
        <w:rPr>
          <w:rFonts w:ascii="Times New Roman" w:hAnsi="Times New Roman"/>
          <w:color w:val="000000" w:themeColor="text1"/>
          <w:sz w:val="24"/>
          <w:szCs w:val="24"/>
        </w:rPr>
      </w:pPr>
    </w:p>
    <w:p w14:paraId="4264EFDF" w14:textId="77777777" w:rsidR="0043140F" w:rsidRPr="00925A86" w:rsidRDefault="0043140F">
      <w:pPr>
        <w:rPr>
          <w:rFonts w:ascii="Times New Roman" w:hAnsi="Times New Roman"/>
          <w:color w:val="000000" w:themeColor="text1"/>
          <w:sz w:val="24"/>
          <w:szCs w:val="24"/>
        </w:rPr>
      </w:pPr>
    </w:p>
    <w:p w14:paraId="6A96C964" w14:textId="5EC19714" w:rsidR="00041F59" w:rsidRPr="00925A86" w:rsidRDefault="00041F59">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Senest 18 måneder efter optagelsen af et tilsætningsstof på den prioritetsliste, der er udarbejdet i overensstemmelse med den gennemførelsesafgørelse, der er omhandlet i artikel 6 i direktiv 2014/40/EU af 3. april 2014, forelægger fabrikanter og importører myndighederne de dybtgående undersøgelser, de har foretaget vedrørende dette tilsætningsstof.</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Formålet med de undersøgelser, der er omhandlet i stk. 1, er for hvert tilsætningsstof at undersøge, om det: </w:t>
      </w:r>
      <w:r>
        <w:br w:type="textWrapping" w:clear="all"/>
      </w:r>
      <w:r>
        <w:rPr>
          <w:rFonts w:ascii="Calibri" w:hAnsi="Calibri"/>
          <w:b/>
          <w:color w:val="000000"/>
        </w:rPr>
        <w:t xml:space="preserve">a) bidrager til de pågældende produkters toksicitet eller afhængighedsskabende egenskaber, og om dette bevirker, at nogle af de berørte produkters toksicitet eller afhængighedsskabende egenskaber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øges væsentligt eller måleligt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har en kendetegnende aroma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letter inhalation eller optagelse af nikotin eller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 xml:space="preserve">d) medfører dannelsen af stoffer, der har CMR-egenskaber, mængden heraf, og om dette bevirker, at nogle af de berørte produkters CMR-egenskaber øges væsentligt eller måleligt.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(4</w:t>
      </w:r>
      <w:r>
        <w:rPr>
          <w:rFonts w:ascii="Calibri" w:hAnsi="Calibri"/>
          <w:b/>
          <w:i/>
          <w:color w:val="000000"/>
        </w:rPr>
        <w:t>a</w:t>
      </w:r>
      <w:r>
        <w:rPr>
          <w:rFonts w:ascii="Calibri" w:hAnsi="Calibri"/>
          <w:b/>
          <w:color w:val="000000"/>
        </w:rPr>
        <w:t>) Disse undersøgelser skal tage hensyn til den påtænkte anvendelse af de pågældende produkter og navnlig undersøge:</w:t>
      </w:r>
      <w:r>
        <w:rPr>
          <w:rFonts w:ascii="Times New Roman" w:hAnsi="Times New Roman"/>
        </w:rPr>
        <w:t xml:space="preserve"> </w:t>
      </w:r>
      <w:r>
        <w:rPr>
          <w:rFonts w:ascii="Calibri" w:hAnsi="Calibri"/>
          <w:b/>
          <w:color w:val="000000"/>
        </w:rPr>
        <w:t>emissioner fra den forbrændingsproces, der omfatter det pågældende tilsætningsstof. Undersøgelserne ser ligeledes på samspillet mellem dette tilsætningsstof og andre ingredienser i de pågældende varer.</w:t>
      </w:r>
      <w:r>
        <w:rPr>
          <w:rFonts w:ascii="Times New Roman" w:hAnsi="Times New Roman"/>
        </w:rPr>
        <w:t xml:space="preserve"> </w:t>
      </w:r>
      <w:r>
        <w:rPr>
          <w:rFonts w:ascii="Calibri" w:hAnsi="Calibri"/>
          <w:b/>
          <w:color w:val="000000"/>
        </w:rPr>
        <w:t xml:space="preserve">Fabrikanter eller importører, der anvender det samme tilsætningsstof i deres tobaksvarer, kan foretage en fælles undersøgelse, når de anvender tilsætningsstoffet i en sammenlignelig produktsammensætning.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(4</w:t>
      </w:r>
      <w:r>
        <w:rPr>
          <w:rFonts w:ascii="Calibri" w:hAnsi="Calibri"/>
          <w:b/>
          <w:i/>
          <w:iCs/>
          <w:color w:val="000000"/>
        </w:rPr>
        <w:t>b</w:t>
      </w:r>
      <w:r>
        <w:rPr>
          <w:rFonts w:ascii="Calibri" w:hAnsi="Calibri"/>
          <w:b/>
          <w:color w:val="000000"/>
        </w:rPr>
        <w:t>) Fabrikanter eller importører udarbejder en rapport om resultaterne af disse undersøgelser. Dette</w:t>
      </w:r>
      <w:r>
        <w:rPr>
          <w:rFonts w:ascii="Times New Roman" w:hAnsi="Times New Roman"/>
        </w:rPr>
        <w:t xml:space="preserve"> </w:t>
      </w:r>
      <w:r>
        <w:rPr>
          <w:rFonts w:ascii="Calibri" w:hAnsi="Calibri"/>
          <w:b/>
          <w:color w:val="000000"/>
        </w:rPr>
        <w:t>rapport skal indeholde et resumé og en detaljeret præsentation af videnskabelige publikationer, der</w:t>
      </w:r>
      <w:r>
        <w:rPr>
          <w:rFonts w:ascii="Times New Roman" w:hAnsi="Times New Roman"/>
        </w:rPr>
        <w:t xml:space="preserve"> </w:t>
      </w:r>
      <w:r>
        <w:rPr>
          <w:rFonts w:ascii="Calibri" w:hAnsi="Calibri"/>
          <w:b/>
          <w:color w:val="000000"/>
        </w:rPr>
        <w:t>foreligger for dette tilsætningsstof og sammenfatte de interne data vedrørende det. Direktoratet</w:t>
      </w:r>
      <w:r>
        <w:rPr>
          <w:rFonts w:ascii="Times New Roman" w:hAnsi="Times New Roman"/>
        </w:rPr>
        <w:t xml:space="preserve"> </w:t>
      </w:r>
      <w:r>
        <w:rPr>
          <w:rFonts w:ascii="Calibri" w:hAnsi="Calibri"/>
          <w:b/>
          <w:color w:val="000000"/>
        </w:rPr>
        <w:t>kan anmode fabrikanter og importører om yderligere oplysninger vedrørende</w:t>
      </w:r>
      <w:r>
        <w:rPr>
          <w:rFonts w:ascii="Times New Roman" w:hAnsi="Times New Roman"/>
        </w:rPr>
        <w:t xml:space="preserve"> </w:t>
      </w:r>
      <w:r>
        <w:rPr>
          <w:rFonts w:ascii="Calibri" w:hAnsi="Calibri"/>
          <w:b/>
          <w:color w:val="000000"/>
        </w:rPr>
        <w:t xml:space="preserve">det pågældende tilsætningsstof. Disse yderligere oplysninger er en integreret del af rapporten.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(4</w:t>
      </w:r>
      <w:r>
        <w:rPr>
          <w:rFonts w:ascii="Calibri" w:hAnsi="Calibri"/>
          <w:b/>
          <w:i/>
          <w:color w:val="000000"/>
        </w:rPr>
        <w:t>c</w:t>
      </w:r>
      <w:r>
        <w:rPr>
          <w:rFonts w:ascii="Calibri" w:hAnsi="Calibri"/>
          <w:b/>
          <w:color w:val="000000"/>
        </w:rPr>
        <w:t>) Små og mellemstore virksomheder som omhandlet i den ændrede lov af 9. august 2018</w:t>
      </w:r>
      <w:r>
        <w:rPr>
          <w:rFonts w:ascii="Times New Roman" w:hAnsi="Times New Roman"/>
        </w:rPr>
        <w:t xml:space="preserve"> </w:t>
      </w:r>
      <w:r>
        <w:rPr>
          <w:rFonts w:ascii="Calibri" w:hAnsi="Calibri"/>
          <w:b/>
          <w:color w:val="000000"/>
        </w:rPr>
        <w:t>for så vidt angår en støtteordning for små og mellemstore virksomheder er fritaget for</w:t>
      </w:r>
      <w:r>
        <w:rPr>
          <w:rFonts w:ascii="Times New Roman" w:hAnsi="Times New Roman"/>
        </w:rPr>
        <w:t xml:space="preserve"> </w:t>
      </w:r>
      <w:r>
        <w:rPr>
          <w:rFonts w:ascii="Calibri" w:hAnsi="Calibri"/>
          <w:b/>
          <w:color w:val="000000"/>
        </w:rPr>
        <w:t>forpligtelser i henhold til stk. 4-4</w:t>
      </w:r>
      <w:r>
        <w:rPr>
          <w:rFonts w:ascii="Calibri" w:hAnsi="Calibri"/>
          <w:b/>
          <w:i/>
          <w:iCs/>
          <w:color w:val="000000"/>
        </w:rPr>
        <w:t>b</w:t>
      </w:r>
      <w:r>
        <w:rPr>
          <w:rFonts w:ascii="Calibri" w:hAnsi="Calibri"/>
          <w:b/>
          <w:color w:val="000000"/>
        </w:rPr>
        <w:t xml:space="preserve"> i denne artikel, hvis en rapport om det pågældende tilsætningsstof udarbejdes af en anden producent eller importør.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Fabrikanter og importører skal angive, hvilke af de i henhold til stk. 1 afgivne oplysninger, som de anser for at være omfattet af kommerciel fortrolighed.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For andre stoffer end tjære, nikotin og kulilte fra cigaretter og for stoffer, der udledes af andre tobaksvarer end cigaretter, skal fabrikanterne og importørerne angive de metoder, der anvendes til at måle emissionerne.  </w:t>
      </w:r>
    </w:p>
    <w:p w14:paraId="0BB30EED" w14:textId="1689A91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Artikel 3</w:t>
      </w:r>
      <w:r>
        <w:rPr>
          <w:rFonts w:ascii="Calibri" w:hAnsi="Calibri"/>
          <w:b/>
          <w:i/>
          <w:iCs/>
          <w:color w:val="000000"/>
        </w:rPr>
        <w:t>b</w:t>
      </w:r>
      <w:r>
        <w:rPr>
          <w:rFonts w:ascii="Calibri" w:hAnsi="Calibri"/>
          <w:color w:val="000000"/>
        </w:rPr>
        <w:t>. (1) Mærkningen af enkeltpakninger, eventuel ydre emballage og tobaksvaren</w:t>
      </w:r>
      <w:r>
        <w:rPr>
          <w:rFonts w:ascii="Times New Roman" w:hAnsi="Times New Roman"/>
        </w:rPr>
        <w:t xml:space="preserve"> </w:t>
      </w:r>
      <w:r>
        <w:rPr>
          <w:rFonts w:ascii="Calibri" w:hAnsi="Calibri"/>
          <w:b/>
          <w:color w:val="000000"/>
        </w:rPr>
        <w:t xml:space="preserve">eller nikotinposen </w:t>
      </w:r>
      <w:r>
        <w:rPr>
          <w:rFonts w:ascii="Calibri" w:hAnsi="Calibri"/>
          <w:color w:val="000000"/>
        </w:rPr>
        <w:t xml:space="preserve">må ikke indeholde elementer eller anordninger, som: </w:t>
      </w:r>
    </w:p>
    <w:p w14:paraId="6F50579C" w14:textId="77777777" w:rsidR="00041F59" w:rsidRPr="00925A86" w:rsidRDefault="00041F59">
      <w:pPr>
        <w:rPr>
          <w:rFonts w:ascii="Times New Roman" w:hAnsi="Times New Roman"/>
          <w:color w:val="000000" w:themeColor="text1"/>
          <w:sz w:val="24"/>
          <w:szCs w:val="24"/>
        </w:rPr>
      </w:pPr>
    </w:p>
    <w:p w14:paraId="783E00BE" w14:textId="77777777" w:rsidR="00041F59" w:rsidRPr="00925A86" w:rsidRDefault="00041F59">
      <w:pPr>
        <w:rPr>
          <w:rFonts w:ascii="Times New Roman" w:hAnsi="Times New Roman"/>
          <w:color w:val="000000" w:themeColor="text1"/>
          <w:sz w:val="24"/>
          <w:szCs w:val="24"/>
        </w:rPr>
      </w:pPr>
    </w:p>
    <w:p w14:paraId="7DAF69A3" w14:textId="77777777" w:rsidR="00041F59" w:rsidRPr="00925A86" w:rsidRDefault="00041F59">
      <w:pPr>
        <w:spacing w:after="3"/>
        <w:rPr>
          <w:rFonts w:ascii="Times New Roman" w:hAnsi="Times New Roman"/>
          <w:color w:val="000000" w:themeColor="text1"/>
          <w:sz w:val="24"/>
          <w:szCs w:val="24"/>
        </w:rPr>
      </w:pPr>
    </w:p>
    <w:p w14:paraId="0C2D641B" w14:textId="77777777" w:rsidR="00041F59" w:rsidRPr="00925A86" w:rsidRDefault="00041F59">
      <w:pPr>
        <w:rPr>
          <w:rFonts w:ascii="Times New Roman" w:hAnsi="Times New Roman"/>
          <w:color w:val="000000" w:themeColor="text1"/>
          <w:sz w:val="24"/>
          <w:szCs w:val="24"/>
        </w:rPr>
      </w:pPr>
    </w:p>
    <w:p w14:paraId="76E1CFDF" w14:textId="5E63857E"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 xml:space="preserve">a) bidrager til salgsfremstød for et tobaks- </w:t>
      </w:r>
      <w:r>
        <w:rPr>
          <w:rFonts w:ascii="Calibri" w:hAnsi="Calibri"/>
          <w:b/>
          <w:bCs/>
          <w:color w:val="000000"/>
        </w:rPr>
        <w:t>eller nikotinprodukt</w:t>
      </w:r>
      <w:r>
        <w:rPr>
          <w:rFonts w:ascii="Calibri" w:hAnsi="Calibri"/>
          <w:color w:val="000000"/>
        </w:rPr>
        <w:t xml:space="preserve"> eller tilskynder til forbrug af produktet ved at give et fejlagtigt indtryk af egenskaber, virkninger på sundhed, risici eller emissioner ved</w:t>
      </w:r>
      <w:r>
        <w:rPr>
          <w:rFonts w:ascii="Times New Roman" w:hAnsi="Times New Roman"/>
        </w:rPr>
        <w:t xml:space="preserve"> </w:t>
      </w:r>
      <w:r>
        <w:rPr>
          <w:rFonts w:ascii="Calibri" w:hAnsi="Calibri"/>
          <w:color w:val="000000"/>
        </w:rPr>
        <w:t xml:space="preserve">det pågældende produkt mærkningen må ikke omfatte oplysninger om tobaksvarens indhold af nikotin, tjære eller kulilte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antyder, at en tobaksvare, </w:t>
      </w:r>
      <w:r>
        <w:rPr>
          <w:rFonts w:ascii="Calibri" w:hAnsi="Calibri"/>
          <w:b/>
          <w:bCs/>
          <w:color w:val="000000"/>
        </w:rPr>
        <w:t>nikotinpose eller et nyt nikotinprodukt</w:t>
      </w:r>
      <w:r>
        <w:rPr>
          <w:rFonts w:ascii="Times New Roman" w:hAnsi="Times New Roman"/>
        </w:rPr>
        <w:t xml:space="preserve"> </w:t>
      </w:r>
      <w:r>
        <w:rPr>
          <w:rFonts w:ascii="Calibri" w:hAnsi="Calibri"/>
          <w:color w:val="000000"/>
        </w:rPr>
        <w:t>er mindre skadelig end andre eller har til formål at mindske virkningen af visse skadelige røgkomponenter eller</w:t>
      </w:r>
      <w:r>
        <w:rPr>
          <w:rFonts w:ascii="Times New Roman" w:hAnsi="Times New Roman"/>
        </w:rPr>
        <w:t xml:space="preserve"> </w:t>
      </w:r>
      <w:r>
        <w:rPr>
          <w:rFonts w:ascii="Calibri" w:hAnsi="Calibri"/>
          <w:color w:val="000000"/>
        </w:rPr>
        <w:t>har vitaliserende, energigivende, helbredende, foryngende, naturlige, organiske eller</w:t>
      </w:r>
      <w:r>
        <w:rPr>
          <w:rFonts w:ascii="Times New Roman" w:hAnsi="Times New Roman"/>
        </w:rPr>
        <w:t xml:space="preserve"> </w:t>
      </w:r>
      <w:r>
        <w:rPr>
          <w:rFonts w:ascii="Calibri" w:hAnsi="Calibri"/>
          <w:color w:val="000000"/>
        </w:rPr>
        <w:t xml:space="preserve">gavnlige virkninger på sundhed eller livsstil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henviser til smag, duft, aromastoffer eller andre tilsætningsstoffer eller oplyser, at produktet ikke indeholder sådanne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d) ligner en fødevare eller et kosmetisk produkt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e) antyder, at en given tobaksvare</w:t>
      </w:r>
      <w:r>
        <w:rPr>
          <w:rFonts w:ascii="Calibri" w:hAnsi="Calibri"/>
          <w:b/>
          <w:bCs/>
          <w:color w:val="000000"/>
        </w:rPr>
        <w:t>, nikotinpose eller et nyt nikotinprodukt</w:t>
      </w:r>
      <w:r>
        <w:rPr>
          <w:rFonts w:ascii="Calibri" w:hAnsi="Calibri"/>
          <w:color w:val="000000"/>
        </w:rPr>
        <w:t xml:space="preserve">er lettere bionedbrydeligt eller har andre miljømæssige fordele.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Enkeltpakningerne og eventuel ydre emballage må ikke give anledning til økonomiske fordele ved at inkludere trykte vouchere, tilbyde rabatter, gratis uddeling, to-for-en eller andre lignende tilbud.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Automatiske apparater til distribution af tobak og tobaksvarer, jf. artikel 9, stk. 3, skal også være forsynet med de sundhedsadvarsler, der er omhandlet i artikel 4, stk. 1. Grafiske gengivelser på salgsautomater for tobak og tobaksvarer, bortset fra sundhedsadvarsler, er forbudt.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Artikel 4</w:t>
      </w:r>
      <w:r>
        <w:rPr>
          <w:rFonts w:ascii="Calibri" w:hAnsi="Calibri"/>
          <w:color w:val="000000"/>
        </w:rPr>
        <w:t xml:space="preserve"> (1) Hver enkeltpakning og eventuel ydre emballage til cigaretter, rulletobak</w:t>
      </w:r>
      <w:r>
        <w:rPr>
          <w:rFonts w:ascii="Times New Roman" w:hAnsi="Times New Roman"/>
        </w:rPr>
        <w:t xml:space="preserve"> </w:t>
      </w:r>
      <w:r>
        <w:rPr>
          <w:rFonts w:ascii="Calibri" w:hAnsi="Calibri"/>
          <w:color w:val="000000"/>
        </w:rPr>
        <w:t xml:space="preserve">tobak, </w:t>
      </w:r>
      <w:r>
        <w:rPr>
          <w:rFonts w:ascii="Calibri" w:hAnsi="Calibri"/>
          <w:strike/>
          <w:color w:val="000000"/>
        </w:rPr>
        <w:t xml:space="preserve">og </w:t>
      </w:r>
      <w:r>
        <w:rPr>
          <w:rFonts w:ascii="Calibri" w:hAnsi="Calibri"/>
          <w:b/>
          <w:color w:val="000000"/>
        </w:rPr>
        <w:t xml:space="preserve"> </w:t>
      </w:r>
      <w:r>
        <w:rPr>
          <w:rFonts w:ascii="Calibri" w:hAnsi="Calibri"/>
          <w:color w:val="000000"/>
        </w:rPr>
        <w:t>vandpibetobak</w:t>
      </w:r>
      <w:r>
        <w:rPr>
          <w:rFonts w:ascii="Calibri" w:hAnsi="Calibri"/>
          <w:b/>
          <w:bCs/>
          <w:color w:val="000000"/>
        </w:rPr>
        <w:t xml:space="preserve">, </w:t>
      </w:r>
      <w:r>
        <w:rPr>
          <w:rFonts w:ascii="Calibri" w:hAnsi="Calibri"/>
          <w:b/>
          <w:color w:val="000000"/>
        </w:rPr>
        <w:t>nikotinposer og nye kategorier af tobaksvarer</w:t>
      </w:r>
      <w:r>
        <w:rPr>
          <w:rFonts w:ascii="Calibri" w:hAnsi="Calibri"/>
          <w:color w:val="000000"/>
        </w:rPr>
        <w:t xml:space="preserve">, skal have en generel advarsel, en informationsmeddelelse og kombinerede sundhedsadvarsler. Hver enkeltpakning og eventuel ydre emballage til røgtobak, bortset fra cigaretter, rulletobak, </w:t>
      </w:r>
      <w:r>
        <w:rPr>
          <w:rFonts w:ascii="Calibri" w:hAnsi="Calibri"/>
          <w:strike/>
          <w:color w:val="000000"/>
        </w:rPr>
        <w:t xml:space="preserve">og </w:t>
      </w:r>
      <w:r>
        <w:rPr>
          <w:rFonts w:ascii="Calibri" w:hAnsi="Calibri"/>
          <w:b/>
          <w:color w:val="000000"/>
        </w:rPr>
        <w:t xml:space="preserve"> </w:t>
      </w:r>
      <w:r>
        <w:rPr>
          <w:rFonts w:ascii="Calibri" w:hAnsi="Calibri"/>
          <w:color w:val="000000"/>
        </w:rPr>
        <w:t>vandpibetobak</w:t>
      </w:r>
      <w:r>
        <w:rPr>
          <w:rFonts w:ascii="Calibri" w:hAnsi="Calibri"/>
          <w:b/>
          <w:bCs/>
          <w:color w:val="000000"/>
        </w:rPr>
        <w:t xml:space="preserve">, </w:t>
      </w:r>
      <w:r>
        <w:rPr>
          <w:rFonts w:ascii="Calibri" w:hAnsi="Calibri"/>
          <w:b/>
          <w:color w:val="000000"/>
        </w:rPr>
        <w:t>nikotinposer og nye kategorier af tobaksvarer</w:t>
      </w:r>
      <w:r>
        <w:rPr>
          <w:rFonts w:ascii="Calibri" w:hAnsi="Calibri"/>
          <w:color w:val="000000"/>
        </w:rPr>
        <w:t xml:space="preserve"> </w:t>
      </w:r>
      <w:r>
        <w:rPr>
          <w:rFonts w:ascii="Calibri" w:hAnsi="Calibri"/>
          <w:b/>
          <w:color w:val="000000"/>
        </w:rPr>
        <w:t>produkter</w:t>
      </w:r>
      <w:r>
        <w:rPr>
          <w:rFonts w:ascii="Calibri" w:hAnsi="Calibri"/>
          <w:color w:val="000000"/>
        </w:rPr>
        <w:t xml:space="preserve"> skal have en generel advarsel og en specifik advarselsmeddelelse.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Indholdet af den generelle advarsel, informationsmeddelelserne, den specifikke advarsel og de kombinerede sundhedsadvarsler, de anvendte sprog, tryknings- og præsentationsmetoderne og overfladearealet for de forskellige emballageenheder og den ydre emballage, der er omhandlet i stk. 1, og som er omfattet af advarslerne og meddelelserne, er fastsat i en storhertugelig anordning.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Grænseværdierne for emissioner af tjære, nikotin og kulilte er fastsat i en storhertugelig anordning, som også fastsætter metoderne til måling af sådanne emissioner.  </w:t>
      </w:r>
    </w:p>
    <w:p w14:paraId="4964F079" w14:textId="4C191B47" w:rsidR="0043140F" w:rsidRPr="00171ECB" w:rsidRDefault="00171ECB" w:rsidP="0043140F">
      <w:pPr>
        <w:spacing w:line="292" w:lineRule="exact"/>
        <w:ind w:left="920" w:right="857"/>
        <w:rPr>
          <w:rFonts w:ascii="Times New Roman" w:hAnsi="Times New Roman" w:cs="Times New Roman"/>
          <w:color w:val="010302"/>
        </w:rPr>
      </w:pPr>
      <w:r>
        <w:rPr>
          <w:rFonts w:ascii="Calibri" w:hAnsi="Calibri"/>
          <w:color w:val="000000"/>
        </w:rPr>
        <w:t xml:space="preserve">De i stk. 1 nævnte emissionsmålinger kontrolleres af sundhedsstyrelsen eller af et laboratorium, der er godkendt af sundhedsministeren. Disse laboratorier, som ikke tilhører tobaksindustrien, og som hverken direkte eller indirekte kontrolleres af denne, kontrolleres af myndighederne. I en storhertugelig anordning fastsættes betingelserne for godkendelse og inspektion af disse laboratorier. </w:t>
      </w:r>
    </w:p>
    <w:p w14:paraId="4A114DB3" w14:textId="406A3696" w:rsidR="00041F59" w:rsidRPr="00925A86" w:rsidRDefault="00041F59">
      <w:pPr>
        <w:spacing w:before="163" w:line="288" w:lineRule="exact"/>
        <w:ind w:left="920" w:right="860"/>
        <w:jc w:val="both"/>
        <w:rPr>
          <w:rFonts w:ascii="Times New Roman" w:hAnsi="Times New Roman" w:cs="Times New Roman"/>
          <w:color w:val="010302"/>
          <w:lang w:val="de-DE"/>
        </w:rPr>
      </w:pPr>
    </w:p>
    <w:p w14:paraId="14DEB215" w14:textId="1052CDC0" w:rsidR="00C53DC4" w:rsidRDefault="00C53DC4">
      <w:pPr>
        <w:rPr>
          <w:rFonts w:ascii="Times New Roman" w:hAnsi="Times New Roman"/>
          <w:color w:val="000000" w:themeColor="text1"/>
          <w:sz w:val="24"/>
          <w:szCs w:val="24"/>
        </w:rPr>
      </w:pPr>
      <w:r>
        <w:br w:type="page"/>
      </w:r>
    </w:p>
    <w:p w14:paraId="53AC0149" w14:textId="77777777" w:rsidR="00041F59" w:rsidRPr="00925A86" w:rsidRDefault="00041F59">
      <w:pPr>
        <w:spacing w:after="137"/>
        <w:rPr>
          <w:rFonts w:ascii="Times New Roman" w:hAnsi="Times New Roman"/>
          <w:color w:val="000000" w:themeColor="text1"/>
          <w:sz w:val="24"/>
          <w:szCs w:val="24"/>
          <w:lang w:val="de-DE"/>
        </w:rPr>
      </w:pPr>
    </w:p>
    <w:p w14:paraId="679F1FFA" w14:textId="77777777" w:rsidR="00041F59" w:rsidRPr="00925A86" w:rsidRDefault="00041F59">
      <w:pPr>
        <w:spacing w:after="227"/>
        <w:rPr>
          <w:rFonts w:ascii="Times New Roman" w:hAnsi="Times New Roman"/>
          <w:color w:val="000000" w:themeColor="text1"/>
          <w:sz w:val="24"/>
          <w:szCs w:val="24"/>
          <w:lang w:val="de-DE"/>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Artikel 4</w:t>
      </w:r>
      <w:r>
        <w:rPr>
          <w:rFonts w:ascii="Calibri" w:hAnsi="Calibri"/>
          <w:b/>
          <w:i/>
          <w:color w:val="000000"/>
        </w:rPr>
        <w:t>g</w:t>
      </w:r>
      <w:r>
        <w:rPr>
          <w:rFonts w:ascii="Calibri" w:hAnsi="Calibri"/>
          <w:b/>
          <w:color w:val="000000"/>
        </w:rPr>
        <w:t>.</w:t>
      </w:r>
      <w:r>
        <w:rPr>
          <w:rFonts w:ascii="Calibri" w:hAnsi="Calibri"/>
          <w:color w:val="000000"/>
        </w:rPr>
        <w:t xml:space="preserve"> (1)Fabrikanter og importører af elektroniske cigaretter og genopfyldningsbeholdere skal indgive en anmeldelse til direktoratet om et sådant produkt, som de agter at markedsføre.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Den i stk. 1 omhandlede anmeldelse indgives i elektronisk form seks måneder før den planlagte markedsføringsdato. Der skal indgives en ny anmeldelse for enhver væsentlig ændring af produktet.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Den i stk. 1 omhandlede anmeldelse skal indeholde følgende oplysninger, afhængigt af om den vedrører en elektronisk cigaret eller en genopfyldningsbeholder: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navn og kontaktoplysninger for fabrikanten, en ansvarlig juridisk eller fysisk person i Unionen og i givet fald importøren, der har importeret produktet til Unionen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en liste over alle de ingredienser, der indgår i, og emissioner, der opstår ved anvendelse af, produktet, opdelt efter handelsnavn og type, herunder mængden heraf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 toksikologiske oplysninger om produktets ingredienser og emissioner, herunder ved opvarmning, med særlig henvisning til deres virkninger for forbrugernes sundhed ved inhalering, og under hensyntagen blandt andet til eventuelle afhængighedsskabende virkninger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oplysninger om doser og inhalering af nikotin ved forbrug under normale betingelser eller under betingelser, som med rimelighed kan forudses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 en beskrivelse af produktets bestanddele, herunder i givet fald elektroniske cigaretters eller genopfyldningsbeholderes åbnings- og genopfyldningsmekanisme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 en beskrivelse af produktionsprocessen, navnlig med angivelse af, om den omfatter masseproduktion, og en erklæring om, at produktionsprocessen sikrer overholdelse af kravene i denne artikel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 en erklæring om, at fabrikanten og importøren bærer det fulde ansvar for produktets kvalitet og sikkerhed ved markedsføring og anvendelse under normale betingelser eller under betingelser, som med rimelighed kan forudses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 bevis for betaling af den i stk. 4 omhandlede bøde.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Der opkræves et bøde på 5 000 EUR for hver anmeldelse, der er omhandlet i stk. 1.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Denne bøde betales via betaling eller overførsel til en bankkonto, der indehaves af registrerings- og domæneadministrationen, sammen med angivelse af ansøgerens identitet og formålet med betalingen eller overførslen.  </w:t>
      </w:r>
    </w:p>
    <w:p w14:paraId="4E091973" w14:textId="77777777" w:rsidR="00041F59" w:rsidRPr="00925A86"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925A86" w:rsidRDefault="00041F59">
      <w:pPr>
        <w:rPr>
          <w:rFonts w:ascii="Times New Roman" w:hAnsi="Times New Roman"/>
          <w:color w:val="000000" w:themeColor="text1"/>
          <w:sz w:val="24"/>
          <w:szCs w:val="24"/>
        </w:rPr>
      </w:pPr>
    </w:p>
    <w:p w14:paraId="657AED92" w14:textId="77777777" w:rsidR="00041F59" w:rsidRPr="00925A86" w:rsidRDefault="00041F59">
      <w:pPr>
        <w:rPr>
          <w:rFonts w:ascii="Times New Roman" w:hAnsi="Times New Roman"/>
          <w:color w:val="000000" w:themeColor="text1"/>
          <w:sz w:val="24"/>
          <w:szCs w:val="24"/>
        </w:rPr>
      </w:pPr>
    </w:p>
    <w:p w14:paraId="37F8DA9F" w14:textId="77777777" w:rsidR="00041F59" w:rsidRPr="00925A86" w:rsidRDefault="00041F59">
      <w:pPr>
        <w:rPr>
          <w:rFonts w:ascii="Times New Roman" w:hAnsi="Times New Roman"/>
          <w:color w:val="000000" w:themeColor="text1"/>
          <w:sz w:val="24"/>
          <w:szCs w:val="24"/>
        </w:rPr>
      </w:pPr>
    </w:p>
    <w:p w14:paraId="2AD8593F" w14:textId="77777777" w:rsidR="00041F59" w:rsidRPr="00925A86"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Hvis direktoratet finder, at de indsendte oplysninger er ufuldstændige, har de ret til at anmode om, at de suppleres.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Fabrikanter og importører af elektroniske cigaretter og genopfyldningsbeholdere skal hvert år forelægge direktoratet: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udførlige data om salgsvolumen opdelt efter mærke og produkttype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oplysninger om forskellige forbrugergruppers præferencer, herunder unge, ikke-rygere og de vigtigste typer af nuværende brugere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salgsmetoden for produkterne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resuméer af eventuelle markedsundersøgelser, der er foretaget i forbindelse med ovenstående, herunder en engelsk oversættelse heraf.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Direktoratet overvåger udviklingen på markedet for elektroniske cigaretter og genopfyldningsbeholdere, herunder eventuel dokumentation for, at brugen af dem kan bane vejen for nikotinafhængighed og i sidste ende et traditionelt tobaksforbrug blandt unge og ikke-rygere.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Fabrikanter og importører af elektroniske cigaretter og genopfyldningsbeholdere skal oprette og vedligeholde et system til indsamling af oplysninger om eventuelle formodede skadelige virkninger af disse produkter på menneskers sundhed.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Hvis en erhvervsdrivende finder eller har grund til at tro, at elektroniske cigaretter eller genopfyldningsbeholdere, som de er i besiddelse af, og som er bestemt til markedsføring eller er markedsført, ikke er sikre eller ikke er af god kvalitet eller på anden vis ikke er i overensstemmelse med dette direktiv, træffer den pågældende økonomiske operatør straks de nødvendige korrigerende foranstaltninger for at bringe det pågældende produkt i overensstemmelse med dette direktiv eller om nødvendigt trække det tilbage fra markedet eller kalde det tilbage.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I sådanne tilfælde er den erhvervsdrivende forpligtet til straks at underrette direktoratet med angivelse af navnlig risiciene for menneskers sundhed og sikkerhed, eventuelle korrigerende foranstaltninger, der er truffet, og resultaterne af disse korrigerende foranstaltninger.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Direktoratet kan anmode de erhvervsdrivende om yderligere oplysninger om alle aspekter vedrørende sikkerheden og kvaliteten eller eventuelle uønskede virkninger af elektroniske cigaretter eller genopfyldningsbeholdere.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Efter anmodning fra Kommissionen eller de kompetente myndigheder i de øvrige medlemsstater</w:t>
      </w:r>
      <w:r>
        <w:rPr>
          <w:rFonts w:ascii="Times New Roman" w:hAnsi="Times New Roman"/>
        </w:rPr>
        <w:t xml:space="preserve"> </w:t>
      </w:r>
      <w:r>
        <w:rPr>
          <w:rFonts w:ascii="Calibri" w:hAnsi="Calibri"/>
          <w:b/>
          <w:color w:val="000000"/>
        </w:rPr>
        <w:t>stiller direktoratet alle oplysninger, der modtages i henhold til denne artikel, til rådighed for Kommissionen</w:t>
      </w:r>
      <w:r>
        <w:rPr>
          <w:rFonts w:ascii="Times New Roman" w:hAnsi="Times New Roman"/>
        </w:rPr>
        <w:t xml:space="preserve"> </w:t>
      </w:r>
      <w:r>
        <w:rPr>
          <w:rFonts w:ascii="Calibri" w:hAnsi="Calibri"/>
          <w:b/>
          <w:color w:val="000000"/>
        </w:rPr>
        <w:t xml:space="preserve">og for de øvrige medlemsstater i Den Europæiske Union.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Hvis direktoratet finder eller har rimelig grund til at tro, at en elektronisk cigaret eller genopfyldningsbeholder, selv om den er i overensstemmelse med denne artikel, vil kunne udgøre en alvorlig risiko for menneskers sundhed, kan direktoratet træffe passende midlertidige foranstaltninger. Det underretter straks</w:t>
      </w:r>
      <w:r>
        <w:rPr>
          <w:rFonts w:ascii="Times New Roman" w:hAnsi="Times New Roman"/>
        </w:rPr>
        <w:t xml:space="preserve"> </w:t>
      </w:r>
      <w:r>
        <w:rPr>
          <w:rFonts w:ascii="Calibri" w:hAnsi="Calibri"/>
          <w:b/>
          <w:color w:val="000000"/>
        </w:rPr>
        <w:t>Europa-Kommissionen og de kompetente myndigheder i de øvrige medlemsstater om de trufne foranstaltninger og</w:t>
      </w:r>
      <w:r>
        <w:rPr>
          <w:rFonts w:ascii="Times New Roman" w:hAnsi="Times New Roman"/>
        </w:rPr>
        <w:t xml:space="preserve"> </w:t>
      </w:r>
      <w:r>
        <w:rPr>
          <w:rFonts w:ascii="Calibri" w:hAnsi="Calibri"/>
          <w:b/>
          <w:color w:val="000000"/>
        </w:rPr>
        <w:t xml:space="preserve">fremlægger alle de relevante oplysninger, den har til sin rådighed. </w:t>
      </w:r>
    </w:p>
    <w:p w14:paraId="66F991AC" w14:textId="3CC5AB70" w:rsidR="00041F59" w:rsidRPr="00925A86"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925A86" w:rsidRDefault="00041F59">
      <w:pPr>
        <w:spacing w:after="103"/>
        <w:rPr>
          <w:rFonts w:ascii="Times New Roman" w:hAnsi="Times New Roman"/>
          <w:color w:val="000000" w:themeColor="text1"/>
          <w:sz w:val="24"/>
          <w:szCs w:val="24"/>
        </w:rPr>
      </w:pPr>
    </w:p>
    <w:p w14:paraId="36A3CDBC" w14:textId="77777777" w:rsidR="00041F59" w:rsidRPr="00925A86" w:rsidRDefault="00041F59">
      <w:pPr>
        <w:spacing w:after="227"/>
        <w:rPr>
          <w:rFonts w:ascii="Times New Roman" w:hAnsi="Times New Roman"/>
          <w:color w:val="000000" w:themeColor="text1"/>
          <w:sz w:val="24"/>
          <w:szCs w:val="24"/>
        </w:rPr>
      </w:pPr>
    </w:p>
    <w:p w14:paraId="590B854A" w14:textId="0B100FD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Artikel 5.</w:t>
      </w:r>
      <w:r>
        <w:rPr>
          <w:rFonts w:ascii="Calibri" w:hAnsi="Calibri"/>
          <w:color w:val="000000"/>
        </w:rPr>
        <w:t xml:space="preserve"> Regeringen etablerer eller yder tilskud til strukturerede høringer og</w:t>
      </w:r>
      <w:r>
        <w:rPr>
          <w:rFonts w:ascii="Times New Roman" w:hAnsi="Times New Roman"/>
        </w:rPr>
        <w:t xml:space="preserve"> </w:t>
      </w:r>
      <w:r>
        <w:rPr>
          <w:rFonts w:ascii="Calibri" w:hAnsi="Calibri"/>
          <w:color w:val="000000"/>
        </w:rPr>
        <w:t xml:space="preserve">informationsaktiviteter med følgende opgaver: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at øge offentlighedens bevidsthed om de sundhedsrisici, der er forbundet med tobaksforbrug og eksponering for</w:t>
      </w:r>
      <w:r>
        <w:rPr>
          <w:rFonts w:ascii="Times New Roman" w:hAnsi="Times New Roman"/>
        </w:rPr>
        <w:t xml:space="preserve"> </w:t>
      </w:r>
      <w:r>
        <w:rPr>
          <w:rFonts w:ascii="Calibri" w:hAnsi="Calibri"/>
          <w:color w:val="000000"/>
        </w:rPr>
        <w:t xml:space="preserve">tobaksrøg samt fordelene ved at holde op med at ryge og en røgfri livsstil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at øge offentlighedens bevidsthed om de sundhedsrisici, der er forbundet med forbrug af nikotinposer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t xml:space="preserve">— </w:t>
      </w:r>
      <w:r>
        <w:rPr>
          <w:rFonts w:ascii="Calibri" w:hAnsi="Calibri"/>
          <w:color w:val="000000"/>
        </w:rPr>
        <w:t xml:space="preserve">at give offentligheden oplysninger om ingredienserne i de forskellige tobaksvarer </w:t>
      </w:r>
      <w:r>
        <w:rPr>
          <w:rFonts w:ascii="Calibri" w:hAnsi="Calibri"/>
          <w:b/>
          <w:color w:val="000000"/>
        </w:rPr>
        <w:t>eller</w:t>
      </w:r>
      <w:r>
        <w:rPr>
          <w:rFonts w:ascii="Calibri" w:hAnsi="Calibri"/>
          <w:color w:val="000000"/>
        </w:rPr>
        <w:t xml:space="preserve"> </w:t>
      </w:r>
      <w:r>
        <w:rPr>
          <w:rFonts w:ascii="Calibri" w:hAnsi="Calibri"/>
          <w:b/>
          <w:color w:val="000000"/>
        </w:rPr>
        <w:t>nikotinposer</w:t>
      </w:r>
      <w:r>
        <w:rPr>
          <w:rFonts w:ascii="Calibri" w:hAnsi="Calibri"/>
          <w:color w:val="000000"/>
        </w:rPr>
        <w:t xml:space="preserve">, der markedsføres, med angivelse af indholdet af skadelige stoffer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at tilbyde offentligheden høringer, navnlig til personer, der ønsker at holde op med at ryge.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Sundhedsoplysninger vedrørende rygning og sundhedsuddannelse skal</w:t>
      </w:r>
      <w:r>
        <w:rPr>
          <w:rFonts w:ascii="Times New Roman" w:hAnsi="Times New Roman"/>
        </w:rPr>
        <w:t xml:space="preserve"> </w:t>
      </w:r>
      <w:r>
        <w:rPr>
          <w:rFonts w:ascii="Calibri" w:hAnsi="Calibri"/>
          <w:color w:val="000000"/>
        </w:rPr>
        <w:t xml:space="preserve">tilbydes på alle niveauer af skoleundervisningen.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Artikel 6.</w:t>
      </w:r>
      <w:r>
        <w:rPr>
          <w:rFonts w:ascii="Calibri" w:hAnsi="Calibri"/>
          <w:color w:val="000000"/>
        </w:rPr>
        <w:t xml:space="preserve"> (1) Rygning er forbudt: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på og omkring hospitaler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2. i kommunale dele af institutioner for ældre, der anvendes til</w:t>
      </w:r>
      <w:r>
        <w:rPr>
          <w:rFonts w:ascii="Times New Roman" w:hAnsi="Times New Roman"/>
        </w:rPr>
        <w:t xml:space="preserve"> </w:t>
      </w:r>
      <w:r>
        <w:rPr>
          <w:rFonts w:ascii="Calibri" w:hAnsi="Calibri"/>
          <w:color w:val="000000"/>
        </w:rPr>
        <w:t xml:space="preserve">bolig, herunder elevatorer og korridorer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3. i venteværelser hos lægen, tandlægen og andet sundhedspersonale</w:t>
      </w:r>
      <w:r>
        <w:rPr>
          <w:rFonts w:ascii="Times New Roman" w:hAnsi="Times New Roman"/>
        </w:rPr>
        <w:t xml:space="preserve"> </w:t>
      </w:r>
      <w:r>
        <w:rPr>
          <w:rFonts w:ascii="Calibri" w:hAnsi="Calibri"/>
          <w:color w:val="000000"/>
        </w:rPr>
        <w:t xml:space="preserve">samt i laboratorier for medicinske analyser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på apoteker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i og omkring skoler inden for alle former for uddannelse</w:t>
      </w:r>
      <w:r>
        <w:rPr>
          <w:rFonts w:ascii="Times New Roman" w:hAnsi="Times New Roman"/>
        </w:rPr>
        <w:t xml:space="preserve"> </w:t>
      </w:r>
      <w:r>
        <w:rPr>
          <w:rFonts w:ascii="Calibri" w:hAnsi="Calibri"/>
          <w:color w:val="000000"/>
        </w:rPr>
        <w:t xml:space="preserve">6. i lokaler, der er beregnet til modtagelse eller indkvartering af mindreårige under seksten år  7. i alle indendørs sports- og fritidsanlæg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i biografer, underholdningshaller og teatre samt i bygninger og korridorer</w:t>
      </w:r>
      <w:r>
        <w:rPr>
          <w:rFonts w:ascii="Times New Roman" w:hAnsi="Times New Roman"/>
        </w:rPr>
        <w:t xml:space="preserve"> </w:t>
      </w:r>
      <w:r>
        <w:rPr>
          <w:rFonts w:ascii="Calibri" w:hAnsi="Calibri"/>
          <w:color w:val="000000"/>
        </w:rPr>
        <w:t xml:space="preserve">hvor de befinder sig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i museer, kunstgallerier, biblioteker og læsesale, der er åbne for offentligheden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i lobbyer og lokaler i bygninger tilhørende staten kommuner og offentlige institutioner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 i ethvert kollektive persontransportmiddel, også når de er stationære eller parkerede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12. på legepladser samt på alle sportsanlæg, hvor mindreårige under</w:t>
      </w:r>
      <w:r>
        <w:rPr>
          <w:rFonts w:ascii="Times New Roman" w:hAnsi="Times New Roman"/>
        </w:rPr>
        <w:t xml:space="preserve"> </w:t>
      </w:r>
      <w:r>
        <w:rPr>
          <w:rFonts w:ascii="Calibri" w:hAnsi="Calibri"/>
          <w:color w:val="000000"/>
        </w:rPr>
        <w:t xml:space="preserve">16 år dyrker sport </w:t>
      </w:r>
    </w:p>
    <w:p w14:paraId="36185C4F" w14:textId="77777777" w:rsidR="00041F59" w:rsidRPr="00925A86" w:rsidRDefault="00041F59">
      <w:pPr>
        <w:rPr>
          <w:rFonts w:ascii="Times New Roman" w:hAnsi="Times New Roman"/>
          <w:color w:val="000000" w:themeColor="text1"/>
          <w:sz w:val="24"/>
          <w:szCs w:val="24"/>
        </w:rPr>
      </w:pPr>
    </w:p>
    <w:p w14:paraId="5F9A1B56" w14:textId="77777777" w:rsidR="00041F59" w:rsidRPr="00925A86" w:rsidRDefault="00041F59">
      <w:pPr>
        <w:rPr>
          <w:rFonts w:ascii="Times New Roman" w:hAnsi="Times New Roman"/>
          <w:color w:val="000000" w:themeColor="text1"/>
          <w:sz w:val="24"/>
          <w:szCs w:val="24"/>
        </w:rPr>
      </w:pPr>
    </w:p>
    <w:p w14:paraId="3617ADE0" w14:textId="77777777" w:rsidR="00041F59" w:rsidRPr="00925A86" w:rsidRDefault="00041F59">
      <w:pPr>
        <w:rPr>
          <w:rFonts w:ascii="Times New Roman" w:hAnsi="Times New Roman"/>
          <w:color w:val="000000" w:themeColor="text1"/>
          <w:sz w:val="24"/>
          <w:szCs w:val="24"/>
        </w:rPr>
      </w:pPr>
    </w:p>
    <w:p w14:paraId="457638FA" w14:textId="0AA3D49B" w:rsidR="00041F59" w:rsidRPr="00925A86" w:rsidRDefault="00041F59">
      <w:pPr>
        <w:rPr>
          <w:rFonts w:ascii="Times New Roman" w:hAnsi="Times New Roman"/>
          <w:color w:val="000000" w:themeColor="text1"/>
          <w:sz w:val="24"/>
          <w:szCs w:val="24"/>
        </w:rPr>
      </w:pPr>
    </w:p>
    <w:p w14:paraId="6374970D" w14:textId="77777777" w:rsidR="00041F59" w:rsidRPr="00925A86" w:rsidRDefault="00041F59">
      <w:pPr>
        <w:rPr>
          <w:rFonts w:ascii="Times New Roman" w:hAnsi="Times New Roman"/>
          <w:color w:val="000000" w:themeColor="text1"/>
          <w:sz w:val="24"/>
          <w:szCs w:val="24"/>
        </w:rPr>
      </w:pPr>
    </w:p>
    <w:p w14:paraId="4F2454E5" w14:textId="77777777" w:rsidR="00C53DC4" w:rsidRPr="00925A86" w:rsidRDefault="00C53DC4">
      <w:pPr>
        <w:rPr>
          <w:rFonts w:ascii="Times New Roman" w:hAnsi="Times New Roman"/>
          <w:color w:val="000000" w:themeColor="text1"/>
          <w:sz w:val="24"/>
          <w:szCs w:val="24"/>
        </w:rPr>
      </w:pPr>
    </w:p>
    <w:p w14:paraId="1D19B7B6" w14:textId="77777777" w:rsidR="00C53DC4" w:rsidRPr="00925A86" w:rsidRDefault="00C53DC4">
      <w:pPr>
        <w:rPr>
          <w:rFonts w:ascii="Times New Roman" w:hAnsi="Times New Roman"/>
          <w:color w:val="000000" w:themeColor="text1"/>
          <w:sz w:val="24"/>
          <w:szCs w:val="24"/>
        </w:rPr>
      </w:pPr>
    </w:p>
    <w:p w14:paraId="06F91A2E" w14:textId="77777777" w:rsidR="00547F30" w:rsidRPr="00925A86" w:rsidRDefault="00547F30">
      <w:pPr>
        <w:rPr>
          <w:rFonts w:ascii="Times New Roman" w:hAnsi="Times New Roman"/>
          <w:color w:val="000000" w:themeColor="text1"/>
          <w:sz w:val="24"/>
          <w:szCs w:val="24"/>
        </w:rPr>
      </w:pPr>
    </w:p>
    <w:p w14:paraId="0AD3AB76" w14:textId="77777777" w:rsidR="00041F59" w:rsidRPr="00925A86" w:rsidRDefault="00041F59">
      <w:pPr>
        <w:rPr>
          <w:rFonts w:ascii="Times New Roman" w:hAnsi="Times New Roman"/>
          <w:color w:val="000000" w:themeColor="text1"/>
          <w:sz w:val="24"/>
          <w:szCs w:val="24"/>
        </w:rPr>
      </w:pPr>
    </w:p>
    <w:p w14:paraId="75658A42" w14:textId="77777777" w:rsidR="00041F59" w:rsidRPr="00925A86" w:rsidRDefault="00041F59">
      <w:pPr>
        <w:rPr>
          <w:rFonts w:ascii="Times New Roman" w:hAnsi="Times New Roman"/>
          <w:color w:val="000000" w:themeColor="text1"/>
          <w:sz w:val="24"/>
          <w:szCs w:val="24"/>
        </w:rPr>
      </w:pPr>
    </w:p>
    <w:p w14:paraId="5375EF40" w14:textId="77777777" w:rsidR="00041F59" w:rsidRPr="00925A86" w:rsidRDefault="00041F59">
      <w:pPr>
        <w:spacing w:after="5"/>
        <w:rPr>
          <w:rFonts w:ascii="Times New Roman" w:hAnsi="Times New Roman"/>
          <w:color w:val="000000" w:themeColor="text1"/>
          <w:sz w:val="24"/>
          <w:szCs w:val="24"/>
        </w:rPr>
      </w:pPr>
    </w:p>
    <w:p w14:paraId="6E684C07" w14:textId="7A1B9943"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i cateringvirksomheder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t xml:space="preserve">b) </w:t>
      </w:r>
      <w:r>
        <w:rPr>
          <w:rFonts w:ascii="Calibri" w:hAnsi="Calibri"/>
          <w:color w:val="000000"/>
        </w:rPr>
        <w:t>i konditor- og bageriafdelinger i cateringvirksomheder</w:t>
      </w:r>
      <w:r>
        <w:rPr>
          <w:rFonts w:ascii="Times New Roman" w:hAnsi="Times New Roman"/>
        </w:rPr>
        <w:t xml:space="preserve"> </w:t>
      </w:r>
      <w:r>
        <w:rPr>
          <w:rFonts w:ascii="Calibri" w:hAnsi="Calibri"/>
          <w:color w:val="000000"/>
        </w:rPr>
        <w:t xml:space="preserve">samt caféer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14. på diskoteker i henhold til bestemmelserne om nomenklatur og tarifering af</w:t>
      </w:r>
      <w:r>
        <w:rPr>
          <w:rFonts w:ascii="Times New Roman" w:hAnsi="Times New Roman"/>
        </w:rPr>
        <w:t xml:space="preserve"> </w:t>
      </w:r>
      <w:r>
        <w:rPr>
          <w:rFonts w:ascii="Calibri" w:hAnsi="Calibri"/>
          <w:color w:val="000000"/>
        </w:rPr>
        <w:t xml:space="preserve">klassificerede virksomheder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i storcentre, indkøbscentre og udstillingslokaler, der er åbne for offentligheden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 i salgsområderne i alle fødevarebutikker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på udskænkningssteder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i lokaler til fælles brug i indkvarteringsvirksomheder, herunder elevatorer og</w:t>
      </w:r>
      <w:r>
        <w:rPr>
          <w:rFonts w:ascii="Times New Roman" w:hAnsi="Times New Roman"/>
        </w:rPr>
        <w:t xml:space="preserve"> </w:t>
      </w:r>
      <w:r>
        <w:rPr>
          <w:rFonts w:ascii="Calibri" w:hAnsi="Calibri"/>
          <w:color w:val="000000"/>
        </w:rPr>
        <w:t xml:space="preserve">korridorer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 i ethvert køretøj, hvor der er børn under tolv år til stede.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(2) Forbuddet i stk. 1, nr. 1), gælder ikke specifikt for rygerum, der er</w:t>
      </w:r>
      <w:r>
        <w:rPr>
          <w:rFonts w:ascii="Times New Roman" w:hAnsi="Times New Roman"/>
        </w:rPr>
        <w:t xml:space="preserve"> </w:t>
      </w:r>
      <w:r>
        <w:rPr>
          <w:rFonts w:ascii="Calibri" w:hAnsi="Calibri"/>
          <w:color w:val="000000"/>
        </w:rPr>
        <w:t xml:space="preserve">oprettet til dette formål af operatøren af et sygehus og i rygeområder i det fri.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Der må kun være ét udendørs rygeområde pr. hospital ude over de rygerum, der etableres på psykiatriske afdelinger. Dette rygerum skal være placeret væk fra tjenesterne og</w:t>
      </w:r>
      <w:r>
        <w:rPr>
          <w:rFonts w:ascii="Times New Roman" w:hAnsi="Times New Roman"/>
        </w:rPr>
        <w:t xml:space="preserve"> </w:t>
      </w:r>
      <w:r>
        <w:rPr>
          <w:rFonts w:ascii="Calibri" w:hAnsi="Calibri"/>
          <w:color w:val="000000"/>
        </w:rPr>
        <w:t>være indrettet på en sådan måde, at tobaksrøg ikke når ud til personalet eller offentligheden. Adgangen til rygerum</w:t>
      </w:r>
      <w:r>
        <w:rPr>
          <w:rFonts w:ascii="Times New Roman" w:hAnsi="Times New Roman"/>
        </w:rPr>
        <w:t xml:space="preserve"> </w:t>
      </w:r>
      <w:r>
        <w:rPr>
          <w:rFonts w:ascii="Calibri" w:hAnsi="Calibri"/>
          <w:color w:val="000000"/>
        </w:rPr>
        <w:t xml:space="preserve">er strengt begrænset til hospitalsindlagte patienter, der anmoder herom.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Der må kun være ét udendørs rygeområde pr. hospital. Dette rygeområde</w:t>
      </w:r>
      <w:r>
        <w:rPr>
          <w:rFonts w:ascii="Times New Roman" w:hAnsi="Times New Roman"/>
        </w:rPr>
        <w:t xml:space="preserve"> </w:t>
      </w:r>
      <w:r>
        <w:rPr>
          <w:rFonts w:ascii="Calibri" w:hAnsi="Calibri"/>
          <w:color w:val="000000"/>
        </w:rPr>
        <w:t>skal være adskilt fra alle hospitalets adgangsområder. Det skal være klart</w:t>
      </w:r>
      <w:r>
        <w:rPr>
          <w:rFonts w:ascii="Times New Roman" w:hAnsi="Times New Roman"/>
        </w:rPr>
        <w:t xml:space="preserve"> </w:t>
      </w:r>
      <w:r>
        <w:rPr>
          <w:rFonts w:ascii="Calibri" w:hAnsi="Calibri"/>
          <w:color w:val="000000"/>
        </w:rPr>
        <w:t xml:space="preserve">markeret som et område, der er forbeholdt rygere.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For de steder, der er nævnt i punkt 1 nr. 13), litra a), 17) og 18), kan der oprettes et rygeområde</w:t>
      </w:r>
      <w:r>
        <w:rPr>
          <w:rFonts w:ascii="Times New Roman" w:hAnsi="Times New Roman"/>
        </w:rPr>
        <w:t xml:space="preserve"> </w:t>
      </w:r>
      <w:r>
        <w:rPr>
          <w:rFonts w:ascii="Calibri" w:hAnsi="Calibri"/>
          <w:color w:val="000000"/>
        </w:rPr>
        <w:t xml:space="preserve">i et særskilt rum, hvor forbuddet i denne artikel ikke finder anvendelse.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Rygeområdet skal være udstyret med et røgudsugnings- eller luftrensningssystem.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Rygeområdet skal udformes og konstrueres på en sådan måde, at de gener, som røgen medfører for</w:t>
      </w:r>
      <w:r>
        <w:rPr>
          <w:rFonts w:ascii="Times New Roman" w:hAnsi="Times New Roman"/>
        </w:rPr>
        <w:t xml:space="preserve"> </w:t>
      </w:r>
      <w:r>
        <w:rPr>
          <w:rFonts w:ascii="Calibri" w:hAnsi="Calibri"/>
          <w:color w:val="000000"/>
        </w:rPr>
        <w:t xml:space="preserve">ikkerygere, minimeres og må ikke være et gennemgangsområde.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De tekniske egenskaber ved røgekstraktions- eller luftrensningssystemet og</w:t>
      </w:r>
      <w:r>
        <w:rPr>
          <w:rFonts w:ascii="Times New Roman" w:hAnsi="Times New Roman"/>
        </w:rPr>
        <w:t xml:space="preserve"> </w:t>
      </w:r>
      <w:r>
        <w:rPr>
          <w:rFonts w:ascii="Calibri" w:hAnsi="Calibri"/>
          <w:color w:val="000000"/>
        </w:rPr>
        <w:t xml:space="preserve">de betingelser, der er nævnt i ovenstående afsnit, fastsættes ved storhertugelig anordning.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Rygerummets areal må ikke overstige 30 % af rummets samlede areal som defineret i</w:t>
      </w:r>
      <w:r>
        <w:rPr>
          <w:rFonts w:ascii="Times New Roman" w:hAnsi="Times New Roman"/>
        </w:rPr>
        <w:t xml:space="preserve"> </w:t>
      </w:r>
      <w:r>
        <w:rPr>
          <w:rFonts w:ascii="Calibri" w:hAnsi="Calibri"/>
          <w:color w:val="000000"/>
        </w:rPr>
        <w:t xml:space="preserve">artikel 2, litra e) og f), og de lokaler, der er omhandlet i stk. 1, nr. 18).  </w:t>
      </w:r>
    </w:p>
    <w:p w14:paraId="78283DF7" w14:textId="77777777" w:rsidR="00041F59" w:rsidRPr="00925A86" w:rsidRDefault="00041F59">
      <w:pPr>
        <w:rPr>
          <w:rFonts w:ascii="Times New Roman" w:hAnsi="Times New Roman"/>
          <w:color w:val="000000" w:themeColor="text1"/>
          <w:sz w:val="24"/>
          <w:szCs w:val="24"/>
        </w:rPr>
      </w:pPr>
    </w:p>
    <w:p w14:paraId="3ADE19FA" w14:textId="77777777" w:rsidR="00041F59" w:rsidRPr="00925A86"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925A86" w:rsidRDefault="00041F59">
      <w:pPr>
        <w:spacing w:after="233"/>
        <w:rPr>
          <w:rFonts w:ascii="Times New Roman" w:hAnsi="Times New Roman"/>
          <w:color w:val="000000" w:themeColor="text1"/>
          <w:sz w:val="24"/>
          <w:szCs w:val="24"/>
        </w:rPr>
      </w:pPr>
    </w:p>
    <w:p w14:paraId="0AD4AE9D" w14:textId="77777777" w:rsidR="00041F59" w:rsidRPr="00925A86" w:rsidRDefault="00041F59">
      <w:pPr>
        <w:rPr>
          <w:rFonts w:ascii="Times New Roman" w:hAnsi="Times New Roman"/>
          <w:color w:val="000000" w:themeColor="text1"/>
          <w:sz w:val="24"/>
          <w:szCs w:val="24"/>
        </w:rPr>
      </w:pPr>
    </w:p>
    <w:p w14:paraId="1C3B7575" w14:textId="77777777" w:rsidR="00041F59" w:rsidRPr="00925A86" w:rsidRDefault="00041F59">
      <w:pPr>
        <w:rPr>
          <w:rFonts w:ascii="Times New Roman" w:hAnsi="Times New Roman"/>
          <w:color w:val="000000" w:themeColor="text1"/>
          <w:sz w:val="24"/>
          <w:szCs w:val="24"/>
        </w:rPr>
      </w:pPr>
    </w:p>
    <w:p w14:paraId="3015DABA" w14:textId="4224B94D" w:rsidR="00041F59" w:rsidRPr="00925A86" w:rsidRDefault="00041F59">
      <w:pPr>
        <w:rPr>
          <w:rFonts w:ascii="Times New Roman" w:hAnsi="Times New Roman"/>
          <w:color w:val="000000" w:themeColor="text1"/>
          <w:sz w:val="24"/>
          <w:szCs w:val="24"/>
        </w:rPr>
      </w:pPr>
    </w:p>
    <w:p w14:paraId="26DC8580" w14:textId="77777777" w:rsidR="00F53B42" w:rsidRPr="00925A86" w:rsidRDefault="00F53B42">
      <w:pPr>
        <w:rPr>
          <w:rFonts w:ascii="Times New Roman" w:hAnsi="Times New Roman"/>
          <w:color w:val="000000" w:themeColor="text1"/>
          <w:sz w:val="24"/>
          <w:szCs w:val="24"/>
        </w:rPr>
      </w:pPr>
    </w:p>
    <w:p w14:paraId="213648DD" w14:textId="77777777" w:rsidR="00547F30" w:rsidRPr="00925A86"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 xml:space="preserve">Rygerummet skal være tydeligt markeret som et rum, der er forbeholdt rygere. Der skal opsættes et eller flere skilte, der minder om rygeforbuddet i områder, der er forbeholdt ikkerygere, så alle tilstedeværende kan være opmærksomme på det.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 xml:space="preserve">Operatøren af lokalerne er forpligtet til at træffe foranstaltninger for at forhindre mindreårige i at få adgang til rygerummet.  Der må ikke tilbydes nogen service i rygeværelset. Der må kun tages drikkevarer med ind i rygerummet.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Driften af rygerummet kræver forudgående tilladelse fra ministeren, som giver denne på grundlag af en rapport fra</w:t>
      </w:r>
      <w:r>
        <w:rPr>
          <w:rFonts w:ascii="Times New Roman" w:hAnsi="Times New Roman"/>
        </w:rPr>
        <w:t xml:space="preserve"> </w:t>
      </w:r>
      <w:r>
        <w:rPr>
          <w:rFonts w:ascii="Calibri" w:hAnsi="Calibri"/>
          <w:color w:val="000000"/>
        </w:rPr>
        <w:t xml:space="preserve">sundhedsdirektoratet, hvis kravene i denne artikel er opfyldt.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Sundhedsdirektoratet sikrer, at ovennævnte krav er opfyldt.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(4) Et skilt, der advarer om risikoen ved passiv rygning, skal placeres synligt ved indgangen til de rygerum og rygezoner, der er nævnt i stk. 2 og 3.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Det er forbudt at forbruge nikotinposer: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1. på de virksomheder, der er nævnt i stk. 1, nr. 5).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2. i de lokaler, der er nævnt i stk. 1, nr. 6)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på de sportsanlæg, der er omhandlet i stk. 1, nr. 12).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Artikel 7.</w:t>
      </w:r>
      <w:r>
        <w:rPr>
          <w:rFonts w:ascii="Calibri" w:hAnsi="Calibri"/>
          <w:color w:val="000000"/>
        </w:rPr>
        <w:t xml:space="preserve"> (1) Markedsføring, salg, distribution eller udbud uden vederlag, besiddelse med henblik på salg og indførsel i kommercielt øjemed af tobak, som indtages oralt, er forbudt.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Markedsføring, Det er forbudt at markedsføre, sælge, distribuere eller tilbyde gratis pakker med færre end 20 </w:t>
      </w:r>
      <w:r>
        <w:rPr>
          <w:rFonts w:ascii="Calibri" w:hAnsi="Calibri"/>
          <w:b/>
          <w:bCs/>
          <w:color w:val="000000"/>
        </w:rPr>
        <w:t>og flere end 50</w:t>
      </w:r>
      <w:r>
        <w:rPr>
          <w:rFonts w:ascii="Calibri" w:hAnsi="Calibri"/>
          <w:color w:val="000000"/>
        </w:rPr>
        <w:t xml:space="preserve"> cigaretter samt beholdere med mindreend 30 </w:t>
      </w:r>
      <w:r>
        <w:rPr>
          <w:rFonts w:ascii="Calibri" w:hAnsi="Calibri"/>
          <w:b/>
          <w:bCs/>
          <w:color w:val="000000"/>
        </w:rPr>
        <w:t>og mere end 1 000 gram rulletobak</w:t>
      </w:r>
      <w:r>
        <w:rPr>
          <w:rFonts w:ascii="Calibri" w:hAnsi="Calibri"/>
          <w:color w:val="000000"/>
        </w:rPr>
        <w:t xml:space="preserve">, uanset pakningsstørrelse.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(2</w:t>
      </w:r>
      <w:r>
        <w:rPr>
          <w:rFonts w:ascii="Calibri" w:hAnsi="Calibri"/>
          <w:b/>
          <w:i/>
          <w:color w:val="000000"/>
        </w:rPr>
        <w:t>a</w:t>
      </w:r>
      <w:r>
        <w:rPr>
          <w:rFonts w:ascii="Calibri" w:hAnsi="Calibri"/>
          <w:b/>
          <w:color w:val="000000"/>
        </w:rPr>
        <w:t>)</w:t>
      </w:r>
      <w:r>
        <w:rPr>
          <w:rFonts w:ascii="Calibri" w:hAnsi="Calibri"/>
          <w:color w:val="000000"/>
        </w:rPr>
        <w:t xml:space="preserve"> </w:t>
      </w:r>
      <w:r>
        <w:rPr>
          <w:rFonts w:ascii="Calibri" w:hAnsi="Calibri"/>
          <w:b/>
          <w:color w:val="000000"/>
        </w:rPr>
        <w:t xml:space="preserve">(2a) Antallet af cigaretter pr. enkeltpakning skal være i overensstemmelse med betingelsen om 5-styks-multiplikatoren.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Mængderne af enkeltpakninger til rulletobak skal være i overensstemmelse med følgende:</w:t>
      </w:r>
      <w:r>
        <w:rPr>
          <w:rFonts w:ascii="Times New Roman" w:hAnsi="Times New Roman"/>
        </w:rPr>
        <w:t xml:space="preserve"> </w:t>
      </w:r>
      <w:r>
        <w:rPr>
          <w:rFonts w:ascii="Calibri" w:hAnsi="Calibri"/>
          <w:b/>
          <w:color w:val="000000"/>
        </w:rPr>
        <w:t xml:space="preserve">betingelser: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a) hver enkeltpakning med en vægt på mellem 30 og 50 g</w:t>
      </w:r>
      <w:r>
        <w:rPr>
          <w:rFonts w:ascii="Times New Roman" w:hAnsi="Times New Roman"/>
        </w:rPr>
        <w:t xml:space="preserve"> </w:t>
      </w:r>
      <w:r>
        <w:rPr>
          <w:rFonts w:ascii="Calibri" w:hAnsi="Calibri"/>
          <w:b/>
          <w:color w:val="000000"/>
        </w:rPr>
        <w:t xml:space="preserve">skal udgøre et multiplum af 5 g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hver enkeltpakning med en vægt på mellem 50 g og 100 g skal</w:t>
      </w:r>
      <w:r>
        <w:rPr>
          <w:rFonts w:ascii="Times New Roman" w:hAnsi="Times New Roman"/>
        </w:rPr>
        <w:t xml:space="preserve"> </w:t>
      </w:r>
      <w:r>
        <w:rPr>
          <w:rFonts w:ascii="Calibri" w:hAnsi="Calibri"/>
          <w:b/>
          <w:color w:val="000000"/>
        </w:rPr>
        <w:t xml:space="preserve">udgøre et multiplum af 10 g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hver enkeltpakning med en vægt på mellem 100 g og 500 g</w:t>
      </w:r>
      <w:r>
        <w:rPr>
          <w:rFonts w:ascii="Times New Roman" w:hAnsi="Times New Roman"/>
        </w:rPr>
        <w:t xml:space="preserve"> </w:t>
      </w:r>
      <w:r>
        <w:rPr>
          <w:rFonts w:ascii="Calibri" w:hAnsi="Calibri"/>
          <w:b/>
          <w:color w:val="000000"/>
        </w:rPr>
        <w:t xml:space="preserve">skal udgøre et multiplum af 25 g </w:t>
      </w:r>
    </w:p>
    <w:p w14:paraId="4650CDE6" w14:textId="77777777" w:rsidR="00041F59" w:rsidRPr="00925A86" w:rsidRDefault="00041F59">
      <w:pPr>
        <w:rPr>
          <w:rFonts w:ascii="Times New Roman" w:hAnsi="Times New Roman"/>
          <w:color w:val="000000" w:themeColor="text1"/>
          <w:sz w:val="24"/>
          <w:szCs w:val="24"/>
        </w:rPr>
      </w:pPr>
    </w:p>
    <w:p w14:paraId="24F7B98A" w14:textId="77777777" w:rsidR="00041F59" w:rsidRPr="00925A86" w:rsidRDefault="00041F59">
      <w:pPr>
        <w:rPr>
          <w:rFonts w:ascii="Times New Roman" w:hAnsi="Times New Roman"/>
          <w:color w:val="000000" w:themeColor="text1"/>
          <w:sz w:val="24"/>
          <w:szCs w:val="24"/>
        </w:rPr>
      </w:pPr>
    </w:p>
    <w:p w14:paraId="4E959EED" w14:textId="77777777" w:rsidR="00041F59" w:rsidRPr="00925A86" w:rsidRDefault="00041F59">
      <w:pPr>
        <w:spacing w:after="75"/>
        <w:rPr>
          <w:rFonts w:ascii="Times New Roman" w:hAnsi="Times New Roman"/>
          <w:color w:val="000000" w:themeColor="text1"/>
          <w:sz w:val="24"/>
          <w:szCs w:val="24"/>
        </w:rPr>
      </w:pPr>
    </w:p>
    <w:p w14:paraId="3464E339" w14:textId="77777777" w:rsidR="00041F59" w:rsidRPr="00925A86" w:rsidRDefault="00041F59">
      <w:pPr>
        <w:rPr>
          <w:rFonts w:ascii="Times New Roman" w:hAnsi="Times New Roman"/>
          <w:color w:val="000000" w:themeColor="text1"/>
          <w:sz w:val="24"/>
          <w:szCs w:val="24"/>
        </w:rPr>
      </w:pPr>
    </w:p>
    <w:p w14:paraId="0D797C61" w14:textId="77777777" w:rsidR="00C53DC4" w:rsidRPr="00925A86" w:rsidRDefault="00C53DC4">
      <w:pPr>
        <w:rPr>
          <w:rFonts w:ascii="Times New Roman" w:hAnsi="Times New Roman"/>
          <w:color w:val="000000" w:themeColor="text1"/>
          <w:sz w:val="24"/>
          <w:szCs w:val="24"/>
        </w:rPr>
      </w:pPr>
    </w:p>
    <w:p w14:paraId="48116415" w14:textId="77777777" w:rsidR="00C53DC4" w:rsidRPr="00925A86" w:rsidRDefault="00C53DC4">
      <w:pPr>
        <w:rPr>
          <w:rFonts w:ascii="Times New Roman" w:hAnsi="Times New Roman"/>
          <w:color w:val="000000" w:themeColor="text1"/>
          <w:sz w:val="24"/>
          <w:szCs w:val="24"/>
        </w:rPr>
      </w:pPr>
    </w:p>
    <w:p w14:paraId="59D0A26B" w14:textId="77777777" w:rsidR="00C53DC4" w:rsidRPr="00925A86" w:rsidRDefault="00C53DC4">
      <w:pPr>
        <w:rPr>
          <w:rFonts w:ascii="Times New Roman" w:hAnsi="Times New Roman"/>
          <w:color w:val="000000" w:themeColor="text1"/>
          <w:sz w:val="24"/>
          <w:szCs w:val="24"/>
        </w:rPr>
      </w:pPr>
    </w:p>
    <w:p w14:paraId="298CD8ED" w14:textId="77777777" w:rsidR="00C53DC4" w:rsidRPr="00925A86" w:rsidRDefault="00C53DC4">
      <w:pPr>
        <w:rPr>
          <w:rFonts w:ascii="Times New Roman" w:hAnsi="Times New Roman"/>
          <w:color w:val="000000" w:themeColor="text1"/>
          <w:sz w:val="24"/>
          <w:szCs w:val="24"/>
        </w:rPr>
      </w:pPr>
    </w:p>
    <w:p w14:paraId="6C6A6C2F" w14:textId="77777777" w:rsidR="00C53DC4" w:rsidRPr="00925A86" w:rsidRDefault="00C53DC4">
      <w:pPr>
        <w:rPr>
          <w:rFonts w:ascii="Times New Roman" w:hAnsi="Times New Roman"/>
          <w:color w:val="000000" w:themeColor="text1"/>
          <w:sz w:val="24"/>
          <w:szCs w:val="24"/>
        </w:rPr>
      </w:pPr>
    </w:p>
    <w:p w14:paraId="1D6DD328" w14:textId="77777777" w:rsidR="00041F59" w:rsidRPr="00925A86" w:rsidRDefault="00041F59">
      <w:pPr>
        <w:rPr>
          <w:rFonts w:ascii="Times New Roman" w:hAnsi="Times New Roman"/>
          <w:color w:val="000000" w:themeColor="text1"/>
          <w:sz w:val="24"/>
          <w:szCs w:val="24"/>
        </w:rPr>
      </w:pPr>
    </w:p>
    <w:p w14:paraId="194A6A05" w14:textId="77777777" w:rsidR="00041F59" w:rsidRPr="00925A86" w:rsidRDefault="00041F59">
      <w:pPr>
        <w:rPr>
          <w:rFonts w:ascii="Times New Roman" w:hAnsi="Times New Roman"/>
          <w:color w:val="000000" w:themeColor="text1"/>
          <w:sz w:val="24"/>
          <w:szCs w:val="24"/>
        </w:rPr>
      </w:pPr>
    </w:p>
    <w:p w14:paraId="56D1F60A" w14:textId="2E03FB93" w:rsidR="00041F59" w:rsidRPr="00925A86" w:rsidRDefault="00041F59">
      <w:pPr>
        <w:rPr>
          <w:rFonts w:ascii="Times New Roman" w:hAnsi="Times New Roman"/>
          <w:color w:val="000000" w:themeColor="text1"/>
          <w:sz w:val="24"/>
          <w:szCs w:val="24"/>
        </w:rPr>
      </w:pPr>
    </w:p>
    <w:p w14:paraId="61B5C017" w14:textId="77777777" w:rsidR="00041F59" w:rsidRPr="00925A86" w:rsidRDefault="00041F59">
      <w:pPr>
        <w:spacing w:after="227"/>
        <w:rPr>
          <w:rFonts w:ascii="Times New Roman" w:hAnsi="Times New Roman"/>
          <w:color w:val="000000" w:themeColor="text1"/>
          <w:sz w:val="24"/>
          <w:szCs w:val="24"/>
        </w:rPr>
      </w:pPr>
    </w:p>
    <w:p w14:paraId="1497279F" w14:textId="452E9685"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d) hver enkeltpakning med en vægt på mellem 500 g og 1 000 g</w:t>
      </w:r>
      <w:r>
        <w:rPr>
          <w:rFonts w:ascii="Times New Roman" w:hAnsi="Times New Roman"/>
        </w:rPr>
        <w:t xml:space="preserve"> </w:t>
      </w:r>
      <w:r>
        <w:rPr>
          <w:rFonts w:ascii="Calibri" w:hAnsi="Calibri"/>
          <w:b/>
          <w:color w:val="000000"/>
        </w:rPr>
        <w:t xml:space="preserve">skal udgøre et multiplum af 50 g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Det er forbudt at markedsføre, sælge, distribuere eller tilbyde tobaksvarer gratis: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med en særlig kendetegnende aroma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b) der indeholder en teknisk anordning til at ændre tobaksvarers lugt eller smag eller deres forbrændingsintensitet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c) som indeholder vitaminer eller andre tilsætningsstoffer, der tyder på, at en tobaksvare har sundhedsmæssige fordele, eller at dens sundhedsrisici er blevet reduceret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 som indeholder koffein, taurin eller andre tilsætningsstoffer og stimulanser, der forbindes med energi og</w:t>
      </w:r>
      <w:r>
        <w:rPr>
          <w:rFonts w:ascii="Times New Roman" w:hAnsi="Times New Roman"/>
        </w:rPr>
        <w:t xml:space="preserve"> </w:t>
      </w:r>
      <w:r>
        <w:rPr>
          <w:rFonts w:ascii="Calibri" w:hAnsi="Calibri"/>
          <w:color w:val="000000"/>
        </w:rPr>
        <w:t xml:space="preserve">vitalitet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som indeholder tilsætningsstoffer, der giver røgen farveegenskaber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f) som indeholder tilsætningsstoffer, der letter inhalering eller absorption af nikotin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g) som indeholder tilsætningsstoffer, der uden forbrænding har kræftfremkaldende, mutagene eller reproduktionstoksiske egenskaber hos mennesker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h) der indeholder aromaer i en eller flere af deres bestanddele, f.eks. filtre, papir, pakninger</w:t>
      </w:r>
      <w:r>
        <w:t xml:space="preserve"> og</w:t>
      </w:r>
      <w:r>
        <w:rPr>
          <w:rFonts w:ascii="Times New Roman" w:hAnsi="Times New Roman"/>
        </w:rPr>
        <w:t xml:space="preserve"> </w:t>
      </w:r>
      <w:r>
        <w:rPr>
          <w:rFonts w:ascii="Calibri" w:hAnsi="Calibri"/>
          <w:color w:val="000000"/>
        </w:rPr>
        <w:t>kapsler eller enhver teknisk anordning til ændring af lugt eller smag</w:t>
      </w:r>
      <w:r>
        <w:rPr>
          <w:rFonts w:ascii="Times New Roman" w:hAnsi="Times New Roman"/>
        </w:rPr>
        <w:t xml:space="preserve"> </w:t>
      </w:r>
      <w:r>
        <w:rPr>
          <w:rFonts w:ascii="Calibri" w:hAnsi="Calibri"/>
          <w:color w:val="000000"/>
        </w:rPr>
        <w:t xml:space="preserve">de pågældende tobaksvarer eller deres brændingsintensitet. Filtre, papir og kapsler må ikke indeholde tobak eller nikotin.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Andre tobaksvarer end cigaretter, </w:t>
      </w:r>
      <w:r>
        <w:rPr>
          <w:rFonts w:ascii="Calibri" w:hAnsi="Calibri"/>
          <w:b/>
          <w:color w:val="000000"/>
        </w:rPr>
        <w:t>opvarmede tobaksprodukter</w:t>
      </w:r>
      <w:r>
        <w:rPr>
          <w:rFonts w:ascii="Calibri" w:hAnsi="Calibri"/>
          <w:color w:val="000000"/>
        </w:rPr>
        <w:t xml:space="preserve"> og rulletobak er udntaget fra forbuddene i litra a) og h).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Det er forbudt at markedsføre, sælge, distribuere eller tilbyde nikotinposer, der indeholder: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over 0,048 mg nikotin pr. pose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tilsætningsstoffer, der letter absorptionen af nikotin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c) koffein, taurin, CBD eller andre tilsætningsstoffer og stimulanser, der forbindes med energi eller</w:t>
      </w:r>
      <w:r>
        <w:rPr>
          <w:rFonts w:ascii="Times New Roman" w:hAnsi="Times New Roman"/>
        </w:rPr>
        <w:t xml:space="preserve"> </w:t>
      </w:r>
      <w:r>
        <w:rPr>
          <w:rFonts w:ascii="Calibri" w:hAnsi="Calibri"/>
          <w:b/>
          <w:color w:val="000000"/>
        </w:rPr>
        <w:t xml:space="preserve">afslapning.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Nikotinposer skal være forsynet med en børnelås og skal være sikret mod manipulation.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Producenter af nikotinposer skal overholde de hygiejnebestemmelser, der er fastsat i</w:t>
      </w:r>
      <w:r>
        <w:rPr>
          <w:rFonts w:ascii="Times New Roman" w:hAnsi="Times New Roman"/>
        </w:rPr>
        <w:t xml:space="preserve"> </w:t>
      </w:r>
      <w:r>
        <w:rPr>
          <w:rFonts w:ascii="Calibri" w:hAnsi="Calibri"/>
          <w:b/>
          <w:color w:val="000000"/>
        </w:rPr>
        <w:t>artikel 4 i Europa-Parlamentets og Rådets forordning (EF) nr. 852/2004 af 29. april 2004 om fødevarehygiejne for ledere af fødevarevirksomheder</w:t>
      </w:r>
      <w:r>
        <w:rPr>
          <w:b/>
        </w:rPr>
        <w:t>.</w:t>
      </w:r>
      <w:r>
        <w:rPr>
          <w:rFonts w:ascii="Calibri" w:hAnsi="Calibri"/>
          <w:color w:val="000000"/>
        </w:rPr>
        <w:t xml:space="preserve"> </w:t>
      </w:r>
    </w:p>
    <w:p w14:paraId="414EE834" w14:textId="77777777" w:rsidR="00041F59" w:rsidRPr="00925A86" w:rsidRDefault="00041F59">
      <w:pPr>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925A86" w:rsidRDefault="00041F59">
      <w:pPr>
        <w:rPr>
          <w:rFonts w:ascii="Times New Roman" w:hAnsi="Times New Roman"/>
          <w:color w:val="000000" w:themeColor="text1"/>
          <w:sz w:val="24"/>
          <w:szCs w:val="24"/>
        </w:rPr>
      </w:pPr>
    </w:p>
    <w:p w14:paraId="42F5CEBC" w14:textId="77777777" w:rsidR="00041F59" w:rsidRPr="00925A86" w:rsidRDefault="00041F59">
      <w:pPr>
        <w:rPr>
          <w:rFonts w:ascii="Times New Roman" w:hAnsi="Times New Roman"/>
          <w:color w:val="000000" w:themeColor="text1"/>
          <w:sz w:val="24"/>
          <w:szCs w:val="24"/>
        </w:rPr>
      </w:pPr>
    </w:p>
    <w:p w14:paraId="60F2C7C2" w14:textId="77777777" w:rsidR="00041F59" w:rsidRPr="00925A86"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Artikel 8.</w:t>
      </w:r>
      <w:r>
        <w:rPr>
          <w:rFonts w:ascii="Calibri" w:hAnsi="Calibri"/>
          <w:color w:val="000000"/>
        </w:rPr>
        <w:t xml:space="preserve"> (1) Fabrikanter og importører af nye kategorier af tobaksvarer skal angive en anmeldelse til ledelsen seks måneder før den planlagte dato for markedsføring af sådanne produkter. Denne anmeldelse indgives elektronisk. Den ledsages af en detaljeret beskrivelse af den pågældende nye kategori af tobaksvarer og dens brugsanvisning. </w:t>
      </w:r>
      <w:r>
        <w:rPr>
          <w:rFonts w:ascii="Calibri" w:hAnsi="Calibri"/>
          <w:b/>
          <w:color w:val="000000"/>
        </w:rPr>
        <w:t>Direktoratet stiller de oplysninger, de modtager i henhold til denne artikel, til rådighed for Europa-Kommissionen.</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Den i stk. 1 omhandlede anmeldelse skal indeholde følgende oplysninger: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a) listen over alle ingredienser samt de mængder, der er anvendt ved fremstillingen af den nye kategori af tobaksvarer, samt emissioner og niveauer heraf i overensstemmelse med artikel 4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b) foreliggende videnskabelige undersøgelser af toksicitet, afhængighedsskabende egenskaber og tiltrækningskraft af den nye kategori af tobaksvarer, i særdeleshed hvad angår dens ingredienser og emissioner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foreliggende undersøgelser, resuméer heraf og markedsanalyser af forskellige forbrugergruppers, herunder unges og nuværende rygeres, præferencer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d) andre relevante tilgængelige oplysninger, herunder en analyse af risici og fordele ved produktet, dets forventelige konsekvenser med hensyn til antallet af personer, der holder op med at bruge tobak, og dets forventelige konsekvenser med hensyn til antallet af personer, der indleder et tobaksforbrug, og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bevis for betaling af den i stk. 4 omhandlede bøde.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Fabrikanter og importører af nye kategorier af tobaksvarer at fremsende alle nye eller ajourførte oplysninger om undersøgelser, forskning eller andre oplysninger som omhandlet i stk. 2, litra b)-d). Direktoratet kan pålægge fabrikanter eller importører af nye kategorier af tobaksvarer at udføre yderligere test eller fremlægge supplerende oplysninger.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Der opkræves et gebyr på 5 000 EUR for hver anmeldelse, der er omhandlet i stk. 1. Dette gebyr betales via betaling eller overførsel til en bankkonto, der indehaves af registrerings- og domæneadministrationen, sammen med angivelse af ansøgerens identitet og formålet med betalingen eller overførslen.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Markedsføring af en ny kategori af tobaksvarer kræver forudgående tilladelse fra ministeren efter råd fra direktoratet.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Artikel 9.</w:t>
      </w:r>
      <w:r>
        <w:rPr>
          <w:rFonts w:ascii="Calibri" w:hAnsi="Calibri"/>
          <w:color w:val="000000"/>
        </w:rPr>
        <w:t xml:space="preserve"> (1) Markedsføring, salg, besiddelse med henblik på salg og import i kommercielt øjemed</w:t>
      </w:r>
      <w:r>
        <w:rPr>
          <w:rFonts w:ascii="Times New Roman" w:hAnsi="Times New Roman"/>
        </w:rPr>
        <w:t xml:space="preserve"> </w:t>
      </w:r>
      <w:r>
        <w:rPr>
          <w:rFonts w:ascii="Calibri" w:hAnsi="Calibri"/>
          <w:color w:val="000000"/>
        </w:rPr>
        <w:t>af slik og legetøj, der er beregnet til børn, og som er fremstillet med det klare formål at</w:t>
      </w:r>
      <w:r>
        <w:rPr>
          <w:rFonts w:ascii="Times New Roman" w:hAnsi="Times New Roman"/>
        </w:rPr>
        <w:t xml:space="preserve"> </w:t>
      </w:r>
      <w:r>
        <w:rPr>
          <w:rFonts w:ascii="Calibri" w:hAnsi="Calibri"/>
          <w:color w:val="000000"/>
        </w:rPr>
        <w:t>få produktet eller emballagen til at fremstå som en type tobaksvare</w:t>
      </w:r>
      <w:r>
        <w:rPr>
          <w:rFonts w:ascii="Calibri" w:hAnsi="Calibri"/>
          <w:b/>
          <w:bCs/>
          <w:color w:val="000000"/>
        </w:rPr>
        <w:t>,</w:t>
      </w:r>
      <w:r>
        <w:rPr>
          <w:rFonts w:ascii="Calibri" w:hAnsi="Calibri"/>
          <w:color w:val="000000"/>
        </w:rPr>
        <w:t xml:space="preserve"> </w:t>
      </w:r>
      <w:r>
        <w:rPr>
          <w:rFonts w:ascii="Calibri" w:hAnsi="Calibri"/>
          <w:b/>
          <w:bCs/>
          <w:color w:val="000000"/>
        </w:rPr>
        <w:t>nikotinpose</w:t>
      </w:r>
      <w:r>
        <w:rPr>
          <w:rFonts w:ascii="Calibri" w:hAnsi="Calibri"/>
          <w:color w:val="000000"/>
        </w:rPr>
        <w:t xml:space="preserve"> eller en elektronisk cigaret eller genopfyldningsbeholder er forbudt.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 xml:space="preserve">(2) Det er forbudt at sælge eller udbyde tobak og tobaksvarer gratis </w:t>
      </w:r>
      <w:r>
        <w:rPr>
          <w:rFonts w:ascii="Calibri" w:hAnsi="Calibri"/>
          <w:b/>
          <w:bCs/>
          <w:color w:val="000000"/>
        </w:rPr>
        <w:t>nikotinposer</w:t>
      </w:r>
      <w:r>
        <w:rPr>
          <w:rFonts w:ascii="Calibri" w:hAnsi="Calibri"/>
          <w:color w:val="000000"/>
        </w:rPr>
        <w:t xml:space="preserve"> samt elektroniske cigaretter og genopfyldningsbeholdere til mindreårige under</w:t>
      </w:r>
      <w:r>
        <w:rPr>
          <w:rFonts w:ascii="Times New Roman" w:hAnsi="Times New Roman"/>
        </w:rPr>
        <w:t xml:space="preserve"> </w:t>
      </w:r>
      <w:r>
        <w:rPr>
          <w:rFonts w:ascii="Calibri" w:hAnsi="Calibri"/>
          <w:color w:val="000000"/>
        </w:rPr>
        <w:t xml:space="preserve">18 år. </w:t>
      </w:r>
      <w:r>
        <w:rPr>
          <w:rFonts w:ascii="Calibri" w:hAnsi="Calibri"/>
          <w:b/>
          <w:color w:val="000000"/>
        </w:rPr>
        <w:t>Hvis sælgeren er i tvivl om, om vedkommendes kunder er fyldt 18 år, skal sælgeren kræve forevisning af et identitetsdokument med henblik på kontrol.</w:t>
      </w:r>
      <w:r>
        <w:rPr>
          <w:rFonts w:ascii="Calibri" w:hAnsi="Calibri"/>
          <w:color w:val="000000"/>
        </w:rPr>
        <w:t xml:space="preserve">  </w:t>
      </w:r>
    </w:p>
    <w:p w14:paraId="4AC8667B" w14:textId="77777777" w:rsidR="00041F59" w:rsidRPr="00925A86" w:rsidRDefault="00041F59">
      <w:pPr>
        <w:rPr>
          <w:rFonts w:ascii="Times New Roman" w:hAnsi="Times New Roman"/>
          <w:color w:val="000000" w:themeColor="text1"/>
          <w:sz w:val="24"/>
          <w:szCs w:val="24"/>
        </w:rPr>
      </w:pPr>
    </w:p>
    <w:p w14:paraId="05104BBD" w14:textId="77777777" w:rsidR="00041F59" w:rsidRPr="00925A86" w:rsidRDefault="00041F59">
      <w:pPr>
        <w:rPr>
          <w:rFonts w:ascii="Times New Roman" w:hAnsi="Times New Roman"/>
          <w:color w:val="000000" w:themeColor="text1"/>
          <w:sz w:val="24"/>
          <w:szCs w:val="24"/>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925A86" w:rsidRDefault="00F53B42">
      <w:pPr>
        <w:rPr>
          <w:rFonts w:ascii="Times New Roman" w:hAnsi="Times New Roman"/>
          <w:color w:val="000000" w:themeColor="text1"/>
          <w:sz w:val="24"/>
          <w:szCs w:val="24"/>
        </w:rPr>
      </w:pPr>
    </w:p>
    <w:p w14:paraId="2894D49C" w14:textId="77777777" w:rsidR="00041F59" w:rsidRPr="00925A86" w:rsidRDefault="00041F59">
      <w:pPr>
        <w:spacing w:after="230"/>
        <w:rPr>
          <w:rFonts w:ascii="Times New Roman" w:hAnsi="Times New Roman"/>
          <w:color w:val="000000" w:themeColor="text1"/>
          <w:sz w:val="24"/>
          <w:szCs w:val="24"/>
        </w:rPr>
      </w:pPr>
    </w:p>
    <w:p w14:paraId="54BC5FBD" w14:textId="77777777" w:rsidR="00925A86" w:rsidRDefault="00925A86">
      <w:pPr>
        <w:spacing w:line="289" w:lineRule="exact"/>
        <w:ind w:left="920" w:right="856"/>
        <w:jc w:val="both"/>
        <w:rPr>
          <w:rFonts w:ascii="Calibri" w:hAnsi="Calibri"/>
          <w:color w:val="000000"/>
        </w:rPr>
      </w:pPr>
    </w:p>
    <w:p w14:paraId="70AD24F5" w14:textId="4849DD52"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(3) Enhver operatør af automatisk distributionsudstyr, der leverer tobak og tobaksvarer</w:t>
      </w:r>
      <w:r>
        <w:rPr>
          <w:rFonts w:ascii="Times New Roman" w:hAnsi="Times New Roman"/>
        </w:rPr>
        <w:t xml:space="preserve"> </w:t>
      </w:r>
      <w:r>
        <w:rPr>
          <w:rFonts w:ascii="Calibri" w:hAnsi="Calibri"/>
          <w:color w:val="000000"/>
        </w:rPr>
        <w:t xml:space="preserve">elektroniske cigaretter og genopfyldningsbeholdere </w:t>
      </w:r>
      <w:r>
        <w:rPr>
          <w:rFonts w:ascii="Calibri" w:hAnsi="Calibri"/>
          <w:b/>
          <w:bCs/>
          <w:color w:val="000000"/>
        </w:rPr>
        <w:t>eller nikotinposer</w:t>
      </w:r>
      <w:r>
        <w:rPr>
          <w:rFonts w:ascii="Calibri" w:hAnsi="Calibri"/>
          <w:color w:val="000000"/>
        </w:rPr>
        <w:t>, skal træffe foranstaltninger til at forhindre mindreårige under 18 år i at få adgang</w:t>
      </w:r>
      <w:r>
        <w:rPr>
          <w:rFonts w:ascii="Times New Roman" w:hAnsi="Times New Roman"/>
        </w:rPr>
        <w:t xml:space="preserve"> </w:t>
      </w:r>
      <w:r>
        <w:rPr>
          <w:rFonts w:ascii="Calibri" w:hAnsi="Calibri"/>
          <w:color w:val="000000"/>
        </w:rPr>
        <w:t xml:space="preserve">til sådanne automater.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(4) Enhver operatør af et tobaksudsalg eller en butik, der udbyder tobaksvarer til salg,</w:t>
      </w:r>
      <w:r>
        <w:rPr>
          <w:rFonts w:ascii="Times New Roman" w:hAnsi="Times New Roman"/>
        </w:rPr>
        <w:t xml:space="preserve"> </w:t>
      </w:r>
      <w:r>
        <w:rPr>
          <w:rFonts w:ascii="Calibri" w:hAnsi="Calibri"/>
          <w:color w:val="000000"/>
        </w:rPr>
        <w:t xml:space="preserve">samt elektroniske cigaretter og genopfyldningsbeholdere skal sikre, at disse produkter opbevares på en sådan måde, at kunder kan ikke få adgang til dem uden hjælp fra en medarbejder.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Fjernsalg af tobaksvarer, </w:t>
      </w:r>
      <w:r>
        <w:rPr>
          <w:rFonts w:ascii="Calibri" w:hAnsi="Calibri"/>
          <w:b/>
          <w:bCs/>
          <w:color w:val="000000"/>
        </w:rPr>
        <w:t>nikotinposer</w:t>
      </w:r>
      <w:r>
        <w:rPr>
          <w:rFonts w:ascii="Calibri" w:hAnsi="Calibri"/>
          <w:color w:val="000000"/>
        </w:rPr>
        <w:t xml:space="preserve"> og elektroniske cigaretter og genopfyldningsbeholdere, herunder hvor køberen befinder sig i udlandet, er forbudt.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Erhvervelse eller indførsel fra en anden EU-medlemsstat eller</w:t>
      </w:r>
      <w:r>
        <w:rPr>
          <w:rFonts w:ascii="Times New Roman" w:hAnsi="Times New Roman"/>
        </w:rPr>
        <w:t xml:space="preserve"> </w:t>
      </w:r>
      <w:r>
        <w:rPr>
          <w:rFonts w:ascii="Calibri" w:hAnsi="Calibri"/>
          <w:color w:val="000000"/>
        </w:rPr>
        <w:t>import fra tredjelande af tobaksvarer og elektroniske cigaretter</w:t>
      </w:r>
      <w:r>
        <w:rPr>
          <w:rFonts w:ascii="Times New Roman" w:hAnsi="Times New Roman"/>
        </w:rPr>
        <w:t xml:space="preserve"> </w:t>
      </w:r>
      <w:r>
        <w:rPr>
          <w:rFonts w:ascii="Calibri" w:hAnsi="Calibri"/>
          <w:color w:val="000000"/>
        </w:rPr>
        <w:t xml:space="preserve">og genopfyldningsbeholdere, der sælges på afstand, er også forbudt.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Transaktioner mellem erhvervsdrivende er ikke omfattet af forbuddene i dette stykke.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Artikel 10.</w:t>
      </w:r>
      <w:r>
        <w:rPr>
          <w:rFonts w:ascii="Calibri" w:hAnsi="Calibri"/>
          <w:color w:val="000000"/>
        </w:rPr>
        <w:t xml:space="preserve"> Overtrædelser af bestemmelserne i artikel 3, 3</w:t>
      </w:r>
      <w:r>
        <w:rPr>
          <w:rFonts w:ascii="Calibri" w:hAnsi="Calibri"/>
          <w:i/>
          <w:color w:val="000000"/>
        </w:rPr>
        <w:t>a</w:t>
      </w:r>
      <w:r>
        <w:rPr>
          <w:rFonts w:ascii="Calibri" w:hAnsi="Calibri"/>
          <w:b/>
          <w:color w:val="000000"/>
        </w:rPr>
        <w:t>(1) og (2)</w:t>
      </w:r>
      <w:r>
        <w:rPr>
          <w:rFonts w:ascii="Calibri" w:hAnsi="Calibri"/>
          <w:color w:val="000000"/>
        </w:rPr>
        <w:t>, 3</w:t>
      </w:r>
      <w:r>
        <w:rPr>
          <w:rFonts w:ascii="Calibri" w:hAnsi="Calibri"/>
          <w:i/>
          <w:color w:val="000000"/>
        </w:rPr>
        <w:t>b</w:t>
      </w:r>
      <w:r>
        <w:rPr>
          <w:rFonts w:ascii="Calibri" w:hAnsi="Calibri"/>
          <w:color w:val="000000"/>
        </w:rPr>
        <w:t>, 4</w:t>
      </w:r>
      <w:r>
        <w:rPr>
          <w:rFonts w:ascii="Calibri" w:hAnsi="Calibri"/>
          <w:i/>
          <w:color w:val="000000"/>
        </w:rPr>
        <w:t>a</w:t>
      </w:r>
      <w:r>
        <w:rPr>
          <w:rFonts w:ascii="Calibri" w:hAnsi="Calibri"/>
          <w:color w:val="000000"/>
        </w:rPr>
        <w:t>(1), 4</w:t>
      </w:r>
      <w:r>
        <w:rPr>
          <w:rFonts w:ascii="Calibri" w:hAnsi="Calibri"/>
          <w:i/>
          <w:color w:val="000000"/>
        </w:rPr>
        <w:t>c</w:t>
      </w:r>
      <w:r>
        <w:rPr>
          <w:rFonts w:ascii="Calibri" w:hAnsi="Calibri"/>
          <w:color w:val="000000"/>
        </w:rPr>
        <w:t>(5), 4</w:t>
      </w:r>
      <w:r>
        <w:rPr>
          <w:rFonts w:ascii="Calibri" w:hAnsi="Calibri"/>
          <w:i/>
          <w:color w:val="000000"/>
        </w:rPr>
        <w:t>d</w:t>
      </w:r>
      <w:r>
        <w:rPr>
          <w:rFonts w:ascii="Calibri" w:hAnsi="Calibri"/>
          <w:color w:val="000000"/>
        </w:rPr>
        <w:t>, 4</w:t>
      </w:r>
      <w:r>
        <w:rPr>
          <w:rFonts w:ascii="Calibri" w:hAnsi="Calibri"/>
          <w:i/>
          <w:color w:val="000000"/>
        </w:rPr>
        <w:t>e</w:t>
      </w:r>
      <w:r>
        <w:rPr>
          <w:rFonts w:ascii="Calibri" w:hAnsi="Calibri"/>
          <w:color w:val="000000"/>
        </w:rPr>
        <w:t>, 4</w:t>
      </w:r>
      <w:r>
        <w:rPr>
          <w:rFonts w:ascii="Calibri" w:hAnsi="Calibri"/>
          <w:i/>
          <w:color w:val="000000"/>
        </w:rPr>
        <w:t>f</w:t>
      </w:r>
      <w:r>
        <w:rPr>
          <w:rFonts w:ascii="Calibri" w:hAnsi="Calibri"/>
          <w:color w:val="000000"/>
        </w:rPr>
        <w:t>, 4</w:t>
      </w:r>
      <w:r>
        <w:rPr>
          <w:rFonts w:ascii="Calibri" w:hAnsi="Calibri"/>
          <w:i/>
          <w:color w:val="000000"/>
        </w:rPr>
        <w:t>g</w:t>
      </w:r>
      <w:r>
        <w:rPr>
          <w:rFonts w:ascii="Calibri" w:hAnsi="Calibri"/>
          <w:color w:val="000000"/>
        </w:rPr>
        <w:t>(1), (6) og (7), i artikel 4</w:t>
      </w:r>
      <w:r>
        <w:rPr>
          <w:rFonts w:ascii="Calibri" w:hAnsi="Calibri"/>
          <w:i/>
          <w:color w:val="000000"/>
        </w:rPr>
        <w:t>h</w:t>
      </w:r>
      <w:r>
        <w:rPr>
          <w:rFonts w:ascii="Calibri" w:hAnsi="Calibri"/>
          <w:color w:val="000000"/>
        </w:rPr>
        <w:t xml:space="preserve"> og artikel 7, 8(1) og artikel 9 i denne lov samt overtrædelser af bestemmelserne i den storhertugelige anordning, der skal udstedes i henhold til artikel 4 og 4</w:t>
      </w:r>
      <w:r>
        <w:rPr>
          <w:rFonts w:ascii="Calibri" w:hAnsi="Calibri"/>
          <w:i/>
          <w:color w:val="000000"/>
        </w:rPr>
        <w:t>e</w:t>
      </w:r>
      <w:r>
        <w:rPr>
          <w:rFonts w:ascii="Calibri" w:hAnsi="Calibri"/>
          <w:color w:val="000000"/>
        </w:rPr>
        <w:t xml:space="preserve">, straffes med en bøde på mellem 251 og 50 000 EUR.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Overtrædelser af bestemmelserne i artikel 4a(2) og artikel 6 i denne lov straffes med en bøde på mellem 25 og 250 EUR.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En erhvervsdrivende af en af de virksomheder, der er nævnt i stk. 1 under stk. 13, litra a), 17 og 18 i artikel 6, eller en person, der handler på dennes vegne, og som forsætligt ikke sikrer, at virksomheden overholder forbuddet i ovennævnte artikel, straffes med en bøde på mellem 251 og 1 000 EUR. Den samme sanktion gælder for enhver erhvervsdrivende eller person, der handler på vegne af en erhvervsdrivende, som i en virksomhed installerer et rygerum, der klart er identificeret som et rum forbeholdt rygere, men som ikke opfylder kravene i stk. 3 i ovennævnte artikel.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I tilfælde af gentagen overtrædelse inden for to år efter den endelige domfældelse kan de i denne artikels stk. 1 omhandlede bøder forhøjes til det dobbelte af maksimumsbeløbet.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Bestemmelserne i straffelovens bog 1 og artikel 130-1-132-1 i strafferetsplejeloven finder anvendelse på de sanktioner, der er fastsat i denne artikels stk. 1.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Artikel 10</w:t>
      </w:r>
      <w:r>
        <w:rPr>
          <w:rFonts w:ascii="Calibri" w:hAnsi="Calibri"/>
          <w:b/>
          <w:i/>
          <w:color w:val="000000"/>
          <w:u w:val="single"/>
        </w:rPr>
        <w:t>a</w:t>
      </w:r>
      <w:r>
        <w:rPr>
          <w:rFonts w:ascii="Calibri" w:hAnsi="Calibri"/>
          <w:b/>
          <w:color w:val="000000"/>
        </w:rPr>
        <w:t>. (1) Med forbehold af straffelovens artikel 10 skal overtrædelser af bestemmelserne</w:t>
      </w:r>
      <w:r>
        <w:rPr>
          <w:rFonts w:ascii="Times New Roman" w:hAnsi="Times New Roman"/>
        </w:rPr>
        <w:t xml:space="preserve"> </w:t>
      </w:r>
      <w:r>
        <w:t xml:space="preserve">i </w:t>
      </w:r>
      <w:r>
        <w:rPr>
          <w:rFonts w:ascii="Calibri" w:hAnsi="Calibri"/>
          <w:b/>
          <w:color w:val="000000"/>
        </w:rPr>
        <w:t>denne lov undersøges og registreres af embedsmænd fra told- og punktafgiftsforvaltningen</w:t>
      </w:r>
      <w:r>
        <w:rPr>
          <w:rFonts w:ascii="Times New Roman" w:hAnsi="Times New Roman"/>
        </w:rPr>
        <w:t xml:space="preserve"> </w:t>
      </w:r>
      <w:r>
        <w:rPr>
          <w:rFonts w:ascii="Calibri" w:hAnsi="Calibri"/>
          <w:b/>
          <w:color w:val="000000"/>
        </w:rPr>
        <w:t>i det følgende benævnt "ADA", der er seniorpolitiassistenter og højere. Ovennævnte embedsmænd kan kontrollere overholdelsen af bestemmelserne i denne lov.</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925A86" w:rsidRDefault="00041F59">
      <w:pPr>
        <w:spacing w:after="137"/>
        <w:rPr>
          <w:rFonts w:ascii="Times New Roman" w:hAnsi="Times New Roman"/>
          <w:color w:val="000000" w:themeColor="text1"/>
          <w:sz w:val="24"/>
          <w:szCs w:val="24"/>
          <w:lang w:val="de-DE"/>
        </w:rPr>
      </w:pPr>
    </w:p>
    <w:p w14:paraId="4F0EACED" w14:textId="77777777" w:rsidR="00041F59" w:rsidRPr="00925A86" w:rsidRDefault="00041F59">
      <w:pPr>
        <w:rPr>
          <w:rFonts w:ascii="Times New Roman" w:hAnsi="Times New Roman"/>
          <w:color w:val="000000" w:themeColor="text1"/>
          <w:sz w:val="24"/>
          <w:szCs w:val="24"/>
          <w:lang w:val="de-DE"/>
        </w:rPr>
      </w:pPr>
    </w:p>
    <w:p w14:paraId="010CD871" w14:textId="77777777" w:rsidR="00041F59" w:rsidRPr="00925A86" w:rsidRDefault="00041F59">
      <w:pPr>
        <w:rPr>
          <w:rFonts w:ascii="Times New Roman" w:hAnsi="Times New Roman"/>
          <w:color w:val="000000" w:themeColor="text1"/>
          <w:sz w:val="24"/>
          <w:szCs w:val="24"/>
          <w:lang w:val="de-DE"/>
        </w:rPr>
      </w:pPr>
    </w:p>
    <w:p w14:paraId="5AA8C478" w14:textId="77777777" w:rsidR="00041F59" w:rsidRPr="00925A86" w:rsidRDefault="00041F59">
      <w:pPr>
        <w:rPr>
          <w:rFonts w:ascii="Times New Roman" w:hAnsi="Times New Roman"/>
          <w:color w:val="000000" w:themeColor="text1"/>
          <w:sz w:val="24"/>
          <w:szCs w:val="24"/>
          <w:lang w:val="de-DE"/>
        </w:rPr>
      </w:pPr>
    </w:p>
    <w:p w14:paraId="17860756" w14:textId="77777777" w:rsidR="00041F59" w:rsidRPr="00925A86" w:rsidRDefault="00041F59">
      <w:pPr>
        <w:spacing w:after="230"/>
        <w:rPr>
          <w:rFonts w:ascii="Times New Roman" w:hAnsi="Times New Roman"/>
          <w:color w:val="000000" w:themeColor="text1"/>
          <w:sz w:val="24"/>
          <w:szCs w:val="24"/>
          <w:lang w:val="de-DE"/>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De embedsmænd fra told- og punktafgiftsforvaltningen, der henvises til i denne artikel, har status som retshåndhævelsespersonale. De indberetter eventuelle overtrædelser i skriftlige erklæringer, der tjener som bevis, hvis der ikke foreligger bevis for det modsatte. Deres kompetence omfatter hele Storhertugdømmet Luxembourgs område.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Inden de påbegynder deres hverv, aflægger de følgende ed ved den luxembourgske distriktsdomstol, der træffer afgørelse i civile sager: " "Jeg sværger, at jeg vil udføre mine opgaver med integritet, nøjagtighed og upartiskhed."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(4) De i denne artikel omhandlede ADA-embedsmænd skal have gennemgået en særlig faglig uddannelse</w:t>
      </w:r>
      <w:r>
        <w:rPr>
          <w:rFonts w:ascii="Times New Roman" w:hAnsi="Times New Roman"/>
        </w:rPr>
        <w:t xml:space="preserve"> </w:t>
      </w:r>
      <w:r>
        <w:rPr>
          <w:rFonts w:ascii="Calibri" w:hAnsi="Calibri"/>
          <w:b/>
          <w:color w:val="000000"/>
        </w:rPr>
        <w:t>vedrørende undersøgelse og påvisning af overtrædelser og bestemmelserne i denne</w:t>
      </w:r>
      <w:r>
        <w:rPr>
          <w:rFonts w:ascii="Times New Roman" w:hAnsi="Times New Roman"/>
        </w:rPr>
        <w:t xml:space="preserve"> </w:t>
      </w:r>
      <w:r>
        <w:rPr>
          <w:rFonts w:ascii="Calibri" w:hAnsi="Calibri"/>
          <w:b/>
          <w:color w:val="000000"/>
        </w:rPr>
        <w:t xml:space="preserve">lov og gennemførelsesbestemmelserne hertil.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ADA tilrettelægger specifik faglig uddannelse som led i efteruddannelsen af</w:t>
      </w:r>
      <w:r>
        <w:rPr>
          <w:rFonts w:ascii="Times New Roman" w:hAnsi="Times New Roman"/>
        </w:rPr>
        <w:t xml:space="preserve"> </w:t>
      </w:r>
      <w:r>
        <w:rPr>
          <w:rFonts w:ascii="Calibri" w:hAnsi="Calibri"/>
          <w:b/>
          <w:color w:val="000000"/>
        </w:rPr>
        <w:t xml:space="preserve">offentligt ansatte som ADA kræver.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Det specifikke faglige uddannelsesprogram, som er teoretisk og højst kan udgøre 10 timer, skal omfatte efterforskning og påvisning af overtrædelser i henhold til denne lov</w:t>
      </w:r>
      <w:r>
        <w:rPr>
          <w:rFonts w:ascii="Times New Roman" w:hAnsi="Times New Roman"/>
        </w:rPr>
        <w:t xml:space="preserve"> </w:t>
      </w:r>
      <w:r>
        <w:rPr>
          <w:rFonts w:ascii="Calibri" w:hAnsi="Calibri"/>
          <w:b/>
          <w:color w:val="000000"/>
        </w:rPr>
        <w:t>og gennemførelsesbestemmelserne hertil. Indholdet af uddannelsesprogrammet specificeres af en</w:t>
      </w:r>
      <w:r>
        <w:rPr>
          <w:rFonts w:ascii="Times New Roman" w:hAnsi="Times New Roman"/>
        </w:rPr>
        <w:t xml:space="preserve"> </w:t>
      </w:r>
      <w:r>
        <w:rPr>
          <w:rFonts w:ascii="Calibri" w:hAnsi="Calibri"/>
          <w:b/>
          <w:color w:val="000000"/>
        </w:rPr>
        <w:t>storhertugelig anordning.  Denne forordning fastsætter ligeledes de nærmere regler for den kontrol af viden, som ADA foretager senest tre måneder efter udløbet af den periode, hvor</w:t>
      </w:r>
      <w:r>
        <w:rPr>
          <w:rFonts w:ascii="Times New Roman" w:hAnsi="Times New Roman"/>
        </w:rPr>
        <w:t xml:space="preserve"> </w:t>
      </w:r>
      <w:r>
        <w:rPr>
          <w:rFonts w:ascii="Calibri" w:hAnsi="Calibri"/>
          <w:b/>
          <w:color w:val="000000"/>
        </w:rPr>
        <w:t xml:space="preserve">kurserne afholdes.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Kontrollen er markeret særskilt med to markører. En ansøger består eksamen, hvis vedkommende har</w:t>
      </w:r>
      <w:r>
        <w:t xml:space="preserve"> </w:t>
      </w:r>
      <w:r>
        <w:rPr>
          <w:rFonts w:ascii="Calibri" w:hAnsi="Calibri"/>
          <w:b/>
          <w:color w:val="000000"/>
        </w:rPr>
        <w:t>opnået mindst halvdelen af det højeste antal point ved hver af prøverne, forudsat at</w:t>
      </w:r>
      <w:r>
        <w:rPr>
          <w:rFonts w:ascii="Times New Roman" w:hAnsi="Times New Roman"/>
        </w:rPr>
        <w:t xml:space="preserve"> </w:t>
      </w:r>
      <w:r>
        <w:rPr>
          <w:rFonts w:ascii="Calibri" w:hAnsi="Calibri"/>
          <w:b/>
          <w:color w:val="000000"/>
        </w:rPr>
        <w:t xml:space="preserve">det samlede antal point, der opnås, er mindst tre femtedele af det samlede maksimale antal point, der kan opnås.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Hvis ansøgeren ikke består, kan vedkommende deltage i næste videnskontrol, der tilrettelægges af</w:t>
      </w:r>
      <w:r>
        <w:rPr>
          <w:rFonts w:ascii="Times New Roman" w:hAnsi="Times New Roman"/>
        </w:rPr>
        <w:t xml:space="preserve"> </w:t>
      </w:r>
      <w:r>
        <w:rPr>
          <w:rFonts w:ascii="Calibri" w:hAnsi="Calibri"/>
          <w:b/>
          <w:color w:val="000000"/>
        </w:rPr>
        <w:t xml:space="preserve">antidumpingaftalen. Ansøgeren må gerne deltage i uddannelsen igen.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(5) Læger i sundhedsdirektoratet, der har status som retshåndhævelsespersonale i henhold til</w:t>
      </w:r>
      <w:r>
        <w:rPr>
          <w:rFonts w:ascii="Times New Roman" w:hAnsi="Times New Roman"/>
        </w:rPr>
        <w:t xml:space="preserve"> </w:t>
      </w:r>
      <w:r>
        <w:rPr>
          <w:rFonts w:ascii="Calibri" w:hAnsi="Calibri"/>
          <w:b/>
          <w:color w:val="000000"/>
        </w:rPr>
        <w:t>artikel 8 i den ændrede lov af 21. november 1980 om sundhedsdirektoratets organisation</w:t>
      </w:r>
      <w:r>
        <w:t>, er</w:t>
      </w:r>
      <w:r>
        <w:rPr>
          <w:rFonts w:ascii="Calibri" w:hAnsi="Calibri"/>
          <w:b/>
          <w:color w:val="000000"/>
        </w:rPr>
        <w:t>ansvarlige for undersøgelse og påvisning af overtrædelser af artikel 3</w:t>
      </w:r>
      <w:r>
        <w:rPr>
          <w:rFonts w:ascii="Calibri" w:hAnsi="Calibri"/>
          <w:b/>
          <w:i/>
          <w:color w:val="000000"/>
        </w:rPr>
        <w:t>a</w:t>
      </w:r>
      <w:r>
        <w:rPr>
          <w:rFonts w:ascii="Calibri" w:hAnsi="Calibri"/>
          <w:b/>
          <w:color w:val="000000"/>
        </w:rPr>
        <w:t>(1) og (2), 3</w:t>
      </w:r>
      <w:r>
        <w:rPr>
          <w:rFonts w:ascii="Calibri" w:hAnsi="Calibri"/>
          <w:b/>
          <w:i/>
          <w:color w:val="000000"/>
        </w:rPr>
        <w:t>b</w:t>
      </w:r>
      <w:r>
        <w:rPr>
          <w:rFonts w:ascii="Calibri" w:hAnsi="Calibri"/>
          <w:b/>
          <w:color w:val="000000"/>
        </w:rPr>
        <w:t xml:space="preserve">, 7 og 9 i denne lov.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Artikel 11.</w:t>
      </w:r>
      <w:r>
        <w:rPr>
          <w:rFonts w:ascii="Calibri" w:hAnsi="Calibri"/>
          <w:color w:val="000000"/>
        </w:rPr>
        <w:t xml:space="preserve"> I tilfælde </w:t>
      </w:r>
      <w:r>
        <w:rPr>
          <w:rFonts w:ascii="Calibri" w:hAnsi="Calibri"/>
          <w:strike/>
          <w:color w:val="000000"/>
        </w:rPr>
        <w:t>overtrædelser</w:t>
      </w:r>
      <w:r>
        <w:rPr>
          <w:rFonts w:ascii="Calibri" w:hAnsi="Calibri"/>
          <w:color w:val="000000"/>
        </w:rPr>
        <w:t xml:space="preserve"> af </w:t>
      </w:r>
      <w:r>
        <w:rPr>
          <w:rFonts w:ascii="Calibri" w:hAnsi="Calibri"/>
          <w:b/>
          <w:color w:val="000000"/>
        </w:rPr>
        <w:t xml:space="preserve">overtrædelser </w:t>
      </w:r>
      <w:r>
        <w:rPr>
          <w:rFonts w:ascii="Calibri" w:hAnsi="Calibri"/>
          <w:color w:val="000000"/>
        </w:rPr>
        <w:t xml:space="preserve">i henhold til bestemmelserne i </w:t>
      </w:r>
      <w:r>
        <w:rPr>
          <w:rFonts w:ascii="Calibri" w:hAnsi="Calibri"/>
          <w:b/>
          <w:color w:val="000000"/>
        </w:rPr>
        <w:t xml:space="preserve">artikel 4, stk. 2, og </w:t>
      </w:r>
      <w:r>
        <w:rPr>
          <w:rFonts w:ascii="Calibri" w:hAnsi="Calibri"/>
          <w:color w:val="000000"/>
        </w:rPr>
        <w:t xml:space="preserve">artikel 6, kan bøder udstedes af embedsmænd fra det storhertugelige politi, der er bemyndiget hertil af generaldirektøren for det storhertugelige politi og tjenestemænd i told- og punktafgiftsforvaltningen, der er bemyndiget hertil af direktøren for told- og afgiftsforvaltningen.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I tilfælde af handlinger, der er strafbare i henhold til artikel 6, stk. 1, nr. 12)</w:t>
      </w:r>
      <w:r>
        <w:t xml:space="preserve">, </w:t>
      </w:r>
      <w:r>
        <w:rPr>
          <w:rFonts w:ascii="Calibri" w:hAnsi="Calibri"/>
          <w:b/>
          <w:color w:val="000000"/>
        </w:rPr>
        <w:t>kan kommunalt personale, der opfylder</w:t>
      </w:r>
      <w:r>
        <w:rPr>
          <w:rFonts w:ascii="Times New Roman" w:hAnsi="Times New Roman"/>
        </w:rPr>
        <w:t xml:space="preserve"> </w:t>
      </w:r>
      <w:r>
        <w:rPr>
          <w:rFonts w:ascii="Calibri" w:hAnsi="Calibri"/>
          <w:b/>
          <w:color w:val="000000"/>
        </w:rPr>
        <w:t>betingelserne i artikel 15-1</w:t>
      </w:r>
      <w:r>
        <w:rPr>
          <w:rFonts w:ascii="Calibri" w:hAnsi="Calibri"/>
          <w:b/>
          <w:i/>
          <w:color w:val="000000"/>
        </w:rPr>
        <w:t>a</w:t>
      </w:r>
      <w:r>
        <w:rPr>
          <w:rFonts w:ascii="Calibri" w:hAnsi="Calibri"/>
          <w:b/>
          <w:color w:val="000000"/>
        </w:rPr>
        <w:t xml:space="preserve"> i straffeloven, idømme bøder. </w:t>
      </w:r>
    </w:p>
    <w:p w14:paraId="072F0268" w14:textId="77777777" w:rsidR="00041F59" w:rsidRPr="00925A86"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925A86" w:rsidRDefault="00041F59">
      <w:pPr>
        <w:rPr>
          <w:rFonts w:ascii="Times New Roman" w:hAnsi="Times New Roman"/>
          <w:color w:val="000000" w:themeColor="text1"/>
          <w:sz w:val="24"/>
          <w:szCs w:val="24"/>
        </w:rPr>
      </w:pPr>
    </w:p>
    <w:p w14:paraId="0502DDE5" w14:textId="77777777" w:rsidR="00041F59" w:rsidRPr="00925A86" w:rsidRDefault="00041F59">
      <w:pPr>
        <w:rPr>
          <w:rFonts w:ascii="Times New Roman" w:hAnsi="Times New Roman"/>
          <w:color w:val="000000" w:themeColor="text1"/>
          <w:sz w:val="24"/>
          <w:szCs w:val="24"/>
        </w:rPr>
      </w:pPr>
    </w:p>
    <w:p w14:paraId="5A0742E0" w14:textId="77777777" w:rsidR="00041F59" w:rsidRPr="00925A86" w:rsidRDefault="00041F59">
      <w:pPr>
        <w:rPr>
          <w:rFonts w:ascii="Times New Roman" w:hAnsi="Times New Roman"/>
          <w:color w:val="000000" w:themeColor="text1"/>
          <w:sz w:val="24"/>
          <w:szCs w:val="24"/>
        </w:rPr>
      </w:pPr>
    </w:p>
    <w:p w14:paraId="68F15F2A" w14:textId="77777777" w:rsidR="00041F59" w:rsidRPr="00925A86"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Bøden er betinget af, at lovovertræderen indvilger i straks at betale beløbet til de prækvalificerede embedsmænd, eller, hvis bøden ikke kan opkræves på det sted, hvor overtrædelsen blev begået, at betale den inden for den frist, der er fastsat i stævningen.</w:t>
      </w:r>
      <w:r>
        <w:rPr>
          <w:rFonts w:ascii="Times New Roman" w:hAnsi="Times New Roman"/>
        </w:rPr>
        <w:t xml:space="preserve"> </w:t>
      </w:r>
      <w:r>
        <w:rPr>
          <w:rFonts w:ascii="Calibri" w:hAnsi="Calibri"/>
          <w:color w:val="000000"/>
        </w:rPr>
        <w:t xml:space="preserve">I sidstnævnte tilfælde kan betalingen ske til det Storhertugdømmets politi, told- og punktafgiftskontoret eller ved overførsel til den post- eller bankkonto, der er angivet i samme stævning.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Bøden erstattes af regelmæssige minutter: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hvis lovovertræderen ikke har betalt inden for den fastsatte frist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hvis gerningsmanden erklærer, at han eller hun er uvillig eller ude af stand til at betale bøden/bøderne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hvis lovovertræderen var mindreårig på tidspunktet for lovovertrædelsen.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Bødens størrelse og betalingsmåderne fastsættes ved en storhertugelig anordning, som også fastsætter de nærmere regler for anvendelsen af denne artikel.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Eventuelle påmindelsesomkostninger er en integreret del af gebyret.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Det beløb, der opkræves i form af et bøde, må ikke overstige den maksimumsbøde, der er fastsat i artikel 10, stk. 2.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Betaling af bøden inden for 30 dage fra det tidspunkt, hvor overtrædelsen er konstateret, plus eventuelle omkostninger i henhold til dette stykkes femte afsnit, bringer alle retsprocedurer til ophør.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Hvis bøden er betalt efter udløbet af denne frist, tilbagebetales den i tilfælde af frifindelse og fratrækkes den pålagte bøde og eventuelle sagsomkostninger i tilfælde af domfældelse.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STORHERTUGDØMMET LUXEMBOURGS</w:t>
                          </w:r>
                          <w:r>
                            <w:rPr>
                              <w:rFonts w:ascii="Arial" w:hAnsi="Arial"/>
                              <w:sz w:val="18"/>
                            </w:rPr>
                            <w:br/>
                            <w:t>REGERING</w:t>
                          </w:r>
                        </w:p>
                        <w:p w14:paraId="6F893916" w14:textId="332D86BE" w:rsidR="00F53B42" w:rsidRPr="00F53B42" w:rsidRDefault="00F53B42" w:rsidP="00F53B42">
                          <w:pPr>
                            <w:rPr>
                              <w:rFonts w:ascii="Arial" w:hAnsi="Arial" w:cs="Arial"/>
                              <w:color w:val="FF0000"/>
                            </w:rPr>
                          </w:pPr>
                          <w:r>
                            <w:rPr>
                              <w:rFonts w:ascii="Arial" w:hAnsi="Arial"/>
                              <w:color w:val="FF0000"/>
                              <w:sz w:val="18"/>
                            </w:rPr>
                            <w:t>Ministeriet for sundhed og social sikring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STORHERTUGDØMMET LUXEMBOURGS</w:t>
                    </w:r>
                    <w:r>
                      <w:rPr>
                        <w:sz w:val="18"/>
                        <w:rFonts w:ascii="Arial" w:hAnsi="Arial"/>
                      </w:rPr>
                      <w:br/>
                    </w:r>
                    <w:r>
                      <w:rPr>
                        <w:sz w:val="18"/>
                        <w:rFonts w:ascii="Arial" w:hAnsi="Arial"/>
                      </w:rPr>
                      <w:t xml:space="preserve">REGERING</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Ministeriet for sundhed og social sikring</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63545"/>
    <w:rsid w:val="000B0655"/>
    <w:rsid w:val="00116C62"/>
    <w:rsid w:val="00171ECB"/>
    <w:rsid w:val="003749AD"/>
    <w:rsid w:val="00425ADD"/>
    <w:rsid w:val="0043140F"/>
    <w:rsid w:val="00492E1A"/>
    <w:rsid w:val="00522D19"/>
    <w:rsid w:val="00547F30"/>
    <w:rsid w:val="006F0055"/>
    <w:rsid w:val="00745611"/>
    <w:rsid w:val="00840F76"/>
    <w:rsid w:val="00925A86"/>
    <w:rsid w:val="009C5355"/>
    <w:rsid w:val="00A51DA9"/>
    <w:rsid w:val="00C53DC4"/>
    <w:rsid w:val="00C72FCA"/>
    <w:rsid w:val="00CA2F70"/>
    <w:rsid w:val="00CC42AF"/>
    <w:rsid w:val="00F41321"/>
    <w:rsid w:val="00F53B42"/>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6541</Words>
  <Characters>37289</Characters>
  <Application>Microsoft Office Word</Application>
  <DocSecurity>0</DocSecurity>
  <Lines>310</Lines>
  <Paragraphs>87</Paragraphs>
  <ScaleCrop>false</ScaleCrop>
  <Company>CTIE</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2024-08-21T12:02:00Z</dcterms:modified>
</cp:coreProperties>
</file>