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Σχέδιο</w:t>
      </w:r>
    </w:p>
    <w:p w14:paraId="4A4B6B25" w14:textId="77777777" w:rsidR="00707565" w:rsidRDefault="00707565" w:rsidP="00707565">
      <w:pPr>
        <w:ind w:left="7749" w:right="333" w:hanging="378"/>
        <w:rPr>
          <w:b/>
          <w:szCs w:val="24"/>
        </w:rPr>
      </w:pPr>
    </w:p>
    <w:p w14:paraId="5743EC91" w14:textId="5720CCB7" w:rsidR="00F57874" w:rsidRPr="00A5009C" w:rsidRDefault="00010B6F">
      <w:pPr>
        <w:jc w:val="center"/>
        <w:rPr>
          <w:b/>
          <w:caps/>
        </w:rPr>
      </w:pPr>
      <w:r>
        <w:rPr>
          <w:b/>
          <w:caps/>
        </w:rPr>
        <w:t>ΝΟΜΟ</w:t>
      </w:r>
      <w:r w:rsidR="00BE42F0">
        <w:rPr>
          <w:b/>
          <w:caps/>
        </w:rPr>
        <w:t>Σ</w:t>
      </w:r>
    </w:p>
    <w:p w14:paraId="0740D84F" w14:textId="5A84A9FA" w:rsidR="00DE3FCE" w:rsidRPr="00C04037" w:rsidRDefault="00DE3FCE" w:rsidP="00DE3FCE">
      <w:pPr>
        <w:jc w:val="center"/>
        <w:rPr>
          <w:b/>
          <w:caps/>
        </w:rPr>
      </w:pPr>
      <w:r>
        <w:rPr>
          <w:b/>
          <w:caps/>
        </w:rPr>
        <w:t>ΣΧΕΤΙΚΑ ΜΕ ΤΙΣ ΤΡΟΠΟΠΟΙΗΣΕΙΣ ΤΩΝ ΑΡΘΡΩΝ 2 ΚΑΙ 20</w:t>
      </w:r>
      <w:r>
        <w:rPr>
          <w:b/>
          <w:caps/>
          <w:vertAlign w:val="superscript"/>
        </w:rPr>
        <w:t>7</w:t>
      </w:r>
      <w:r>
        <w:rPr>
          <w:b/>
          <w:caps/>
        </w:rPr>
        <w:t xml:space="preserve"> ΤΟΥ ΔΙΚΑΙΟΥ ΤΗΣ ΔΗΜΟΚΡΑΤΙΑΣ ΤΗΣ ΛΙΘΟΥΑΝΙΑΣ ΓΙΑ ΤΑ ΤΥΧΕΡΑ ΠΑΙΧΝΙΔΙΑ</w:t>
      </w:r>
    </w:p>
    <w:p w14:paraId="5A20FC9E" w14:textId="43E302BE" w:rsidR="00F57874" w:rsidRPr="00C04037" w:rsidRDefault="00DE3FCE" w:rsidP="00DE3FCE">
      <w:pPr>
        <w:jc w:val="center"/>
        <w:rPr>
          <w:b/>
          <w:caps/>
        </w:rPr>
      </w:pPr>
      <w:r>
        <w:rPr>
          <w:b/>
          <w:caps/>
        </w:rPr>
        <w:t xml:space="preserve">ΑΡΙΘ. IX-325 </w:t>
      </w:r>
    </w:p>
    <w:p w14:paraId="6FB2CCE1" w14:textId="77777777" w:rsidR="007A525D" w:rsidRDefault="007A525D">
      <w:pPr>
        <w:jc w:val="center"/>
        <w:rPr>
          <w:szCs w:val="24"/>
        </w:rPr>
      </w:pPr>
    </w:p>
    <w:p w14:paraId="08D1F4BF" w14:textId="79D018B6" w:rsidR="00F57874" w:rsidRPr="00F12EAF" w:rsidRDefault="00BE42F0">
      <w:pPr>
        <w:jc w:val="center"/>
        <w:rPr>
          <w:szCs w:val="24"/>
        </w:rPr>
      </w:pPr>
      <w:r w:rsidRPr="00BE42F0">
        <w:t xml:space="preserve">Αριθ. </w:t>
      </w:r>
      <w:r w:rsidRPr="00BE42F0">
        <w:t> </w:t>
      </w:r>
      <w:r w:rsidRPr="00BE42F0">
        <w:t> </w:t>
      </w:r>
      <w:r w:rsidRPr="00BE42F0">
        <w:t> </w:t>
      </w:r>
      <w:r w:rsidRPr="00BE42F0">
        <w:t> </w:t>
      </w:r>
      <w:r w:rsidRPr="00BE42F0">
        <w:t xml:space="preserve"> της </w:t>
      </w:r>
      <w:r w:rsidRPr="00BE42F0">
        <w:t> </w:t>
      </w:r>
      <w:r w:rsidRPr="00BE42F0">
        <w:t> </w:t>
      </w:r>
      <w:r w:rsidRPr="00BE42F0">
        <w:t xml:space="preserve"> </w:t>
      </w:r>
      <w:r w:rsidRPr="00BE42F0">
        <w:t> </w:t>
      </w:r>
      <w:r w:rsidRPr="00BE42F0">
        <w:t> </w:t>
      </w:r>
      <w:r w:rsidRPr="00BE42F0">
        <w:t> </w:t>
      </w:r>
      <w:r w:rsidRPr="00BE42F0">
        <w:t> </w:t>
      </w:r>
      <w:r w:rsidRPr="00BE42F0">
        <w:t> </w:t>
      </w:r>
      <w:r w:rsidRPr="00BE42F0">
        <w:t xml:space="preserve"> 2024</w:t>
      </w:r>
    </w:p>
    <w:p w14:paraId="79A6EADF" w14:textId="77777777" w:rsidR="00F57874" w:rsidRPr="00F12EAF" w:rsidRDefault="00010B6F">
      <w:pPr>
        <w:jc w:val="center"/>
        <w:rPr>
          <w:b/>
          <w:szCs w:val="24"/>
        </w:rPr>
      </w:pPr>
      <w:r>
        <w:t>Βίλνιους</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Άρθρο 1. Τροποποίηση του άρθρου 2</w:t>
      </w:r>
    </w:p>
    <w:p w14:paraId="56191B23" w14:textId="193C5573" w:rsidR="008074DB" w:rsidRDefault="008074DB" w:rsidP="00831EBE">
      <w:pPr>
        <w:ind w:firstLine="720"/>
        <w:jc w:val="both"/>
        <w:rPr>
          <w:szCs w:val="24"/>
        </w:rPr>
      </w:pPr>
      <w:r>
        <w:t>Το άρθρο 2 παράγραφος 31 τροποποιείται και διατυπώνεται ως εξής:</w:t>
      </w:r>
    </w:p>
    <w:p w14:paraId="2BD267D2" w14:textId="7978C855" w:rsidR="003D1173" w:rsidRDefault="003D1173" w:rsidP="00831EBE">
      <w:pPr>
        <w:ind w:firstLine="720"/>
        <w:jc w:val="both"/>
        <w:rPr>
          <w:color w:val="000000"/>
        </w:rPr>
      </w:pPr>
      <w:r>
        <w:t>«31.</w:t>
      </w:r>
      <w:r>
        <w:rPr>
          <w:color w:val="000000"/>
        </w:rPr>
        <w:t xml:space="preserve"> Ως «υπεύθυνος επεξεργασίας», που χρησιμοποιείται στον παρόντα νόμο, νοείται ο όρος «δικαιούχος» όπως ορίζεται στον νόμο της Δημοκρατίας της Λιθουανίας για την πρόληψη της νομιμοποίησης εσόδων από παράνομες δραστηριότητες και της χρηματοδότησης της τρομοκρατίας. Οι λοιποί όροι που χρησιμοποιούνται στον παρόντα νόμο νοούνται όπως ορίζονται στον νόμο για την πρόληψη της νομιμοποίησης εσόδων από παράνομες δραστηριότητες και της χρηματοδότησης της τρομοκρατίας, στον νόμο της Δημοκρατίας της Λιθουανίας για τη χρηματοοικονομική λογιστική και στον νόμο της Δημοκρατίας της Λιθουανίας για τις πληρωμές.».</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Άρθρο 2. Τροποποίηση του άρθρου 20</w:t>
      </w:r>
      <w:r>
        <w:rPr>
          <w:b/>
          <w:vertAlign w:val="superscript"/>
        </w:rPr>
        <w:t>7</w:t>
      </w:r>
    </w:p>
    <w:p w14:paraId="03C9EC55" w14:textId="7E9093D8" w:rsidR="00241196" w:rsidRPr="00AE66B1" w:rsidRDefault="00241196" w:rsidP="00AE66B1">
      <w:pPr>
        <w:ind w:firstLine="720"/>
        <w:jc w:val="both"/>
        <w:rPr>
          <w:color w:val="000000"/>
          <w:szCs w:val="24"/>
        </w:rPr>
      </w:pPr>
      <w:r>
        <w:t>Το άρθρο 20</w:t>
      </w:r>
      <w:r>
        <w:rPr>
          <w:vertAlign w:val="superscript"/>
        </w:rPr>
        <w:t>7</w:t>
      </w:r>
      <w:r>
        <w:t xml:space="preserve"> τροποποιείται και διατυπώνεται ως εξής:</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Άρθρο 20</w:t>
      </w:r>
      <w:r>
        <w:rPr>
          <w:b/>
          <w:color w:val="000000"/>
          <w:vertAlign w:val="superscript"/>
        </w:rPr>
        <w:t>7</w:t>
      </w:r>
      <w:r>
        <w:rPr>
          <w:b/>
          <w:color w:val="000000"/>
        </w:rPr>
        <w:t xml:space="preserve">. </w:t>
      </w:r>
      <w:r>
        <w:rPr>
          <w:b/>
        </w:rPr>
        <w:t>Μέτρα για την καταπολέμηση των παράνομων φορέων εκμετάλλευσης διαδικτυακών τυχερών παιχνιδιών και ρυθμίσεις σχετικά με τις πληρωμές για τη συμμετοχή σε διαδικτυακά τυχερά παιχνίδια</w:t>
      </w:r>
    </w:p>
    <w:p w14:paraId="422F135F" w14:textId="6B476C79" w:rsidR="003712E3" w:rsidRPr="00D92212" w:rsidRDefault="003712E3" w:rsidP="003712E3">
      <w:pPr>
        <w:ind w:firstLine="720"/>
        <w:jc w:val="both"/>
        <w:rPr>
          <w:bCs/>
          <w:color w:val="000000"/>
          <w:szCs w:val="24"/>
        </w:rPr>
      </w:pPr>
      <w:r>
        <w:rPr>
          <w:color w:val="000000"/>
        </w:rPr>
        <w:t>1. Αφού διενεργήσει έρευνα και διαπιστώσει ότι ένας παράνομος φορέας εκμετάλλευσης τυχερών παιχνιδιών διοργανώνει διαδικτυακά τυχερά παιχνίδια στη Δημοκρατία της Λιθουανίας, η λιθουανική αρχή ελέγχου τυχερών παιχνιδιών εκδίδει μία ή και τις δύο υποχρεωτικές οδηγίες:</w:t>
      </w:r>
    </w:p>
    <w:p w14:paraId="604E9F0D" w14:textId="1A72885B" w:rsidR="003712E3" w:rsidRPr="00D92212" w:rsidRDefault="00F537F9" w:rsidP="003712E3">
      <w:pPr>
        <w:ind w:firstLine="720"/>
        <w:jc w:val="both"/>
        <w:rPr>
          <w:bCs/>
          <w:color w:val="000000"/>
          <w:szCs w:val="24"/>
        </w:rPr>
      </w:pPr>
      <w:r>
        <w:rPr>
          <w:color w:val="000000"/>
        </w:rPr>
        <w:t>1) ο πάροχος υπηρεσιών πληρωμών πρέπει να διακόψει τις πληρωμές ή άλλες χρηματοοικονομικές συναλλαγές που αφορούν οντότητα που ασκεί παράνομες δραστηριότητες διαδικτυακών τυχερών παιχνιδιών στη Δημοκρατία της Λιθουανίας, συμπεριλαμβανομένων των πληρωμών για συμμετοχή σε διαδικτυακά παιχνίδια που διοργανώνονται από παράνομους φορείς εκμετάλλευσης τυχερών παιχνιδιών, των πληρωμών κερδών και της αποδοχής συμμετοχών προς όφελος της οντότητας που διοργανώνει παράνομα τυχερά παιχνίδια·</w:t>
      </w:r>
    </w:p>
    <w:p w14:paraId="7077647A" w14:textId="1429E83D" w:rsidR="003712E3" w:rsidRPr="00D92212" w:rsidRDefault="00F537F9" w:rsidP="00433BA1">
      <w:pPr>
        <w:ind w:firstLine="720"/>
        <w:jc w:val="both"/>
        <w:rPr>
          <w:bCs/>
          <w:color w:val="000000"/>
          <w:szCs w:val="24"/>
        </w:rPr>
      </w:pPr>
      <w:r>
        <w:rPr>
          <w:color w:val="000000"/>
        </w:rPr>
        <w:t>2) να αποσύρει, σύμφωνα με τη διαδικασία που προβλέπεται στο άρθρο 98 του νόμου της Δημοκρατίας της Λιθουανίας για τις ηλεκτρονικές επικοινωνίες, πληροφορίες που χρησιμοποιούνται για την παράνομη εκμετάλλευση διαδικτυακών τυχερών παιχνιδιών ή να αποσύρει την πρόσβαση στις πληροφορίες αυτές.</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Η αρχή ελέγχου, με σκοπό την έκδοση της εντολής της παραγράφου 1 σημείο 1 του παρόντος άρθρου, εντός τριών εργάσιμων ημερών από την ανακάλυψη της παράνομης διαδικτυακής δραστηριότητας τυχερών παιχνιδιών</w:t>
      </w:r>
      <w:r>
        <w:t xml:space="preserve"> </w:t>
      </w:r>
      <w:r>
        <w:rPr>
          <w:color w:val="000000"/>
        </w:rPr>
        <w:t xml:space="preserve">υποβάλλει αίτηση για τη χορήγηση άδειας άσκησης αγωγής στο πρωτοβάθμιο διοικητικό δικαστήριο. Η αίτηση για την έγκριση δράσης πρέπει να περιλαμβάνει το όνομα του προσώπου που φέρεται ότι διέπραξε την παράβαση, τη φύση των εικαζόμενων παραβάσεων και τη σκοπούμενη ενέργεια. Το πρωτοβάθμιο διοικητικό δικαστήριο εξετάζει την αίτηση για τη χορήγηση άδειας παρέμβασης και εκδίδει αιτιολογημένη διαταγή με την οποία κάνει δεκτή ή απορρίπτει την αίτηση για την έγκριση παρέμβασης. Η αίτηση έγκρισης δράσης πρέπει να εξετάζεται και πρέπει να εκδίδεται εντολή το αργότερο τρεις ημέρες μετά την υποβολή της αίτησης έγκρισης παρέμβασης. Εάν η αρχή ελέγχου δεν συμφωνεί με την απόφαση του πρωτοβάθμιου διοικητικού δικαστηρίου με την οποία απορρίπτεται αίτηση για τη χορήγηση άδειας άσκησης προσφυγής, έχει το δικαίωμα να ασκήσει προσφυγή κατά της απόφασης ενώπιον του Ανώτατου Διοικητικού Δικαστηρίου της Λιθουανίας εντός επτά ημερών από την έκδοση της εν λόγω απόφασης. Το Ανώτατο Διοικητικό Δικαστήριο της Λιθουανίας πρέπει να εξετάσει την προσφυγή κατά της </w:t>
      </w:r>
      <w:r>
        <w:rPr>
          <w:color w:val="000000"/>
        </w:rPr>
        <w:lastRenderedPageBreak/>
        <w:t>απόφασης του πρωτοβάθμιου διοικητικού δικαστηρίου με την οποία απορρίφθηκε η αίτηση έγκρισης δράσης το αργότερο εντός επτά ημερών από την ημερομηνία παραλαβής της προσφυγής της αρχής ελέγχου. Ο εκπρόσωπος της αρχής ελέγχου έχει το δικαίωμα να παρίσταται όταν η προσφυγή εξετάζεται στο πλαίσιο προφορικής διαδικασίας. Η απόφαση που εκδίδεται από το Ανώτατο Διοικητικό Δικαστήριο της Λιθουανίας είναι τελεσίδικη και δεν υπόκειται σε προσφυγή. Τα δικαστήρια, κατά την εξέταση αιτήσεων και προσφυγών που αφορούν την έκδοση άδειας άσκησης αγωγής, πρέπει να ελέγχουν τον εμπιστευτικό χαρακτήρα των πληροφοριών που λαμβάνονται και των προβλεπόμενων ενεργειών.</w:t>
      </w:r>
    </w:p>
    <w:p w14:paraId="2527BBD0" w14:textId="309CBEA9" w:rsidR="003712E3" w:rsidRDefault="003712E3" w:rsidP="003712E3">
      <w:pPr>
        <w:ind w:firstLine="720"/>
        <w:jc w:val="both"/>
        <w:rPr>
          <w:color w:val="000000"/>
          <w:szCs w:val="24"/>
        </w:rPr>
      </w:pPr>
      <w:r>
        <w:t>3</w:t>
      </w:r>
      <w:r>
        <w:rPr>
          <w:color w:val="000000"/>
        </w:rPr>
        <w:t>. Η αρχή ελέγχου δημοσιοποιεί τις πληροφορίες σχετικά με τους ταυτοποιημένους παράνομους φορείς εκμετάλλευσης τυχερών παιχνιδιών που οργανώνουν παράνομα διαδικτυακά τυχερά παιχνίδια στη Δημοκρατία της Λιθουανίας [οι εν λόγω φορείς εκμετάλλευσης δεν περιλαμβάνονται στον κατάλογο των οντοτήτων των αρχών ελέγχου που είναι εξουσιοδοτημένες να ασκούν δραστηριότητες διαδικτυακών τυχερών παιχνιδιών στη Δημοκρατία της Λιθουανίας (στο εξής: ο κατάλογος)] και ενημερώνει ότι οι καθορισμένες δραστηριότητες για την παροχή υπηρεσιών διαδικτυακών τυχερών παιχνιδιών ασκούνται παράνομα.</w:t>
      </w:r>
    </w:p>
    <w:p w14:paraId="5275184C" w14:textId="0A761486" w:rsidR="00E76A47" w:rsidRPr="00D92212" w:rsidRDefault="00E76A47" w:rsidP="00B371EB">
      <w:pPr>
        <w:ind w:firstLine="720"/>
        <w:jc w:val="both"/>
        <w:rPr>
          <w:bCs/>
          <w:iCs/>
        </w:rPr>
      </w:pPr>
      <w:r>
        <w:rPr>
          <w:color w:val="000000"/>
        </w:rPr>
        <w:t>4. Ο πάροχος υπηρεσιών πληρωμών εκτελεί μόνο πράξεις πληρωμής και/ή εξ αποστάσεως πληρωμές που σχετίζονται με ή κινούνται με κάρτα πληρωμής προς όφελος των οντοτήτων του καταλόγου</w:t>
      </w:r>
      <w:r>
        <w:t xml:space="preserve">. </w:t>
      </w:r>
    </w:p>
    <w:p w14:paraId="5B63201C" w14:textId="55EB2EE4" w:rsidR="00CF58B3" w:rsidRPr="00D92212" w:rsidRDefault="00E76A47" w:rsidP="00CF58B3">
      <w:pPr>
        <w:ind w:firstLine="720"/>
        <w:jc w:val="both"/>
        <w:rPr>
          <w:bCs/>
          <w:iCs/>
        </w:rPr>
      </w:pPr>
      <w:r>
        <w:rPr>
          <w:color w:val="000000"/>
        </w:rPr>
        <w:t>5.</w:t>
      </w:r>
      <w:r>
        <w:t xml:space="preserve"> Η οντότητα προστίθεται στον κατάλογο την ημερομηνία κατά την οποία χορηγείται άδεια συμμετοχής σε τυχερά παιχνίδια και διαγράφεται από τον κατάλογο την ημερομηνία ανάκλησης της άδειας συμμετοχής σε τυχερά παιχνίδια. Ο κατάλογος που περιέχει την επωνυμία της νομικής οντότητας, τον κωδικό νομικής οντότητας, τον αριθμό λογαριασμού, τον μοναδικό αριθμό αναγνώρισης συναλλασσόμενου που χορηγείται από τον οργανισμό καρτών πληρωμής δημοσιεύεται από την αρχή ελέγχου στον ιστότοπό της. </w:t>
      </w:r>
    </w:p>
    <w:p w14:paraId="067B233A" w14:textId="3391AC68" w:rsidR="003712E3" w:rsidRPr="00D92212" w:rsidRDefault="00241196" w:rsidP="000F7446">
      <w:pPr>
        <w:ind w:firstLine="720"/>
        <w:jc w:val="both"/>
        <w:rPr>
          <w:color w:val="000000"/>
          <w:szCs w:val="24"/>
        </w:rPr>
      </w:pPr>
      <w:r>
        <w:t>6</w:t>
      </w:r>
      <w:r>
        <w:rPr>
          <w:color w:val="000000"/>
        </w:rPr>
        <w:t>. Η διαδικασία για τον περιορισμό των πληρωμών για τη συμμετοχή σε διαδικτυακά τυχερά παιχνίδια που διοργανώνονται από παράνομους φορείς εκμετάλλευσης τυχερών παιχνιδιών και την καταβολή κερδών μέσω παρόχων υπηρεσιών πληρωμών που δραστηριοποιούνται στη Δημοκρατία της Λιθουανίας καθορίζεται από την ελεγκτική αρχή σε συμφωνία με την Τράπεζα της Λιθουανίας.».</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Άρθρο 3. Έναρξη ισχύος και εφαρμογή του νόμου</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Ο παρών νόμος, εξαιρουμένης της παραγράφου 2 του παρόντος άρθρου, τίθεται σε ισχύ την 1η Μαΐου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Ο διευθυντής της αρχής ελέγχου τυχερών παιχνιδιών του Υπουργείου Οικονομικών της Δημοκρατίας της Λιθουανίας θεσπίζει τη νομοθεσία εφαρμογής του παρόντος νόμου έως τις 31 Ιανουαρίου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Διά του παρόντος θεσπίζω τον παρόντα νόμο που ψηφίστηκε από το Seimas (Λιθουανικό Κοινοβούλιο) της Δημοκρατίας της Λιθουανίας.</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Ο Πρόεδρος της Δημοκρατίας</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3D12"/>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2DCD"/>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2F0"/>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l-G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2.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87C8-7DAE-40FA-A600-3FEC5541C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929</Words>
  <Characters>5300</Characters>
  <Application>Microsoft Office Word</Application>
  <DocSecurity>0</DocSecurity>
  <Lines>44</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