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Osnutek</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ZAKON</w:t>
      </w:r>
    </w:p>
    <w:p w14:paraId="0740D84F" w14:textId="5A84A9FA" w:rsidR="00DE3FCE" w:rsidRPr="00C04037" w:rsidRDefault="00DE3FCE" w:rsidP="00DE3FCE">
      <w:pPr>
        <w:jc w:val="center"/>
        <w:rPr>
          <w:b/>
          <w:caps/>
        </w:rPr>
      </w:pPr>
      <w:r>
        <w:rPr>
          <w:b/>
          <w:caps/>
        </w:rPr>
        <w:t>O SPREMEMBI ČLENOV 2 IN 20</w:t>
      </w:r>
      <w:r>
        <w:rPr>
          <w:b/>
          <w:caps/>
          <w:vertAlign w:val="superscript"/>
        </w:rPr>
        <w:t>7</w:t>
      </w:r>
      <w:r>
        <w:rPr>
          <w:b/>
          <w:caps/>
        </w:rPr>
        <w:t xml:space="preserve"> ZAKONA REPUBLIKE LITVE O IGRAH NA SREČO</w:t>
      </w:r>
    </w:p>
    <w:p w14:paraId="5A20FC9E" w14:textId="43E302BE" w:rsidR="00F57874" w:rsidRPr="00C04037" w:rsidRDefault="00DE3FCE" w:rsidP="00DE3FCE">
      <w:pPr>
        <w:jc w:val="center"/>
        <w:rPr>
          <w:b/>
          <w:caps/>
        </w:rPr>
      </w:pPr>
      <w:r>
        <w:rPr>
          <w:b/>
          <w:caps/>
        </w:rPr>
        <w:t xml:space="preserve">ŠT. IX-325 </w:t>
      </w:r>
    </w:p>
    <w:p w14:paraId="6FB2CCE1" w14:textId="77777777" w:rsidR="007A525D" w:rsidRDefault="007A525D">
      <w:pPr>
        <w:jc w:val="center"/>
        <w:rPr>
          <w:szCs w:val="24"/>
        </w:rPr>
      </w:pPr>
    </w:p>
    <w:p w14:paraId="08D1F4BF" w14:textId="3BF2E02F" w:rsidR="00F57874" w:rsidRPr="00F12EAF" w:rsidRDefault="001B2FA7">
      <w:pPr>
        <w:jc w:val="center"/>
        <w:rPr>
          <w:szCs w:val="24"/>
        </w:rPr>
      </w:pPr>
      <w:r>
        <w:t>Št.      z dne          2024</w:t>
      </w:r>
    </w:p>
    <w:p w14:paraId="79A6EADF" w14:textId="77777777" w:rsidR="00F57874" w:rsidRPr="00F12EAF" w:rsidRDefault="00010B6F">
      <w:pPr>
        <w:jc w:val="center"/>
        <w:rPr>
          <w:b/>
          <w:szCs w:val="24"/>
        </w:rPr>
      </w:pPr>
      <w:r>
        <w:t>Vilna</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Člen 1. Sprememba člena 2</w:t>
      </w:r>
    </w:p>
    <w:p w14:paraId="56191B23" w14:textId="193C5573" w:rsidR="008074DB" w:rsidRDefault="008074DB" w:rsidP="00831EBE">
      <w:pPr>
        <w:ind w:firstLine="720"/>
        <w:jc w:val="both"/>
        <w:rPr>
          <w:szCs w:val="24"/>
        </w:rPr>
      </w:pPr>
      <w:r>
        <w:t>Člen 2(31) se spremeni in se glasi:</w:t>
      </w:r>
    </w:p>
    <w:p w14:paraId="2BD267D2" w14:textId="7978C855" w:rsidR="003D1173" w:rsidRDefault="003D1173" w:rsidP="00831EBE">
      <w:pPr>
        <w:ind w:firstLine="720"/>
        <w:jc w:val="both"/>
        <w:rPr>
          <w:color w:val="000000"/>
        </w:rPr>
      </w:pPr>
      <w:r>
        <w:t>„</w:t>
      </w:r>
      <w:r>
        <w:rPr>
          <w:color w:val="000000"/>
        </w:rPr>
        <w:t>31. Izraz ,upravljavec‘, uporabljen v tem zakonu, se razume kot izraz ,upravičenec‘, kot je opredeljeno v zakonu Republike Litve o preprečevanju pranja denarja in financiranja terorizma. Drugi izrazi, uporabljeni v tem zakonu, se razumejo, kot so opredeljeni v zakonu Republike Litve o preprečevanju pranja denarja in financiranja terorizma, zakonu Republike Litve o finančnem računovodstvu in zakonu Republike Litve o plačilih.“.</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Člen 2. Sprememba člena 20</w:t>
      </w:r>
      <w:r>
        <w:rPr>
          <w:b/>
          <w:vertAlign w:val="superscript"/>
        </w:rPr>
        <w:t>7</w:t>
      </w:r>
    </w:p>
    <w:p w14:paraId="03C9EC55" w14:textId="7E9093D8" w:rsidR="00241196" w:rsidRPr="00AE66B1" w:rsidRDefault="00241196" w:rsidP="00AE66B1">
      <w:pPr>
        <w:ind w:firstLine="720"/>
        <w:jc w:val="both"/>
        <w:rPr>
          <w:color w:val="000000"/>
          <w:szCs w:val="24"/>
        </w:rPr>
      </w:pPr>
      <w:r>
        <w:t>Člen 20</w:t>
      </w:r>
      <w:r>
        <w:rPr>
          <w:vertAlign w:val="superscript"/>
        </w:rPr>
        <w:t>7</w:t>
      </w:r>
      <w:r>
        <w:t xml:space="preserve"> se spremeni in se glasi:</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Člen 20</w:t>
      </w:r>
      <w:r>
        <w:rPr>
          <w:b/>
          <w:color w:val="000000"/>
          <w:vertAlign w:val="superscript"/>
        </w:rPr>
        <w:t>7</w:t>
      </w:r>
      <w:r>
        <w:rPr>
          <w:b/>
          <w:color w:val="000000"/>
        </w:rPr>
        <w:t xml:space="preserve">. </w:t>
      </w:r>
      <w:r>
        <w:rPr>
          <w:b/>
        </w:rPr>
        <w:t>Ukrepi za boj proti nezakonitim ponudnikom iger na srečo na daljavo in ureditev plačil za udeležbo pri igrah na srečo na daljavo</w:t>
      </w:r>
    </w:p>
    <w:p w14:paraId="422F135F" w14:textId="6B476C79" w:rsidR="003712E3" w:rsidRPr="00D92212" w:rsidRDefault="003712E3" w:rsidP="003712E3">
      <w:pPr>
        <w:ind w:firstLine="720"/>
        <w:jc w:val="both"/>
        <w:rPr>
          <w:bCs/>
          <w:color w:val="000000"/>
          <w:szCs w:val="24"/>
        </w:rPr>
      </w:pPr>
      <w:r>
        <w:rPr>
          <w:color w:val="000000"/>
        </w:rPr>
        <w:t>1. Po preiskavi in ugotovitvi, da nezakoniti ponudnik iger na srečo v Republiki Litvi organizira igre na srečo na daljavo, litovski nadzorni organ za igre na srečo izda eno ali obe obvezni odredbi:</w:t>
      </w:r>
    </w:p>
    <w:p w14:paraId="604E9F0D" w14:textId="1A72885B" w:rsidR="003712E3" w:rsidRPr="00D92212" w:rsidRDefault="00F537F9" w:rsidP="003712E3">
      <w:pPr>
        <w:ind w:firstLine="720"/>
        <w:jc w:val="both"/>
        <w:rPr>
          <w:bCs/>
          <w:color w:val="000000"/>
          <w:szCs w:val="24"/>
        </w:rPr>
      </w:pPr>
      <w:r>
        <w:rPr>
          <w:color w:val="000000"/>
        </w:rPr>
        <w:t>1) da ponudnik plačilnih storitev ustavi plačila ali druge finančne transakcije v zvezi s subjektom, ki se ukvarja z nezakonitimi dejavnostmi iger na srečo na daljavo v Republiki Litvi, vključno s plačili za udeležbo pri igrah na daljavo, ki jih organizirajo nezakoniti ponudniki iger na srečo, izplačili dobitkov in sprejemanjem vložkov v korist subjekta, ki organizira nezakonite igre na srečo;</w:t>
      </w:r>
    </w:p>
    <w:p w14:paraId="7077647A" w14:textId="1429E83D" w:rsidR="003712E3" w:rsidRPr="00D92212" w:rsidRDefault="00F537F9" w:rsidP="00433BA1">
      <w:pPr>
        <w:ind w:firstLine="720"/>
        <w:jc w:val="both"/>
        <w:rPr>
          <w:bCs/>
          <w:color w:val="000000"/>
          <w:szCs w:val="24"/>
        </w:rPr>
      </w:pPr>
      <w:r>
        <w:rPr>
          <w:color w:val="000000"/>
        </w:rPr>
        <w:t>2) da v skladu s postopkom iz člena 98 zakona Republike Litve o elektronskih komunikacijah odstrani informacije, ki se uporabljajo za nezakonito prirejanje iger na srečo na daljavo, ali da odstrani dostop do teh informacij.</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Nadzorni organ z namenom izdaje odredbe iz odstavka 1(1) tega člena v treh delovnih dneh po odkritju nezakonite dejavnosti iger na srečo na daljavo</w:t>
      </w:r>
      <w:r>
        <w:t xml:space="preserve"> </w:t>
      </w:r>
      <w:r>
        <w:rPr>
          <w:color w:val="000000"/>
        </w:rPr>
        <w:t>vloži vlogo za dovoljenje za vložitev tožbe pri upravnem sodišču prve stopnje. Vloga za izdajo dovoljenja za ukrepanje mora vsebovati ime osebe, ki se ji očita kršitev, naravo domnevnih kršitev in predvideno ravnanje. Upravno sodišče prve stopnje preuči vlogo za dovoljenje in izda obrazložen sklep, s katerim ugodi ali zavrne vlogo za dovoljenje za vložitev tožbe. Vloga za dovoljenje se preuči in izda se sklep najpozneje v treh dneh po vložitvi vloge za dovoljenje. Če se nadzorni organ ne strinja z odločbo upravnega sodišča prve stopnje o zavrnitvi vloge za dovoljenje za ukrepanje, ima pravico do pritožbe zoper odločbo pri vrhovnem upravnem sodišču Litve v sedmih dneh po taki odločitvi. Litovsko vrhovno upravno sodišče mora pritožbo zoper odločbo upravnega sodišča prve stopnje, s katero je bila zavrnjena vloga za dovoljenje za ukrepanje, preučiti najpozneje v sedmih dneh od datuma prejema pritožbe nadzornega organa. Predstavnik nadzornega organa ima pravico biti navzoč pri obravnavi pritožbe v ustnem postopku. Odločba, ki jo sprejme litovsko vrhovno upravno sodišče, je dokončna in zoper njo ni mogoče vložiti pravnega sredstva. Sodišča morajo pri obravnavi zahtev in pritožb v zvezi z izdajo zadevnega dovoljenja za ukrepanje preveriti zaupnost prejetih informacij in načrtovanih ukrepov.</w:t>
      </w:r>
    </w:p>
    <w:p w14:paraId="2527BBD0" w14:textId="309CBEA9" w:rsidR="003712E3" w:rsidRDefault="003712E3" w:rsidP="003712E3">
      <w:pPr>
        <w:ind w:firstLine="720"/>
        <w:jc w:val="both"/>
        <w:rPr>
          <w:color w:val="000000"/>
          <w:szCs w:val="24"/>
        </w:rPr>
      </w:pPr>
      <w:r>
        <w:t>3</w:t>
      </w:r>
      <w:r>
        <w:rPr>
          <w:color w:val="000000"/>
        </w:rPr>
        <w:t>. Nadzorni organ objavi informacije o ugotovljenih nezakonitih ponudnikih iger na srečo, ki nezakonito prirejajo igre na srečo na daljavo v Republiki Litvi (ti ponudniki niso vključeni na</w:t>
      </w:r>
      <w:r>
        <w:t xml:space="preserve"> </w:t>
      </w:r>
      <w:r>
        <w:rPr>
          <w:color w:val="000000"/>
        </w:rPr>
        <w:t>seznam subjektov, ki imajo dovoljenje za opravljanje dejavnosti iger na srečo na daljavo v Republiki Litvi (v nadaljnjem besedilu tega člena: seznam) in obvešča, da se navedene dejavnosti prirejanja iger na srečo na daljavo izvajajo nezakonito.</w:t>
      </w:r>
    </w:p>
    <w:p w14:paraId="5275184C" w14:textId="0A761486" w:rsidR="00E76A47" w:rsidRPr="00D92212" w:rsidRDefault="00E76A47" w:rsidP="00B371EB">
      <w:pPr>
        <w:ind w:firstLine="720"/>
        <w:jc w:val="both"/>
        <w:rPr>
          <w:bCs/>
          <w:iCs/>
        </w:rPr>
      </w:pPr>
      <w:r>
        <w:rPr>
          <w:color w:val="000000"/>
        </w:rPr>
        <w:lastRenderedPageBreak/>
        <w:t>4. Ponudnik plačilnih storitev izvrši le plačilne transakcije in/ali plačilne transakcije na daljavo, ki so povezane s plačilno kartico ali so bile odrejene s plačilno kartico, v korist subjektov s seznama</w:t>
      </w:r>
      <w:r>
        <w:t xml:space="preserve">. </w:t>
      </w:r>
    </w:p>
    <w:p w14:paraId="5B63201C" w14:textId="55EB2EE4" w:rsidR="00CF58B3" w:rsidRPr="00D92212" w:rsidRDefault="00E76A47" w:rsidP="00CF58B3">
      <w:pPr>
        <w:ind w:firstLine="720"/>
        <w:jc w:val="both"/>
        <w:rPr>
          <w:bCs/>
          <w:iCs/>
        </w:rPr>
      </w:pPr>
      <w:r>
        <w:rPr>
          <w:color w:val="000000"/>
        </w:rPr>
        <w:t>5.</w:t>
      </w:r>
      <w:r>
        <w:t xml:space="preserve"> Subjekt se doda na seznam na dan, ko se subjektu podeli dovoljenje za igre na srečo, in se odstrani s seznama na dan odvzema dovoljenja za igre na srečo. Nadzorni organ na svojem spletišču objavi seznam, ki vsebuje ime pravne osebe, kodo pravnega subjekta, številko računa in edinstveno identifikacijsko številko trgovca, ki jo dodeli organizacija plačilnih kartic. </w:t>
      </w:r>
    </w:p>
    <w:p w14:paraId="067B233A" w14:textId="3391AC68" w:rsidR="003712E3" w:rsidRPr="00D92212" w:rsidRDefault="00241196" w:rsidP="000F7446">
      <w:pPr>
        <w:ind w:firstLine="720"/>
        <w:jc w:val="both"/>
        <w:rPr>
          <w:color w:val="000000"/>
          <w:szCs w:val="24"/>
        </w:rPr>
      </w:pPr>
      <w:r>
        <w:t>6</w:t>
      </w:r>
      <w:r>
        <w:rPr>
          <w:color w:val="000000"/>
        </w:rPr>
        <w:t>. Postopek za omejitev plačil za udeležbo pri igrah na srečo na daljavo, ki jih organizirajo nezakoniti ponudniki iger na srečo, in izplačilo dobitkov prek ponudnikov plačilnih storitev, ki delujejo v Republiki Litvi, določi nadzorni organ v dogovoru z Banko Litve.“.</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Člen 3. Začetek veljavnosti in izvajanje zakona</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Ta zakon začne z izjemo odstavka 2 tega člena veljati 1. maja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Direktor nadzornega organa za igre na srečo v okviru ministrstva za finance Republike Litve sprejme izvedbeno zakonodajo v zvezi s tem zakonom do 31. januarja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Razglašam ta zakon, ki ga je sprejel parlament Republike Litve (Seimas).</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Predsednik republike</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2FA7"/>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137A"/>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sl-SI"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2.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187C8-7DAE-40FA-A600-3FEC5541C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4059</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