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9117" w14:textId="02DA8CCA" w:rsidR="004A3BA8" w:rsidRDefault="004A3BA8" w:rsidP="00450593">
      <w:pPr>
        <w:pStyle w:val="BodyText"/>
      </w:pPr>
      <w:r>
        <w:t xml:space="preserve">NÁVRH</w:t>
      </w:r>
    </w:p>
    <w:p w14:paraId="1557DC6E" w14:textId="77777777" w:rsidR="00450593" w:rsidRPr="00450593" w:rsidRDefault="00450593" w:rsidP="00450593">
      <w:pPr>
        <w:pStyle w:val="BodyTextIndent"/>
      </w:pPr>
    </w:p>
    <w:p w14:paraId="11F404A9" w14:textId="77777777" w:rsidR="004A3BA8" w:rsidRPr="005F75D2" w:rsidRDefault="004A3BA8" w:rsidP="005F75D2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</w:p>
    <w:p w14:paraId="5BC06867" w14:textId="304854B6" w:rsidR="004A3BA8" w:rsidRPr="00496B57" w:rsidRDefault="004A3BA8" w:rsidP="004A3BA8">
      <w:pPr>
        <w:pStyle w:val="Heading2"/>
        <w:spacing w:before="200"/>
      </w:pPr>
      <w:bookmarkStart w:id="0" w:name="Titel"/>
      <w:r>
        <w:t xml:space="preserve">Nařízení,</w:t>
      </w:r>
      <w:r>
        <w:br/>
      </w:r>
      <w:r>
        <w:t xml:space="preserve">kterým se mění nařízení (2018:1462) o odpovědnosti výrobce za balení</w:t>
      </w:r>
      <w:bookmarkEnd w:id="0"/>
    </w:p>
    <w:p w14:paraId="7F721899" w14:textId="77777777" w:rsidR="004A3BA8" w:rsidRDefault="004A3BA8" w:rsidP="009C4782">
      <w:pPr>
        <w:pStyle w:val="BodyText"/>
      </w:pPr>
    </w:p>
    <w:p w14:paraId="7F293E91" w14:textId="766251DB" w:rsidR="004A3BA8" w:rsidRDefault="004A3BA8" w:rsidP="004A3BA8">
      <w:pPr>
        <w:pStyle w:val="BodyText"/>
      </w:pPr>
      <w:r>
        <w:t xml:space="preserve">Vláda stanoví</w:t>
      </w:r>
      <w:r w:rsidR="00C4578D">
        <w:rPr>
          <w:rStyle w:val="FootnoteReference"/>
        </w:rPr>
        <w:footnoteReference w:id="2"/>
      </w:r>
      <w:r>
        <w:t xml:space="preserve"> nařízení (2018:1462) o odpovědnosti výrobce za balení</w:t>
      </w:r>
      <w:r>
        <w:t xml:space="preserve"> </w:t>
      </w:r>
    </w:p>
    <w:p w14:paraId="291A1A4D" w14:textId="50B881EE" w:rsidR="004A3BA8" w:rsidRDefault="004A3BA8" w:rsidP="004A3BA8">
      <w:pPr>
        <w:pStyle w:val="BodyTextIndent"/>
      </w:pPr>
      <w:r>
        <w:rPr>
          <w:i/>
        </w:rPr>
        <w:t xml:space="preserve">částečně</w:t>
      </w:r>
      <w:r>
        <w:t xml:space="preserve">, že § 37 a § 39 mají níže uvedené znění,</w:t>
      </w:r>
    </w:p>
    <w:p w14:paraId="572695F9" w14:textId="03A8BA23" w:rsidR="004A3BA8" w:rsidRDefault="004A3BA8" w:rsidP="004A3BA8">
      <w:pPr>
        <w:pStyle w:val="BodyTextIndent"/>
      </w:pPr>
      <w:r>
        <w:rPr>
          <w:i/>
        </w:rPr>
        <w:t xml:space="preserve">částečně</w:t>
      </w:r>
      <w:r>
        <w:t xml:space="preserve">, že budou existovat tři nová ustanovení § 38a, § 61a a § 79 a v níže uvedeném znění.</w:t>
      </w:r>
    </w:p>
    <w:p w14:paraId="17FD716E" w14:textId="70F551B7" w:rsidR="004A3BA8" w:rsidRDefault="004A3BA8" w:rsidP="004A3BA8">
      <w:pPr>
        <w:pStyle w:val="BodyTextIndent"/>
      </w:pPr>
    </w:p>
    <w:p w14:paraId="049A45F4" w14:textId="1FA1ADAA" w:rsidR="004A3BA8" w:rsidRDefault="00BD5F16" w:rsidP="004A3BA8">
      <w:pPr>
        <w:pStyle w:val="BodyText"/>
      </w:pPr>
      <w:r>
        <w:rPr>
          <w:b/>
        </w:rPr>
        <w:drawing>
          <wp:anchor distT="0" distB="0" distL="114300" distR="114300" simplePos="0" relativeHeight="251658240" behindDoc="1" locked="0" layoutInCell="1" allowOverlap="1" wp14:anchorId="62030268" wp14:editId="78E777E3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41630"/>
            <wp:effectExtent l="0" t="0" r="26035" b="1270"/>
            <wp:wrapNone/>
            <wp:docPr id="3" name="Bildobjekt 3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ändrad tex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§ </w:t>
      </w:r>
      <w:r>
        <w:rPr>
          <w:b/>
          <w:b/>
        </w:rPr>
        <w:t xml:space="preserve">37</w:t>
      </w:r>
      <w:r w:rsidR="00C4578D" w:rsidRPr="00AD2006">
        <w:rPr>
          <w:rStyle w:val="FootnoteReference"/>
          <w:bCs/>
        </w:rPr>
        <w:footnoteReference w:id="3"/>
      </w:r>
      <w:r>
        <w:t xml:space="preserve"> Balení může uvádět na švédský trh pouze výrobce, pokud balení</w:t>
      </w:r>
      <w:r>
        <w:t xml:space="preserve">  </w:t>
      </w:r>
    </w:p>
    <w:p w14:paraId="49DB092A" w14:textId="77777777" w:rsidR="004A3BA8" w:rsidRDefault="004A3BA8" w:rsidP="004A3BA8">
      <w:pPr>
        <w:pStyle w:val="BodyTextIndent"/>
      </w:pPr>
      <w:r>
        <w:t xml:space="preserve">1. má objem a hmotnost, které jsou omezeny na minimum potřebné k udržení dobré úrovně bezpečnosti a hygieny,</w:t>
      </w:r>
      <w:r>
        <w:t xml:space="preserve"> </w:t>
      </w:r>
    </w:p>
    <w:p w14:paraId="322AB25E" w14:textId="77777777" w:rsidR="004A3BA8" w:rsidRDefault="004A3BA8" w:rsidP="004A3BA8">
      <w:pPr>
        <w:pStyle w:val="BodyTextIndent"/>
      </w:pPr>
      <w:r>
        <w:t xml:space="preserve">2. může být opětovně použito nebo recyklováno a</w:t>
      </w:r>
      <w:r>
        <w:t xml:space="preserve"> </w:t>
      </w:r>
    </w:p>
    <w:p w14:paraId="1CC93864" w14:textId="7951EAEB" w:rsidR="004A3BA8" w:rsidRDefault="00775C79" w:rsidP="004A3BA8">
      <w:pPr>
        <w:pStyle w:val="BodyTextIndent"/>
      </w:pPr>
      <w:r>
        <w:drawing>
          <wp:anchor distT="0" distB="0" distL="114300" distR="114300" simplePos="0" relativeHeight="251658245" behindDoc="1" locked="0" layoutInCell="1" allowOverlap="1" wp14:anchorId="2B1EAB77" wp14:editId="1098F2A9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19430"/>
            <wp:effectExtent l="0" t="0" r="26035" b="0"/>
            <wp:wrapNone/>
            <wp:docPr id="9" name="Bildobjekt 9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ändrad tex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3. se vyrábí tak, aby se minimalizovaly emise škodlivých látek a dopad na životní prostředí je obecně omezen při zpracování obalových odpadů nebo při likvidaci zbytků ze zpracování obalových odpadů.</w:t>
      </w:r>
    </w:p>
    <w:p w14:paraId="0E4CC1A2" w14:textId="77777777" w:rsidR="004A3BA8" w:rsidRDefault="004A3BA8" w:rsidP="004A3BA8">
      <w:pPr>
        <w:pStyle w:val="BodyTextIndent"/>
      </w:pPr>
    </w:p>
    <w:p w14:paraId="74FB299C" w14:textId="5F5EAA22" w:rsidR="004A3BA8" w:rsidRDefault="00BD5F16" w:rsidP="004A3BA8">
      <w:pPr>
        <w:pStyle w:val="BodyText"/>
      </w:pPr>
      <w:r>
        <w:rPr>
          <w:b/>
        </w:rPr>
        <w:drawing>
          <wp:anchor distT="0" distB="0" distL="114300" distR="114300" simplePos="0" relativeHeight="251658241" behindDoc="1" locked="0" layoutInCell="1" allowOverlap="1" wp14:anchorId="7D68A5FB" wp14:editId="19FACF5C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2592070"/>
            <wp:effectExtent l="0" t="0" r="26035" b="0"/>
            <wp:wrapNone/>
            <wp:docPr id="4" name="Bildobjekt 4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ändrad tex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§</w:t>
      </w:r>
      <w:r>
        <w:t xml:space="preserve"> </w:t>
      </w:r>
      <w:r>
        <w:rPr>
          <w:b/>
        </w:rPr>
        <w:t xml:space="preserve">38a </w:t>
      </w:r>
      <w:r>
        <w:t xml:space="preserve">Balení se považuje za recyklovatelné podle § 37 odst. 2, pokud</w:t>
      </w:r>
      <w:r>
        <w:t xml:space="preserve">  </w:t>
      </w:r>
    </w:p>
    <w:p w14:paraId="3A06AE53" w14:textId="56AE1F6C" w:rsidR="004A3BA8" w:rsidRDefault="004A3BA8" w:rsidP="004A3BA8">
      <w:pPr>
        <w:pStyle w:val="BodyTextIndent"/>
      </w:pPr>
      <w:r>
        <w:t xml:space="preserve">1. nejméně 75 % hmot. materiálu použitého v obalu může být recyklováno na prodejné materiály nebo prodejné výrobky, nebo</w:t>
      </w:r>
    </w:p>
    <w:p w14:paraId="020CFA8C" w14:textId="391BED2F" w:rsidR="004A3BA8" w:rsidRDefault="004A3BA8" w:rsidP="004A3BA8">
      <w:pPr>
        <w:pStyle w:val="BodyTextIndent"/>
      </w:pPr>
      <w:r>
        <w:t xml:space="preserve">2. balení může být recyklováno podle požadavků § 39 a balení</w:t>
      </w:r>
      <w:r>
        <w:t xml:space="preserve">  </w:t>
      </w:r>
    </w:p>
    <w:p w14:paraId="2C81D9B4" w14:textId="70F85B5B" w:rsidR="004A3BA8" w:rsidRDefault="004A3BA8" w:rsidP="004A3BA8">
      <w:pPr>
        <w:pStyle w:val="BodyTextIndent"/>
      </w:pPr>
      <w:r>
        <w:t xml:space="preserve">a) je nutné k prodloužení doby trvanlivosti potravin do takové míry, která není zanedbatelná,</w:t>
      </w:r>
      <w:r>
        <w:t xml:space="preserve">  </w:t>
      </w:r>
    </w:p>
    <w:p w14:paraId="1583CE14" w14:textId="02D5AC32" w:rsidR="004A3BA8" w:rsidRDefault="004A3BA8" w:rsidP="004A3BA8">
      <w:pPr>
        <w:pStyle w:val="BodyTextIndent"/>
      </w:pPr>
      <w:r>
        <w:t xml:space="preserve">b) je nutné ke splnění požadavků jiného zákona,</w:t>
      </w:r>
      <w:r>
        <w:t xml:space="preserve">  </w:t>
      </w:r>
    </w:p>
    <w:p w14:paraId="2A266F56" w14:textId="77777777" w:rsidR="004A3BA8" w:rsidRDefault="004A3BA8" w:rsidP="004A3BA8">
      <w:pPr>
        <w:pStyle w:val="BodyTextIndent"/>
      </w:pPr>
      <w:r>
        <w:t xml:space="preserve">c) více než 50 % hmot. je vyrobeno z recyklovaného plastu tak nízké kvality, že obal nelze recyklovat, nebo</w:t>
      </w:r>
      <w:r>
        <w:t xml:space="preserve"> </w:t>
      </w:r>
    </w:p>
    <w:p w14:paraId="09F77C96" w14:textId="77777777" w:rsidR="004A3BA8" w:rsidRDefault="004A3BA8" w:rsidP="004A3BA8">
      <w:pPr>
        <w:pStyle w:val="BodyTextIndent"/>
      </w:pPr>
      <w:r>
        <w:t xml:space="preserve">d) je dřevěná nádoba.</w:t>
      </w:r>
      <w:r>
        <w:t xml:space="preserve"> </w:t>
      </w:r>
    </w:p>
    <w:p w14:paraId="2B098D40" w14:textId="5A3BB0A3" w:rsidR="004A3BA8" w:rsidRDefault="004A3BA8" w:rsidP="004A3BA8">
      <w:pPr>
        <w:pStyle w:val="BodyTextIndent"/>
      </w:pPr>
      <w:r>
        <w:t xml:space="preserve">Při posuzování, zda je balení nezbytné v souladu s § 1 odst. 2 písm. a) nebo b), se přihlíží k možnostem nahrazení balení obalem, který byl vyroben z materiálu, který je možné recyklovat.</w:t>
      </w:r>
      <w:r>
        <w:t xml:space="preserve"> </w:t>
      </w:r>
      <w:r>
        <w:t xml:space="preserve">Rovněž je třeba vzít v úvahu účinky takové změny materiálu na lidské zdraví a životní prostředí.</w:t>
      </w:r>
    </w:p>
    <w:p w14:paraId="7DA6DB66" w14:textId="053BE539" w:rsidR="004A3BA8" w:rsidRDefault="004A3BA8" w:rsidP="004A3BA8">
      <w:pPr>
        <w:pStyle w:val="BodyTextIndent"/>
      </w:pPr>
    </w:p>
    <w:p w14:paraId="387AB169" w14:textId="69A7F7CA" w:rsidR="004A3BA8" w:rsidRDefault="00BD5F16" w:rsidP="004A3BA8">
      <w:pPr>
        <w:pStyle w:val="BodyText"/>
      </w:pPr>
      <w:r>
        <w:rPr>
          <w:b/>
        </w:rPr>
        <w:drawing>
          <wp:anchor distT="0" distB="0" distL="114300" distR="114300" simplePos="0" relativeHeight="251658242" behindDoc="1" locked="0" layoutInCell="1" allowOverlap="1" wp14:anchorId="19BF73B8" wp14:editId="62F1749D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49886"/>
            <wp:effectExtent l="0" t="0" r="26035" b="0"/>
            <wp:wrapNone/>
            <wp:docPr id="6" name="Bildobjekt 6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ändrad tex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49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§ 39</w:t>
      </w:r>
      <w:r w:rsidR="00C4578D" w:rsidRPr="00AD2006">
        <w:rPr>
          <w:rStyle w:val="FootnoteReference"/>
          <w:bCs/>
        </w:rPr>
        <w:footnoteReference w:id="4"/>
      </w:r>
      <w:r>
        <w:t xml:space="preserve"> Balení uvedené v § 38a odst. 2 se považuje za recyklovatelné:</w:t>
      </w:r>
      <w:r>
        <w:t xml:space="preserve"> </w:t>
      </w:r>
    </w:p>
    <w:p w14:paraId="2E9AD062" w14:textId="7BFCB0C7" w:rsidR="004A3BA8" w:rsidRDefault="004A3BA8" w:rsidP="004A3BA8">
      <w:pPr>
        <w:pStyle w:val="BodyTextIndent"/>
      </w:pPr>
      <w:r>
        <w:t xml:space="preserve">1. recyklací materiálů, pokud je balení vyrobeno takovým způsobem, že je možné použít určité hmotnostní procento obalového materiálu pro výrobu obchodovatelných výrobků,</w:t>
      </w:r>
      <w:r>
        <w:t xml:space="preserve"> </w:t>
      </w:r>
    </w:p>
    <w:p w14:paraId="1D4FB8B3" w14:textId="2816C857" w:rsidR="004A3BA8" w:rsidRDefault="004A3BA8" w:rsidP="004A3BA8">
      <w:pPr>
        <w:pStyle w:val="BodyTextIndent"/>
      </w:pPr>
      <w:r>
        <w:t xml:space="preserve">2. získáním energie, pokud obalový odpad má minimální tepelnou hodnotu pro zajištění optimálního využití energie, nebo</w:t>
      </w:r>
      <w:r>
        <w:t xml:space="preserve"> </w:t>
      </w:r>
    </w:p>
    <w:p w14:paraId="5ADEC108" w14:textId="75A85FD2" w:rsidR="004A3BA8" w:rsidRDefault="004A3BA8" w:rsidP="004A3BA8">
      <w:pPr>
        <w:pStyle w:val="BodyTextIndent"/>
      </w:pPr>
      <w:r>
        <w:t xml:space="preserve">3. kompostováním, pokud jsou obalové odpady biologicky rozložitelné do takové míry, že nebrání tříděnému sběru nebo nebrání procesu kompostování nebo kompostování, kterým je odpad vystaven, a je takové povahy, že může být vystaven fyzikálnímu, chemickému, tepelnému nebo biologickému rozkladu takovým způsobem, že většina hotového kompostu je nakonec rozdělena na oxid uhličitý, biomasu a vodu.</w:t>
      </w:r>
    </w:p>
    <w:p w14:paraId="2EA02B05" w14:textId="60A16F41" w:rsidR="004A3BA8" w:rsidRDefault="00B27E27" w:rsidP="00B7501B">
      <w:pPr>
        <w:pStyle w:val="BodyTextIndent"/>
      </w:pPr>
      <w:r>
        <w:rPr>
          <w:b/>
        </w:rPr>
        <w:drawing>
          <wp:anchor distT="0" distB="0" distL="114300" distR="114300" simplePos="0" relativeHeight="251658243" behindDoc="1" locked="0" layoutInCell="1" allowOverlap="1" wp14:anchorId="7FF388CB" wp14:editId="57B3ACA4">
            <wp:simplePos x="0" y="0"/>
            <wp:positionH relativeFrom="page">
              <wp:posOffset>675640</wp:posOffset>
            </wp:positionH>
            <wp:positionV relativeFrom="paragraph">
              <wp:posOffset>194310</wp:posOffset>
            </wp:positionV>
            <wp:extent cx="12065" cy="2705051"/>
            <wp:effectExtent l="0" t="0" r="26035" b="635"/>
            <wp:wrapNone/>
            <wp:docPr id="7" name="Bildobjekt 7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ändrad tex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705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86E6D3" w14:textId="609AE4DA" w:rsidR="004A3BA8" w:rsidRDefault="004A3BA8" w:rsidP="004A3BA8">
      <w:pPr>
        <w:pStyle w:val="BodyText"/>
      </w:pPr>
      <w:r>
        <w:rPr>
          <w:b/>
        </w:rPr>
        <w:t xml:space="preserve">§ 61a</w:t>
      </w:r>
      <w:r>
        <w:t xml:space="preserve"> Systém sběru se může zavázat k nakládání s obalem, jakmile se stane odpadem pro výrobce, který splní požadavek uvedený v § 42, pouze pokud</w:t>
      </w:r>
    </w:p>
    <w:p w14:paraId="74B9397F" w14:textId="1B0B4FBF" w:rsidR="004A3BA8" w:rsidRDefault="004A3BA8" w:rsidP="004A3BA8">
      <w:pPr>
        <w:pStyle w:val="BodyTextIndent"/>
      </w:pPr>
      <w:r>
        <w:t xml:space="preserve">1. systém sběru má technické předpoklady a dostatečnou kapacitu, aby bylo možné získat nejméně 75 % hmot. materiálu použitého v balení pro prodejné materiály nebo výrobky, které lze prodat,</w:t>
      </w:r>
      <w:r>
        <w:t xml:space="preserve">  </w:t>
      </w:r>
    </w:p>
    <w:p w14:paraId="2241866C" w14:textId="1BFF2350" w:rsidR="004A3BA8" w:rsidRDefault="004A3BA8" w:rsidP="004A3BA8">
      <w:pPr>
        <w:pStyle w:val="BodyTextIndent"/>
      </w:pPr>
      <w:r>
        <w:t xml:space="preserve">2. systém sběru zajišťuje, že jiný subjekt s technickými předpoklady a dostatečnou kapacitou se zavazuje získat nejméně 75 % hmot. materiálu použitého v obalu k prodejným materiálům nebo prodejným produktům,</w:t>
      </w:r>
      <w:r>
        <w:t xml:space="preserve">  </w:t>
      </w:r>
    </w:p>
    <w:p w14:paraId="02AE5874" w14:textId="336CF2B9" w:rsidR="004A3BA8" w:rsidRDefault="004A3BA8" w:rsidP="004A3BA8">
      <w:pPr>
        <w:pStyle w:val="BodyTextIndent"/>
      </w:pPr>
      <w:r>
        <w:t xml:space="preserve">3. obal je obalem uvedeným v § 38a odst. 2 a systémem sběru nebo jiným subjektem jej recykluje v souladu s požadavky uvedenými v § 39, nebo</w:t>
      </w:r>
      <w:r>
        <w:t xml:space="preserve">  </w:t>
      </w:r>
    </w:p>
    <w:p w14:paraId="5A9E296C" w14:textId="3704B722" w:rsidR="004A3BA8" w:rsidRDefault="004A3BA8" w:rsidP="004A3BA8">
      <w:pPr>
        <w:pStyle w:val="BodyTextIndent"/>
      </w:pPr>
      <w:r>
        <w:t xml:space="preserve">4. obaly podléhají předpisům vydaným podle § 79a a systém sběru nebo jiný subjekt recykluje obal v souladu s požadavky uvedenými v § 39.</w:t>
      </w:r>
    </w:p>
    <w:p w14:paraId="00A807C7" w14:textId="77777777" w:rsidR="004A3BA8" w:rsidRDefault="004A3BA8" w:rsidP="00B7501B">
      <w:pPr>
        <w:pStyle w:val="BodyTextIndent"/>
      </w:pPr>
    </w:p>
    <w:p w14:paraId="7B037174" w14:textId="48C66959" w:rsidR="004A3BA8" w:rsidRDefault="00BD5F16" w:rsidP="00AD2006">
      <w:pPr>
        <w:pStyle w:val="BodyText"/>
      </w:pPr>
      <w:r>
        <w:rPr>
          <w:b/>
        </w:rPr>
        <w:drawing>
          <wp:anchor distT="0" distB="0" distL="114300" distR="114300" simplePos="0" relativeHeight="251658244" behindDoc="1" locked="0" layoutInCell="1" allowOverlap="1" wp14:anchorId="67A817FA" wp14:editId="52E3C68D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25145"/>
            <wp:effectExtent l="0" t="0" r="26035" b="8255"/>
            <wp:wrapNone/>
            <wp:docPr id="8" name="Bildobjekt 8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ändrad tex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§ 79a</w:t>
      </w:r>
      <w:r>
        <w:t xml:space="preserve"> Švédská agentura pro ochranu životního prostředí může vydat předpisy, které stanoví, že obal, který nesplňuje požadavky § 38a, se považuje za recyklovatelný, pokud existují zvláštní důvody pro použití tohoto obalu.</w:t>
      </w:r>
      <w:r>
        <w:t xml:space="preserve">                       </w:t>
      </w:r>
    </w:p>
    <w:p w14:paraId="43F85EE1" w14:textId="77777777" w:rsidR="004A3BA8" w:rsidRPr="009F0C87" w:rsidRDefault="004A3BA8" w:rsidP="008938FE">
      <w:pPr>
        <w:pStyle w:val="Slutstreck"/>
        <w:spacing w:line="232" w:lineRule="exact"/>
      </w:pPr>
      <w:r>
        <w:t xml:space="preserve">                      </w:t>
      </w:r>
    </w:p>
    <w:p w14:paraId="6E56F2FA" w14:textId="7BF4003F" w:rsidR="004A3BA8" w:rsidRDefault="004A3BA8" w:rsidP="004A3BA8">
      <w:pPr>
        <w:pStyle w:val="BodyTextIndent"/>
      </w:pPr>
      <w:r>
        <w:t xml:space="preserve">Toto nařízení vstupuje v platnost dne 1. ledna 2022, pokud jde o § 79a, a jinak dne 1. ledna 2025.</w:t>
      </w:r>
    </w:p>
    <w:sectPr w:rsidR="004A3BA8" w:rsidSect="00B045CC">
      <w:headerReference w:type="even" r:id="rId15"/>
      <w:headerReference w:type="default" r:id="rId16"/>
      <w:footerReference w:type="default" r:id="rId17"/>
      <w:footerReference w:type="first" r:id="rId18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9968" w14:textId="77777777" w:rsidR="009C5815" w:rsidRDefault="009C5815" w:rsidP="00680442">
      <w:r>
        <w:separator/>
      </w:r>
    </w:p>
  </w:endnote>
  <w:endnote w:type="continuationSeparator" w:id="0">
    <w:p w14:paraId="43A21EAA" w14:textId="77777777" w:rsidR="009C5815" w:rsidRDefault="009C5815" w:rsidP="00680442">
      <w:r>
        <w:continuationSeparator/>
      </w:r>
    </w:p>
  </w:endnote>
  <w:endnote w:type="continuationNotice" w:id="1">
    <w:p w14:paraId="536464AD" w14:textId="77777777" w:rsidR="009C5815" w:rsidRDefault="009C5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DC2D" w14:textId="77777777" w:rsidR="009C5815" w:rsidRDefault="009C5815" w:rsidP="00CE05BB">
    <w:pPr>
      <w:pStyle w:val="Foot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799C8231" wp14:editId="043B90E2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7C41E" w14:textId="77777777" w:rsidR="009C5815" w:rsidRDefault="009C5815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C82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23F7C41E" w14:textId="77777777" w:rsidR="009C5815" w:rsidRDefault="009C5815" w:rsidP="004043E4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6B3F" w14:textId="77777777" w:rsidR="009C5815" w:rsidRDefault="009C5815" w:rsidP="00CE05BB">
    <w:pPr>
      <w:pStyle w:val="Footer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7C31E3F9" wp14:editId="2103B84D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81A61" w14:textId="77777777" w:rsidR="009C5815" w:rsidRDefault="009C5815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1E3F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65B81A61" w14:textId="77777777" w:rsidR="009C5815" w:rsidRDefault="009C5815" w:rsidP="005B2C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22CA" w14:textId="77777777" w:rsidR="009C5815" w:rsidRDefault="009C5815" w:rsidP="00680442"/>
  </w:footnote>
  <w:footnote w:type="continuationSeparator" w:id="0">
    <w:p w14:paraId="77A02ADF" w14:textId="77777777" w:rsidR="009C5815" w:rsidRPr="00C26807" w:rsidRDefault="009C5815" w:rsidP="00C26807">
      <w:pPr>
        <w:pStyle w:val="Footer"/>
      </w:pPr>
    </w:p>
  </w:footnote>
  <w:footnote w:type="continuationNotice" w:id="1">
    <w:p w14:paraId="5CB45579" w14:textId="77777777" w:rsidR="009C5815" w:rsidRDefault="009C5815"/>
  </w:footnote>
  <w:footnote w:id="2">
    <w:p w14:paraId="34EB3B77" w14:textId="10A7E375" w:rsidR="009C5815" w:rsidRDefault="009C5815">
      <w:pPr>
        <w:pStyle w:val="FootnoteText"/>
      </w:pPr>
      <w:r>
        <w:rPr>
          <w:rStyle w:val="FootnoteReference"/>
        </w:rPr>
        <w:footnoteRef/>
      </w:r>
      <w:r>
        <w:t xml:space="preserve"> Srov.</w:t>
      </w:r>
      <w:r>
        <w:t xml:space="preserve"> </w:t>
      </w:r>
      <w:r>
        <w:t xml:space="preserve">Směrnice Evropského parlamentu a Rady (EU) 2019/904 ze dne 5. června 2019 o omezení dopadu některých plastových výrobků na životní prostředí, ve znění směrnice Evropského parlamentu a Rady (EU) 2008/98 ze dne 19. listopadu 2008 o odpadech a o zrušení některých směrnic, ve znění v souladu se směrnicí Evropského parlamentu a Rady (EU) 2018/851 a směrnicí Evropského parlamentu a Rady 94/62/EU ze dne 20. prosince 1994 o obalech a obalových odpadech, ve znění v souladu se směrnicí Evropského parlamentu a Rady (EU) 2018/852.</w:t>
      </w:r>
      <w:r>
        <w:t xml:space="preserve"> </w:t>
      </w:r>
      <w:r>
        <w:t xml:space="preserve">Viz směrnice Evropského parlamentu a Rady (EU) 2015/1535 ze dne 9. září 2015 o postupu při poskytování informací v oblasti technických předpisů a předpisů pro služby informační společnosti (kodifikace).</w:t>
      </w:r>
    </w:p>
  </w:footnote>
  <w:footnote w:id="3">
    <w:p w14:paraId="2F1364C4" w14:textId="19BE0613" w:rsidR="009C5815" w:rsidRDefault="009C5815">
      <w:pPr>
        <w:pStyle w:val="FootnoteText"/>
      </w:pPr>
      <w:r>
        <w:rPr>
          <w:rStyle w:val="FootnoteReference"/>
        </w:rPr>
        <w:footnoteRef/>
      </w:r>
      <w:r>
        <w:t xml:space="preserve"> Poslední znění BFS 2020:615.</w:t>
      </w:r>
    </w:p>
  </w:footnote>
  <w:footnote w:id="4">
    <w:p w14:paraId="73263F69" w14:textId="77777777" w:rsidR="009C5815" w:rsidRDefault="009C5815" w:rsidP="00C4578D">
      <w:pPr>
        <w:pStyle w:val="FootnoteText"/>
      </w:pPr>
      <w:r>
        <w:rPr>
          <w:rStyle w:val="FootnoteReference"/>
        </w:rPr>
        <w:footnoteRef/>
      </w:r>
      <w:r>
        <w:t xml:space="preserve"> Nejnovější znění BFS 2020:615.</w:t>
      </w:r>
    </w:p>
    <w:p w14:paraId="7C9AAFCF" w14:textId="1D5B9EC0" w:rsidR="009C5815" w:rsidRDefault="009C581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6BD0" w14:textId="77777777" w:rsidR="009C5815" w:rsidRDefault="00A41932">
    <w:pPr>
      <w:pStyle w:val="Header"/>
    </w:pPr>
    <w:r>
      <w:pict w14:anchorId="38AC20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ZKUŠEBNÍ DOKUMENT, NEJEDNÁ SE O PLATNÝ DOKUMENT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330A" w14:textId="77777777" w:rsidR="009C5815" w:rsidRDefault="009C5815" w:rsidP="00F77ABC">
    <w:pPr>
      <w:pStyle w:val="Header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3E6FE86B" wp14:editId="663425D6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22ABB" w14:textId="77777777" w:rsidR="009C5815" w:rsidRPr="001974BD" w:rsidRDefault="009C5815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FE86B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26C22ABB" w14:textId="77777777" w:rsidR="009C5815" w:rsidRPr="001974BD" w:rsidRDefault="009C5815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ttachedTemplate r:id="rId1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A8"/>
    <w:rsid w:val="00014844"/>
    <w:rsid w:val="00027BEC"/>
    <w:rsid w:val="000309B4"/>
    <w:rsid w:val="00050C9E"/>
    <w:rsid w:val="00054B0D"/>
    <w:rsid w:val="00062643"/>
    <w:rsid w:val="00065778"/>
    <w:rsid w:val="000776E6"/>
    <w:rsid w:val="00087E73"/>
    <w:rsid w:val="00091696"/>
    <w:rsid w:val="0009400A"/>
    <w:rsid w:val="000963A0"/>
    <w:rsid w:val="000A1BCC"/>
    <w:rsid w:val="000A437D"/>
    <w:rsid w:val="000A6C2B"/>
    <w:rsid w:val="000B072E"/>
    <w:rsid w:val="000B36C7"/>
    <w:rsid w:val="000B7FEB"/>
    <w:rsid w:val="000D56FC"/>
    <w:rsid w:val="000D5E85"/>
    <w:rsid w:val="000F16E5"/>
    <w:rsid w:val="00100E2C"/>
    <w:rsid w:val="00132BD5"/>
    <w:rsid w:val="00135F8C"/>
    <w:rsid w:val="001409E8"/>
    <w:rsid w:val="00162B76"/>
    <w:rsid w:val="00165B5E"/>
    <w:rsid w:val="00175988"/>
    <w:rsid w:val="00181BC1"/>
    <w:rsid w:val="001974BD"/>
    <w:rsid w:val="001B3CEB"/>
    <w:rsid w:val="001B4DB6"/>
    <w:rsid w:val="001C7E6D"/>
    <w:rsid w:val="001F4FE9"/>
    <w:rsid w:val="00201C96"/>
    <w:rsid w:val="00224C44"/>
    <w:rsid w:val="00232439"/>
    <w:rsid w:val="0023447C"/>
    <w:rsid w:val="00256E21"/>
    <w:rsid w:val="002576A9"/>
    <w:rsid w:val="00264A3C"/>
    <w:rsid w:val="00267351"/>
    <w:rsid w:val="002767C4"/>
    <w:rsid w:val="0029295C"/>
    <w:rsid w:val="002949DD"/>
    <w:rsid w:val="002A76C1"/>
    <w:rsid w:val="002B3871"/>
    <w:rsid w:val="002B452D"/>
    <w:rsid w:val="002D247A"/>
    <w:rsid w:val="002D3D78"/>
    <w:rsid w:val="002F68D4"/>
    <w:rsid w:val="00301819"/>
    <w:rsid w:val="00323010"/>
    <w:rsid w:val="0032527C"/>
    <w:rsid w:val="00332533"/>
    <w:rsid w:val="00343A99"/>
    <w:rsid w:val="00344B4A"/>
    <w:rsid w:val="00350B0F"/>
    <w:rsid w:val="0035181A"/>
    <w:rsid w:val="00353EE4"/>
    <w:rsid w:val="003642F1"/>
    <w:rsid w:val="003661D1"/>
    <w:rsid w:val="00367C3F"/>
    <w:rsid w:val="0037085F"/>
    <w:rsid w:val="0039337B"/>
    <w:rsid w:val="003A6AD5"/>
    <w:rsid w:val="003B4745"/>
    <w:rsid w:val="004043E4"/>
    <w:rsid w:val="00406562"/>
    <w:rsid w:val="0044098C"/>
    <w:rsid w:val="00440A07"/>
    <w:rsid w:val="00450593"/>
    <w:rsid w:val="00460C4D"/>
    <w:rsid w:val="00461C46"/>
    <w:rsid w:val="00461D7A"/>
    <w:rsid w:val="00465E8F"/>
    <w:rsid w:val="00467E22"/>
    <w:rsid w:val="00467F48"/>
    <w:rsid w:val="00475117"/>
    <w:rsid w:val="00475F84"/>
    <w:rsid w:val="00487A84"/>
    <w:rsid w:val="00496903"/>
    <w:rsid w:val="00496B57"/>
    <w:rsid w:val="004A3BA8"/>
    <w:rsid w:val="004A3C1C"/>
    <w:rsid w:val="004A728C"/>
    <w:rsid w:val="004B6A07"/>
    <w:rsid w:val="004B7FD3"/>
    <w:rsid w:val="004E0106"/>
    <w:rsid w:val="004E1ACE"/>
    <w:rsid w:val="004F0BBC"/>
    <w:rsid w:val="00506527"/>
    <w:rsid w:val="005373FC"/>
    <w:rsid w:val="0055154B"/>
    <w:rsid w:val="00562B95"/>
    <w:rsid w:val="00564C23"/>
    <w:rsid w:val="00580393"/>
    <w:rsid w:val="00585B17"/>
    <w:rsid w:val="00595325"/>
    <w:rsid w:val="005B0E8A"/>
    <w:rsid w:val="005B2C6E"/>
    <w:rsid w:val="005B7784"/>
    <w:rsid w:val="005C210E"/>
    <w:rsid w:val="005C6B0C"/>
    <w:rsid w:val="005E1EF1"/>
    <w:rsid w:val="005E410F"/>
    <w:rsid w:val="005E781A"/>
    <w:rsid w:val="005F5448"/>
    <w:rsid w:val="005F75D2"/>
    <w:rsid w:val="005F7A7D"/>
    <w:rsid w:val="0060139D"/>
    <w:rsid w:val="006017CA"/>
    <w:rsid w:val="00611677"/>
    <w:rsid w:val="006178BF"/>
    <w:rsid w:val="006408C8"/>
    <w:rsid w:val="0064475F"/>
    <w:rsid w:val="006563C6"/>
    <w:rsid w:val="00674A58"/>
    <w:rsid w:val="00680442"/>
    <w:rsid w:val="0068520B"/>
    <w:rsid w:val="006856DB"/>
    <w:rsid w:val="00685BA1"/>
    <w:rsid w:val="006945F8"/>
    <w:rsid w:val="006972B7"/>
    <w:rsid w:val="006A189D"/>
    <w:rsid w:val="006A31EA"/>
    <w:rsid w:val="006A5C76"/>
    <w:rsid w:val="006A6EF2"/>
    <w:rsid w:val="006B54FB"/>
    <w:rsid w:val="006C2353"/>
    <w:rsid w:val="006C3DF6"/>
    <w:rsid w:val="006C4712"/>
    <w:rsid w:val="00705CF7"/>
    <w:rsid w:val="00711FBF"/>
    <w:rsid w:val="00715836"/>
    <w:rsid w:val="00731454"/>
    <w:rsid w:val="00732889"/>
    <w:rsid w:val="007409F6"/>
    <w:rsid w:val="00753F80"/>
    <w:rsid w:val="007708C2"/>
    <w:rsid w:val="00775C79"/>
    <w:rsid w:val="00775E94"/>
    <w:rsid w:val="007A10EE"/>
    <w:rsid w:val="007A5642"/>
    <w:rsid w:val="007A61CF"/>
    <w:rsid w:val="007B264F"/>
    <w:rsid w:val="007B32A1"/>
    <w:rsid w:val="007B5968"/>
    <w:rsid w:val="007C0C0F"/>
    <w:rsid w:val="007E6B31"/>
    <w:rsid w:val="00825F12"/>
    <w:rsid w:val="0083514C"/>
    <w:rsid w:val="00835AE2"/>
    <w:rsid w:val="00836C52"/>
    <w:rsid w:val="00837A93"/>
    <w:rsid w:val="0084384D"/>
    <w:rsid w:val="00865506"/>
    <w:rsid w:val="00871B1E"/>
    <w:rsid w:val="0088045A"/>
    <w:rsid w:val="00887A99"/>
    <w:rsid w:val="008938FE"/>
    <w:rsid w:val="008A56A3"/>
    <w:rsid w:val="008B4876"/>
    <w:rsid w:val="008C6DE9"/>
    <w:rsid w:val="008D7DFB"/>
    <w:rsid w:val="008E6436"/>
    <w:rsid w:val="008E7A90"/>
    <w:rsid w:val="008F6E7A"/>
    <w:rsid w:val="008F6EEA"/>
    <w:rsid w:val="00901A1E"/>
    <w:rsid w:val="00917859"/>
    <w:rsid w:val="009201AC"/>
    <w:rsid w:val="009331C6"/>
    <w:rsid w:val="00933D9C"/>
    <w:rsid w:val="00984BC8"/>
    <w:rsid w:val="0098565F"/>
    <w:rsid w:val="0099266E"/>
    <w:rsid w:val="00993A25"/>
    <w:rsid w:val="009A51AC"/>
    <w:rsid w:val="009B27EF"/>
    <w:rsid w:val="009B701B"/>
    <w:rsid w:val="009C4782"/>
    <w:rsid w:val="009C5815"/>
    <w:rsid w:val="009C5A21"/>
    <w:rsid w:val="009D6C25"/>
    <w:rsid w:val="009D7413"/>
    <w:rsid w:val="009E0463"/>
    <w:rsid w:val="009F4194"/>
    <w:rsid w:val="009F4B8F"/>
    <w:rsid w:val="009F60E3"/>
    <w:rsid w:val="009F63BA"/>
    <w:rsid w:val="00A11BA4"/>
    <w:rsid w:val="00A33D04"/>
    <w:rsid w:val="00A41932"/>
    <w:rsid w:val="00A478BB"/>
    <w:rsid w:val="00A53593"/>
    <w:rsid w:val="00A619D9"/>
    <w:rsid w:val="00A71376"/>
    <w:rsid w:val="00A90842"/>
    <w:rsid w:val="00A94B58"/>
    <w:rsid w:val="00AA35F7"/>
    <w:rsid w:val="00AA4011"/>
    <w:rsid w:val="00AB4C41"/>
    <w:rsid w:val="00AC04AB"/>
    <w:rsid w:val="00AC565C"/>
    <w:rsid w:val="00AD2006"/>
    <w:rsid w:val="00AE1FEB"/>
    <w:rsid w:val="00AF246E"/>
    <w:rsid w:val="00AF2AD7"/>
    <w:rsid w:val="00B045CC"/>
    <w:rsid w:val="00B07F32"/>
    <w:rsid w:val="00B13367"/>
    <w:rsid w:val="00B13451"/>
    <w:rsid w:val="00B27E27"/>
    <w:rsid w:val="00B316D7"/>
    <w:rsid w:val="00B32899"/>
    <w:rsid w:val="00B32DD6"/>
    <w:rsid w:val="00B346FF"/>
    <w:rsid w:val="00B412A6"/>
    <w:rsid w:val="00B54292"/>
    <w:rsid w:val="00B65511"/>
    <w:rsid w:val="00B7501B"/>
    <w:rsid w:val="00B90519"/>
    <w:rsid w:val="00B92773"/>
    <w:rsid w:val="00B92D7E"/>
    <w:rsid w:val="00BA20B8"/>
    <w:rsid w:val="00BA2679"/>
    <w:rsid w:val="00BC1B38"/>
    <w:rsid w:val="00BC3E60"/>
    <w:rsid w:val="00BC4608"/>
    <w:rsid w:val="00BC6DC4"/>
    <w:rsid w:val="00BD5F16"/>
    <w:rsid w:val="00BE1774"/>
    <w:rsid w:val="00BF022A"/>
    <w:rsid w:val="00C221CE"/>
    <w:rsid w:val="00C25750"/>
    <w:rsid w:val="00C25CB0"/>
    <w:rsid w:val="00C26807"/>
    <w:rsid w:val="00C371B6"/>
    <w:rsid w:val="00C4578D"/>
    <w:rsid w:val="00C47474"/>
    <w:rsid w:val="00C47E3E"/>
    <w:rsid w:val="00C64668"/>
    <w:rsid w:val="00C728AE"/>
    <w:rsid w:val="00C73C3C"/>
    <w:rsid w:val="00C747CC"/>
    <w:rsid w:val="00CB0127"/>
    <w:rsid w:val="00CB0950"/>
    <w:rsid w:val="00CE05BB"/>
    <w:rsid w:val="00CE5EC6"/>
    <w:rsid w:val="00CF03E7"/>
    <w:rsid w:val="00CF5001"/>
    <w:rsid w:val="00CF79ED"/>
    <w:rsid w:val="00D001EA"/>
    <w:rsid w:val="00D26E43"/>
    <w:rsid w:val="00D34DA7"/>
    <w:rsid w:val="00D42A87"/>
    <w:rsid w:val="00D441D7"/>
    <w:rsid w:val="00D44AC9"/>
    <w:rsid w:val="00D45C8D"/>
    <w:rsid w:val="00D50A6F"/>
    <w:rsid w:val="00D526A3"/>
    <w:rsid w:val="00D62D51"/>
    <w:rsid w:val="00D65A6A"/>
    <w:rsid w:val="00D70F12"/>
    <w:rsid w:val="00D71BB8"/>
    <w:rsid w:val="00D72FA5"/>
    <w:rsid w:val="00D74117"/>
    <w:rsid w:val="00D833BC"/>
    <w:rsid w:val="00D909FB"/>
    <w:rsid w:val="00DB779F"/>
    <w:rsid w:val="00DD0175"/>
    <w:rsid w:val="00DD64FA"/>
    <w:rsid w:val="00DE5B23"/>
    <w:rsid w:val="00DF648E"/>
    <w:rsid w:val="00DF68E0"/>
    <w:rsid w:val="00E1310A"/>
    <w:rsid w:val="00E21E6F"/>
    <w:rsid w:val="00E37BB1"/>
    <w:rsid w:val="00E47807"/>
    <w:rsid w:val="00E52CB7"/>
    <w:rsid w:val="00E80832"/>
    <w:rsid w:val="00E967A2"/>
    <w:rsid w:val="00EA0AB8"/>
    <w:rsid w:val="00EA1496"/>
    <w:rsid w:val="00EA2593"/>
    <w:rsid w:val="00EA2933"/>
    <w:rsid w:val="00EA76D7"/>
    <w:rsid w:val="00EB2AEC"/>
    <w:rsid w:val="00EB47C6"/>
    <w:rsid w:val="00ED763F"/>
    <w:rsid w:val="00EE4722"/>
    <w:rsid w:val="00EE6222"/>
    <w:rsid w:val="00EE6509"/>
    <w:rsid w:val="00EF57BC"/>
    <w:rsid w:val="00EF6220"/>
    <w:rsid w:val="00F1229F"/>
    <w:rsid w:val="00F24B78"/>
    <w:rsid w:val="00F277AA"/>
    <w:rsid w:val="00F70F1F"/>
    <w:rsid w:val="00F77ABC"/>
    <w:rsid w:val="00F80766"/>
    <w:rsid w:val="00F8416E"/>
    <w:rsid w:val="00F924A7"/>
    <w:rsid w:val="00F94D97"/>
    <w:rsid w:val="00FA1C3B"/>
    <w:rsid w:val="00FB1396"/>
    <w:rsid w:val="00FB2CB0"/>
    <w:rsid w:val="00FD162D"/>
    <w:rsid w:val="00FD3A99"/>
    <w:rsid w:val="00FD47EE"/>
    <w:rsid w:val="00FD5F95"/>
    <w:rsid w:val="00FD67E3"/>
    <w:rsid w:val="00FD759F"/>
    <w:rsid w:val="00FE3076"/>
    <w:rsid w:val="00FE6AE2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B81F04"/>
  <w15:docId w15:val="{75DB5DD4-82E8-420E-9794-DD0427D7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/>
    <w:lsdException w:name="heading 4" w:semiHidden="1" w:uiPriority="9"/>
    <w:lsdException w:name="heading 5" w:semiHidden="1" w:uiPriority="1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</w:style>
  <w:style w:type="paragraph" w:styleId="HTMLAddress">
    <w:name w:val="HTML Address"/>
    <w:basedOn w:val="Normal"/>
    <w:link w:val="HTMLAddressChar"/>
    <w:uiPriority w:val="99"/>
    <w:semiHidden/>
    <w:rsid w:val="00E37B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E37BB1"/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ind w:left="1304"/>
    </w:p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styleId="Hashtag">
    <w:name w:val="Hashtag"/>
    <w:basedOn w:val="DefaultParagraphFont"/>
    <w:uiPriority w:val="99"/>
    <w:semiHidden/>
    <w:rsid w:val="004A3BA8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rsid w:val="004A3BA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rsid w:val="004A3BA8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rsid w:val="004A3BA8"/>
    <w:rPr>
      <w:u w:val="dotted"/>
    </w:rPr>
  </w:style>
  <w:style w:type="character" w:styleId="SmartLink">
    <w:name w:val="Smart Link"/>
    <w:basedOn w:val="DefaultParagraphFont"/>
    <w:uiPriority w:val="99"/>
    <w:semiHidden/>
    <w:rsid w:val="004A3BA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 Cedrum</SenderName>
      <SenderTitle>Departementssekreterare</SenderTitle>
      <SenderMail>Anna.Cedrum@regeringskansliet.se</SenderMail>
      <SenderPhone>08-405 12 09
072-228 11 41</SenderPhone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2021-05-26</HeaderDate>
    <Office/>
    <Dnr>M2021/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6a372189-8514-43a9-a668-4622024340fc">TSDR5AECP2XP-1839530900-53379</_dlc_DocId>
    <_dlc_DocIdUrl xmlns="6a372189-8514-43a9-a668-4622024340fc">
      <Url>https://dhs.sp.regeringskansliet.se/yta/m-r/_layouts/15/DocIdRedir.aspx?ID=TSDR5AECP2XP-1839530900-53379</Url>
      <Description>TSDR5AECP2XP-1839530900-53379</Description>
    </_dlc_DocIdUrl>
    <RKOrdnaClass xmlns="d4acd662-17ce-4a3b-8e84-c7c9f280a23c" xsi:nil="true"/>
    <RKOrdnaCheckInComment xmlns="d4acd662-17ce-4a3b-8e84-c7c9f280a23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5" ma:contentTypeDescription="Skapa ett nytt dokument." ma:contentTypeScope="" ma:versionID="44e31441bcfe5a11cd9a2cef0337272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4acd662-17ce-4a3b-8e84-c7c9f280a23c" xmlns:ns7="6a372189-8514-43a9-a668-4622024340fc" targetNamespace="http://schemas.microsoft.com/office/2006/metadata/properties" ma:root="true" ma:fieldsID="9755c46bd8cbbb861736efa1e3307b2e" ns2:_="" ns3:_="" ns4:_="" ns5:_="" ns7:_="">
    <xsd:import namespace="4e9c2f0c-7bf8-49af-8356-cbf363fc78a7"/>
    <xsd:import namespace="cc625d36-bb37-4650-91b9-0c96159295ba"/>
    <xsd:import namespace="18f3d968-6251-40b0-9f11-012b293496c2"/>
    <xsd:import namespace="d4acd662-17ce-4a3b-8e84-c7c9f280a23c"/>
    <xsd:import namespace="6a372189-8514-43a9-a668-4622024340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RKOrdnaCheckInComment" minOccurs="0"/>
                <xsd:element ref="ns5:RKOrdnaClas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3b9322c-24b1-4a7f-a49c-b9c86c8c013d}" ma:internalName="TaxCatchAll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8" nillable="true" ma:displayName="Klass" ma:hidden="true" ma:internalName="RKOrdnaCla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9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74E1A-44C7-486B-9F64-ACC8D6E00367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C0208AD9-7621-44EF-92B6-94058BEE090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50BDEA-6BD5-4D01-B686-2AF69049C9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a372189-8514-43a9-a668-4622024340fc"/>
    <ds:schemaRef ds:uri="d4acd662-17ce-4a3b-8e84-c7c9f280a23c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B70728E-F6DE-48BC-B86C-366F60152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4acd662-17ce-4a3b-8e84-c7c9f280a23c"/>
    <ds:schemaRef ds:uri="6a372189-8514-43a9-a668-462202434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86D950E-A258-4665-AC74-02E666C2398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2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ändring i förordningen (2018:1462) om producentansvar för förpackningar</vt:lpstr>
    </vt:vector>
  </TitlesOfParts>
  <Company>Regeringskansliet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ändring i förordningen (2018:1462) om producentansvar för förpackningar</dc:title>
  <dc:creator>Anna Cedrum</dc:creator>
  <cp:lastModifiedBy>Dimitris Dimitriadis</cp:lastModifiedBy>
  <cp:revision>4</cp:revision>
  <cp:lastPrinted>2016-10-14T09:17:00Z</cp:lastPrinted>
  <dcterms:created xsi:type="dcterms:W3CDTF">2021-06-28T14:30:00Z</dcterms:created>
  <dcterms:modified xsi:type="dcterms:W3CDTF">2021-07-02T08:01:00Z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759eb7dc-ebe2-4bb0-86b9-c90f737cef64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SFS2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ActivityCategory">
    <vt:lpwstr/>
  </property>
  <property fmtid="{D5CDD505-2E9C-101B-9397-08002B2CF9AE}" pid="11" name="TaxKeywordTaxHTField">
    <vt:lpwstr/>
  </property>
  <property fmtid="{D5CDD505-2E9C-101B-9397-08002B2CF9AE}" pid="12" name="c9cd366cc722410295b9eacffbd73909">
    <vt:lpwstr/>
  </property>
  <property fmtid="{D5CDD505-2E9C-101B-9397-08002B2CF9AE}" pid="13" name="RKAktivitetskategori">
    <vt:lpwstr/>
  </property>
</Properties>
</file>