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B6D3F" w14:textId="230B48A7" w:rsidR="00037899" w:rsidRPr="005A2F38" w:rsidRDefault="00037899" w:rsidP="00037899">
      <w:pPr>
        <w:rPr>
          <w:rFonts w:ascii="Courier New" w:hAnsi="Courier New" w:cs="Courier New"/>
        </w:rPr>
      </w:pPr>
      <w:r w:rsidRPr="005A2F38">
        <w:rPr>
          <w:rFonts w:ascii="Courier New" w:hAnsi="Courier New"/>
        </w:rPr>
        <w:t>1. ------IND- 2020 0482 NL- FI- ------ 20200803 --- --- PROJET</w:t>
      </w:r>
    </w:p>
    <w:p w14:paraId="3B017F30" w14:textId="0C0A4590" w:rsidR="00073874" w:rsidRPr="005A2F38" w:rsidRDefault="00073874" w:rsidP="00073874">
      <w:pPr>
        <w:rPr>
          <w:rFonts w:ascii="Verdana" w:hAnsi="Verdana"/>
          <w:sz w:val="18"/>
          <w:szCs w:val="18"/>
        </w:rPr>
      </w:pPr>
      <w:r w:rsidRPr="005A2F38">
        <w:rPr>
          <w:rFonts w:ascii="Verdana" w:hAnsi="Verdana"/>
          <w:sz w:val="18"/>
          <w:szCs w:val="18"/>
        </w:rPr>
        <w:t>Sairaanhoidosta vastaavan ministerin asetus, annettu [päivämäärä], (lehmän- tai vuohenmaito)proteiiniin perustuviin, vähintään yhtä tai useampaa lisättyä vitamiinia, kivennäisainetta tai muuta ainetta sisältäviin ja 1–3-vuotiaille pienille lapsille juotavaksi tarkoitettuihin elintarvikkeisiin liittyvistä säännöistä (pikkulapsille tarkoitetuista juomista ja heille tarkoitetusta maidosta tavaralain nojalla annettu asetus)</w:t>
      </w:r>
    </w:p>
    <w:p w14:paraId="437932D9" w14:textId="77777777" w:rsidR="00073874" w:rsidRPr="005A2F38" w:rsidRDefault="00073874" w:rsidP="00073874">
      <w:pPr>
        <w:rPr>
          <w:rFonts w:ascii="Verdana" w:hAnsi="Verdana"/>
          <w:sz w:val="18"/>
          <w:szCs w:val="18"/>
        </w:rPr>
      </w:pPr>
    </w:p>
    <w:p w14:paraId="1BA08394" w14:textId="77777777" w:rsidR="00073874" w:rsidRPr="005A2F38" w:rsidRDefault="00073874" w:rsidP="00073874">
      <w:pPr>
        <w:rPr>
          <w:rFonts w:ascii="Verdana" w:hAnsi="Verdana"/>
          <w:sz w:val="18"/>
          <w:szCs w:val="18"/>
        </w:rPr>
      </w:pPr>
    </w:p>
    <w:p w14:paraId="77E488F3" w14:textId="77777777" w:rsidR="00073874" w:rsidRPr="005A2F38" w:rsidRDefault="00073874" w:rsidP="00073874">
      <w:pPr>
        <w:rPr>
          <w:rFonts w:ascii="Verdana" w:hAnsi="Verdana"/>
          <w:sz w:val="18"/>
          <w:szCs w:val="18"/>
        </w:rPr>
      </w:pPr>
    </w:p>
    <w:p w14:paraId="1566B75C" w14:textId="77777777" w:rsidR="00073874" w:rsidRPr="005A2F38" w:rsidRDefault="00073874" w:rsidP="00073874">
      <w:pPr>
        <w:rPr>
          <w:rFonts w:ascii="Verdana" w:hAnsi="Verdana"/>
          <w:sz w:val="18"/>
          <w:szCs w:val="18"/>
        </w:rPr>
      </w:pPr>
    </w:p>
    <w:p w14:paraId="2094F940" w14:textId="77777777" w:rsidR="00073874" w:rsidRPr="005A2F38" w:rsidRDefault="00073874" w:rsidP="00073874">
      <w:pPr>
        <w:rPr>
          <w:rFonts w:ascii="Verdana" w:hAnsi="Verdana"/>
          <w:sz w:val="18"/>
          <w:szCs w:val="18"/>
        </w:rPr>
      </w:pPr>
    </w:p>
    <w:p w14:paraId="0E2AC1E7" w14:textId="35D373B2" w:rsidR="00073874" w:rsidRPr="005A2F38" w:rsidRDefault="00073874" w:rsidP="00073874">
      <w:pPr>
        <w:rPr>
          <w:rFonts w:ascii="Verdana" w:hAnsi="Verdana"/>
          <w:sz w:val="18"/>
          <w:szCs w:val="18"/>
        </w:rPr>
      </w:pPr>
      <w:r w:rsidRPr="005A2F38">
        <w:rPr>
          <w:rFonts w:ascii="Verdana" w:hAnsi="Verdana"/>
          <w:sz w:val="18"/>
          <w:szCs w:val="18"/>
        </w:rPr>
        <w:t>Sairaanhoidosta vastaavan ministerin [päivämäärä] 2020 tekemästä ehdotuksesta nro ...-WJZ,</w:t>
      </w:r>
    </w:p>
    <w:p w14:paraId="195D707F" w14:textId="77777777" w:rsidR="00073874" w:rsidRPr="005A2F38" w:rsidRDefault="00073874" w:rsidP="00073874">
      <w:pPr>
        <w:rPr>
          <w:rFonts w:ascii="Verdana" w:hAnsi="Verdana"/>
          <w:sz w:val="18"/>
          <w:szCs w:val="18"/>
        </w:rPr>
      </w:pPr>
    </w:p>
    <w:p w14:paraId="58E25089" w14:textId="007B3731" w:rsidR="00073874" w:rsidRPr="005A2F38" w:rsidRDefault="00834842" w:rsidP="00834842">
      <w:pPr>
        <w:rPr>
          <w:rFonts w:ascii="Verdana" w:hAnsi="Verdana"/>
          <w:sz w:val="18"/>
          <w:szCs w:val="18"/>
        </w:rPr>
      </w:pPr>
      <w:r w:rsidRPr="005A2F38">
        <w:rPr>
          <w:rFonts w:ascii="Verdana" w:hAnsi="Verdana"/>
          <w:sz w:val="18"/>
          <w:szCs w:val="18"/>
        </w:rPr>
        <w:t>ottaen huomioon tavaralain 4 §:n 1 momentin, 5 §:n 1 momentin, 8 §:n 1 momentin a, b, c ja f alamomentin ja 32b §:n,</w:t>
      </w:r>
    </w:p>
    <w:p w14:paraId="7D388C48" w14:textId="77777777" w:rsidR="00073874" w:rsidRPr="005A2F38" w:rsidRDefault="00073874" w:rsidP="00073874">
      <w:pPr>
        <w:rPr>
          <w:rFonts w:ascii="Verdana" w:hAnsi="Verdana"/>
          <w:sz w:val="18"/>
          <w:szCs w:val="18"/>
        </w:rPr>
      </w:pPr>
    </w:p>
    <w:p w14:paraId="7D6A914D" w14:textId="3827A31D" w:rsidR="00073874" w:rsidRPr="005A2F38" w:rsidRDefault="00073874" w:rsidP="00073874">
      <w:pPr>
        <w:rPr>
          <w:rFonts w:ascii="Verdana" w:hAnsi="Verdana"/>
          <w:sz w:val="18"/>
          <w:szCs w:val="18"/>
        </w:rPr>
      </w:pPr>
      <w:r w:rsidRPr="005A2F38">
        <w:rPr>
          <w:rFonts w:ascii="Verdana" w:hAnsi="Verdana"/>
          <w:sz w:val="18"/>
          <w:szCs w:val="18"/>
        </w:rPr>
        <w:t>hallinto-oikeuden neuvoa-antavan osaston lausunnon ([lisää lausunnon päivämäärä], nro [lisää lausunnon numero]) kuulemisen jälkeen,</w:t>
      </w:r>
    </w:p>
    <w:p w14:paraId="7C552D95" w14:textId="77777777" w:rsidR="00073874" w:rsidRPr="005A2F38" w:rsidRDefault="00073874" w:rsidP="00073874">
      <w:pPr>
        <w:rPr>
          <w:rFonts w:ascii="Verdana" w:hAnsi="Verdana"/>
          <w:sz w:val="18"/>
          <w:szCs w:val="18"/>
        </w:rPr>
      </w:pPr>
    </w:p>
    <w:p w14:paraId="6AC29BA5" w14:textId="624D8AC7" w:rsidR="00073874" w:rsidRPr="005A2F38" w:rsidRDefault="00073874" w:rsidP="00073874">
      <w:pPr>
        <w:rPr>
          <w:rFonts w:ascii="Verdana" w:hAnsi="Verdana"/>
          <w:sz w:val="18"/>
          <w:szCs w:val="18"/>
        </w:rPr>
      </w:pPr>
      <w:r w:rsidRPr="005A2F38">
        <w:rPr>
          <w:rFonts w:ascii="Verdana" w:hAnsi="Verdana"/>
          <w:sz w:val="18"/>
          <w:szCs w:val="18"/>
        </w:rPr>
        <w:t>sairaanhoidosta vastaavan ministerin [lisää yksityiskohtaisen raportin päivämäärä] antaman yksityiskohtaisen raportin nro [lisää yksityiskohtaisen raportin viite] perusteella,</w:t>
      </w:r>
    </w:p>
    <w:p w14:paraId="46DA0626" w14:textId="77777777" w:rsidR="00073874" w:rsidRPr="005A2F38" w:rsidRDefault="00073874" w:rsidP="00073874">
      <w:pPr>
        <w:rPr>
          <w:rFonts w:ascii="Verdana" w:hAnsi="Verdana"/>
          <w:sz w:val="18"/>
          <w:szCs w:val="18"/>
        </w:rPr>
      </w:pPr>
    </w:p>
    <w:p w14:paraId="352AA74A" w14:textId="77777777" w:rsidR="00073874" w:rsidRPr="005A2F38" w:rsidRDefault="00073874" w:rsidP="00073874">
      <w:pPr>
        <w:rPr>
          <w:rFonts w:ascii="Verdana" w:hAnsi="Verdana"/>
          <w:sz w:val="18"/>
          <w:szCs w:val="18"/>
        </w:rPr>
      </w:pPr>
      <w:r w:rsidRPr="005A2F38">
        <w:rPr>
          <w:rFonts w:ascii="Verdana" w:hAnsi="Verdana"/>
          <w:sz w:val="18"/>
          <w:szCs w:val="18"/>
        </w:rPr>
        <w:t>säädetään seuraavaa:</w:t>
      </w:r>
    </w:p>
    <w:p w14:paraId="4060804C" w14:textId="77777777" w:rsidR="00073874" w:rsidRPr="005A2F38" w:rsidRDefault="00073874" w:rsidP="00073874">
      <w:pPr>
        <w:rPr>
          <w:rFonts w:ascii="Verdana" w:hAnsi="Verdana"/>
          <w:sz w:val="18"/>
          <w:szCs w:val="18"/>
        </w:rPr>
      </w:pPr>
    </w:p>
    <w:p w14:paraId="5126C936" w14:textId="77777777" w:rsidR="00073874" w:rsidRPr="005A2F38" w:rsidRDefault="00073874" w:rsidP="00037899">
      <w:pPr>
        <w:keepNext/>
        <w:keepLines/>
        <w:rPr>
          <w:rFonts w:ascii="Verdana" w:hAnsi="Verdana"/>
          <w:b/>
          <w:sz w:val="18"/>
          <w:szCs w:val="18"/>
        </w:rPr>
      </w:pPr>
      <w:r w:rsidRPr="005A2F38">
        <w:rPr>
          <w:rFonts w:ascii="Verdana" w:hAnsi="Verdana"/>
          <w:b/>
          <w:sz w:val="18"/>
          <w:szCs w:val="18"/>
        </w:rPr>
        <w:t>1 osa. Yleiset säännökset</w:t>
      </w:r>
    </w:p>
    <w:p w14:paraId="58020225" w14:textId="77777777" w:rsidR="00073874" w:rsidRPr="005A2F38" w:rsidRDefault="00073874" w:rsidP="00037899">
      <w:pPr>
        <w:keepNext/>
        <w:keepLines/>
        <w:rPr>
          <w:rFonts w:ascii="Verdana" w:hAnsi="Verdana"/>
          <w:kern w:val="2"/>
          <w:sz w:val="18"/>
          <w:szCs w:val="18"/>
        </w:rPr>
      </w:pPr>
    </w:p>
    <w:p w14:paraId="60192400" w14:textId="4D83A80C" w:rsidR="00073874" w:rsidRPr="005A2F38" w:rsidRDefault="00073874" w:rsidP="00037899">
      <w:pPr>
        <w:keepNext/>
        <w:keepLines/>
        <w:rPr>
          <w:rFonts w:ascii="Verdana" w:hAnsi="Verdana"/>
          <w:b/>
          <w:kern w:val="2"/>
          <w:sz w:val="18"/>
          <w:szCs w:val="18"/>
        </w:rPr>
      </w:pPr>
      <w:r w:rsidRPr="005A2F38">
        <w:rPr>
          <w:rFonts w:ascii="Verdana" w:hAnsi="Verdana"/>
          <w:b/>
          <w:sz w:val="18"/>
          <w:szCs w:val="18"/>
        </w:rPr>
        <w:t>1 §</w:t>
      </w:r>
    </w:p>
    <w:p w14:paraId="3F86F6AE" w14:textId="77777777" w:rsidR="00073874" w:rsidRPr="005A2F38" w:rsidRDefault="00073874" w:rsidP="00037899">
      <w:pPr>
        <w:keepNext/>
        <w:keepLines/>
        <w:rPr>
          <w:rFonts w:ascii="Verdana" w:hAnsi="Verdana"/>
          <w:b/>
          <w:kern w:val="2"/>
          <w:sz w:val="18"/>
          <w:szCs w:val="18"/>
        </w:rPr>
      </w:pPr>
    </w:p>
    <w:p w14:paraId="37B25385" w14:textId="4B8B5911" w:rsidR="00073874" w:rsidRPr="005A2F38" w:rsidRDefault="00073874" w:rsidP="00037899">
      <w:pPr>
        <w:keepNext/>
        <w:keepLines/>
        <w:rPr>
          <w:rFonts w:ascii="Verdana" w:hAnsi="Verdana"/>
          <w:kern w:val="2"/>
          <w:sz w:val="18"/>
          <w:szCs w:val="18"/>
        </w:rPr>
      </w:pPr>
      <w:r w:rsidRPr="005A2F38">
        <w:rPr>
          <w:rFonts w:ascii="Verdana" w:hAnsi="Verdana"/>
          <w:sz w:val="18"/>
          <w:szCs w:val="18"/>
        </w:rPr>
        <w:t xml:space="preserve">Asetuksessa tarkoitetaan </w:t>
      </w:r>
    </w:p>
    <w:p w14:paraId="4F3AD4C8" w14:textId="77777777" w:rsidR="00073874" w:rsidRPr="005A2F38" w:rsidRDefault="00073874" w:rsidP="00037899">
      <w:pPr>
        <w:keepNext/>
        <w:keepLines/>
        <w:rPr>
          <w:rFonts w:ascii="Verdana" w:hAnsi="Verdana"/>
          <w:kern w:val="2"/>
          <w:sz w:val="18"/>
          <w:szCs w:val="18"/>
        </w:rPr>
      </w:pPr>
    </w:p>
    <w:p w14:paraId="7056BAF2" w14:textId="0E814BB6" w:rsidR="0059594E" w:rsidRPr="005A2F38" w:rsidRDefault="00073874" w:rsidP="00073874">
      <w:pPr>
        <w:rPr>
          <w:rFonts w:ascii="Verdana" w:eastAsiaTheme="minorHAnsi" w:hAnsi="Verdana" w:cs="Segoe UI"/>
          <w:color w:val="000000"/>
          <w:sz w:val="18"/>
          <w:szCs w:val="18"/>
        </w:rPr>
      </w:pPr>
      <w:r w:rsidRPr="005A2F38">
        <w:rPr>
          <w:rFonts w:ascii="Verdana" w:hAnsi="Verdana"/>
          <w:sz w:val="18"/>
          <w:szCs w:val="18"/>
        </w:rPr>
        <w:t xml:space="preserve">a. </w:t>
      </w:r>
      <w:r w:rsidRPr="005A2F38">
        <w:rPr>
          <w:rFonts w:ascii="Verdana" w:hAnsi="Verdana"/>
          <w:i/>
          <w:iCs/>
          <w:sz w:val="18"/>
          <w:szCs w:val="18"/>
        </w:rPr>
        <w:t>muulla aineella</w:t>
      </w:r>
      <w:r w:rsidRPr="005A2F38">
        <w:rPr>
          <w:rFonts w:ascii="Verdana" w:hAnsi="Verdana"/>
          <w:sz w:val="18"/>
          <w:szCs w:val="18"/>
        </w:rPr>
        <w:t xml:space="preserve"> asetuksen (EY) N:o 1925/2006 2 artiklan 2 kohdassa tarkoitettua ainetta;</w:t>
      </w:r>
    </w:p>
    <w:p w14:paraId="1F01D0BA" w14:textId="10F2BBF5" w:rsidR="00073874" w:rsidRPr="005A2F38" w:rsidRDefault="0059594E" w:rsidP="00073874">
      <w:pPr>
        <w:rPr>
          <w:rFonts w:ascii="Verdana" w:hAnsi="Verdana"/>
          <w:kern w:val="2"/>
          <w:sz w:val="18"/>
          <w:szCs w:val="18"/>
        </w:rPr>
      </w:pPr>
      <w:r w:rsidRPr="005A2F38">
        <w:rPr>
          <w:rFonts w:ascii="Verdana" w:hAnsi="Verdana"/>
          <w:sz w:val="18"/>
          <w:szCs w:val="18"/>
        </w:rPr>
        <w:t xml:space="preserve">b. </w:t>
      </w:r>
      <w:r w:rsidRPr="005A2F38">
        <w:rPr>
          <w:rFonts w:ascii="Verdana" w:hAnsi="Verdana"/>
          <w:i/>
          <w:iCs/>
          <w:sz w:val="18"/>
          <w:szCs w:val="18"/>
        </w:rPr>
        <w:t>vieroitusvalmisteella</w:t>
      </w:r>
      <w:r w:rsidRPr="005A2F38">
        <w:rPr>
          <w:rFonts w:ascii="Verdana" w:hAnsi="Verdana"/>
          <w:sz w:val="18"/>
          <w:szCs w:val="18"/>
        </w:rPr>
        <w:t xml:space="preserve"> asetuksen (EU) N:o 609/2013 2 artiklan 2 kohdan d alakohdassa tarkoitettua elintarviketta;</w:t>
      </w:r>
    </w:p>
    <w:p w14:paraId="23B141C5" w14:textId="44D0B59D" w:rsidR="00073874" w:rsidRPr="005A2F38" w:rsidRDefault="0059594E" w:rsidP="00073874">
      <w:pPr>
        <w:rPr>
          <w:rFonts w:ascii="Verdana" w:hAnsi="Verdana"/>
          <w:kern w:val="2"/>
          <w:sz w:val="18"/>
          <w:szCs w:val="18"/>
        </w:rPr>
      </w:pPr>
      <w:r w:rsidRPr="005A2F38">
        <w:rPr>
          <w:rFonts w:ascii="Verdana" w:hAnsi="Verdana"/>
          <w:sz w:val="18"/>
          <w:szCs w:val="18"/>
        </w:rPr>
        <w:t xml:space="preserve">c. </w:t>
      </w:r>
      <w:r w:rsidRPr="005A2F38">
        <w:rPr>
          <w:rFonts w:ascii="Verdana" w:hAnsi="Verdana"/>
          <w:i/>
          <w:iCs/>
          <w:sz w:val="18"/>
          <w:szCs w:val="18"/>
        </w:rPr>
        <w:t>pikkulapsille tarkoitetuilla juomilla</w:t>
      </w:r>
      <w:r w:rsidRPr="005A2F38">
        <w:rPr>
          <w:rFonts w:ascii="Verdana" w:hAnsi="Verdana"/>
          <w:sz w:val="18"/>
          <w:szCs w:val="18"/>
        </w:rPr>
        <w:t xml:space="preserve"> proteiinipohjaisia elintarvikkeita, joihin on lisätty vähintään yhtä tai useampaa vitamiinia, kivennäisainetta tai muuta ainetta ja joka on tarkoitettu 1–3 vuoden ikäisten pienten lasten juotavaksi;</w:t>
      </w:r>
    </w:p>
    <w:p w14:paraId="6234E001" w14:textId="2D403FED" w:rsidR="00073874" w:rsidRPr="005A2F38" w:rsidRDefault="0059594E" w:rsidP="00073874">
      <w:pPr>
        <w:rPr>
          <w:rFonts w:ascii="Verdana" w:hAnsi="Verdana"/>
          <w:kern w:val="2"/>
          <w:sz w:val="18"/>
          <w:szCs w:val="18"/>
        </w:rPr>
      </w:pPr>
      <w:r w:rsidRPr="005A2F38">
        <w:rPr>
          <w:rFonts w:ascii="Verdana" w:hAnsi="Verdana"/>
          <w:sz w:val="18"/>
          <w:szCs w:val="18"/>
        </w:rPr>
        <w:t xml:space="preserve">d. </w:t>
      </w:r>
      <w:r w:rsidRPr="005A2F38">
        <w:rPr>
          <w:rFonts w:ascii="Verdana" w:hAnsi="Verdana"/>
          <w:i/>
          <w:iCs/>
          <w:sz w:val="18"/>
          <w:szCs w:val="18"/>
        </w:rPr>
        <w:t>pikkulapsille tarkoitetulla maidolla</w:t>
      </w:r>
      <w:r w:rsidRPr="005A2F38">
        <w:rPr>
          <w:rFonts w:ascii="Verdana" w:hAnsi="Verdana"/>
          <w:sz w:val="18"/>
          <w:szCs w:val="18"/>
        </w:rPr>
        <w:t xml:space="preserve"> pikkulapsille tarkoitettua juomaa, joka perustuu yksinomaan lehmän- tai vuohenmaitoproteiiniin;</w:t>
      </w:r>
    </w:p>
    <w:p w14:paraId="50055EC1" w14:textId="1B766070" w:rsidR="00073874" w:rsidRPr="005A2F38" w:rsidRDefault="0059594E" w:rsidP="00073874">
      <w:pPr>
        <w:rPr>
          <w:rFonts w:ascii="Verdana" w:hAnsi="Verdana"/>
          <w:kern w:val="2"/>
          <w:sz w:val="18"/>
          <w:szCs w:val="18"/>
        </w:rPr>
      </w:pPr>
      <w:r w:rsidRPr="005A2F38">
        <w:rPr>
          <w:rFonts w:ascii="Verdana" w:hAnsi="Verdana"/>
          <w:sz w:val="18"/>
          <w:szCs w:val="18"/>
        </w:rPr>
        <w:t xml:space="preserve">e. </w:t>
      </w:r>
      <w:r w:rsidRPr="005A2F38">
        <w:rPr>
          <w:rFonts w:ascii="Verdana" w:hAnsi="Verdana"/>
          <w:i/>
          <w:iCs/>
          <w:sz w:val="18"/>
          <w:szCs w:val="18"/>
        </w:rPr>
        <w:t>asetuksella (EU) 2016/127</w:t>
      </w:r>
      <w:r w:rsidRPr="005A2F38">
        <w:rPr>
          <w:rFonts w:ascii="Verdana" w:hAnsi="Verdana"/>
          <w:i/>
          <w:sz w:val="18"/>
          <w:szCs w:val="18"/>
        </w:rPr>
        <w:t xml:space="preserve"> </w:t>
      </w:r>
      <w:r w:rsidRPr="005A2F38">
        <w:rPr>
          <w:rFonts w:ascii="Verdana" w:hAnsi="Verdana"/>
          <w:sz w:val="18"/>
          <w:szCs w:val="18"/>
        </w:rPr>
        <w:t>Euroopan parlamentin ja neuvoston asetuksen (EU) N:o 609/2013 täydentämisestä äidinmaidonkorvikkeiden ja vieroitusvalmisteiden koostumusta ja niistä annettavia tietoja koskevien erityisvaatimusten sekä imeväisten ja pikkulasten ravitsemisesta annettavia tietoja koskevien vaatimusten osalta 25 päivänä syyskuuta 2015 annettua komission delegoitua asetusta (EU) 2016/127 (EUVL L 25, 2016);</w:t>
      </w:r>
    </w:p>
    <w:p w14:paraId="7910F3BE" w14:textId="495ABFB2" w:rsidR="00073874" w:rsidRPr="005A2F38" w:rsidRDefault="0059594E" w:rsidP="00073874">
      <w:pPr>
        <w:rPr>
          <w:rFonts w:ascii="Verdana" w:hAnsi="Verdana"/>
          <w:sz w:val="18"/>
          <w:szCs w:val="18"/>
        </w:rPr>
      </w:pPr>
      <w:r w:rsidRPr="005A2F38">
        <w:rPr>
          <w:rFonts w:ascii="Verdana" w:hAnsi="Verdana"/>
          <w:sz w:val="18"/>
          <w:szCs w:val="18"/>
        </w:rPr>
        <w:t>f.</w:t>
      </w:r>
      <w:r w:rsidRPr="005A2F38">
        <w:rPr>
          <w:rFonts w:ascii="Verdana" w:hAnsi="Verdana"/>
          <w:i/>
          <w:sz w:val="18"/>
          <w:szCs w:val="18"/>
        </w:rPr>
        <w:t xml:space="preserve"> </w:t>
      </w:r>
      <w:r w:rsidRPr="005A2F38">
        <w:rPr>
          <w:rStyle w:val="Emphasis"/>
          <w:rFonts w:ascii="Verdana" w:hAnsi="Verdana"/>
          <w:sz w:val="18"/>
          <w:szCs w:val="18"/>
        </w:rPr>
        <w:t>asetuksella (EU) 609/2013</w:t>
      </w:r>
      <w:r w:rsidRPr="005A2F38">
        <w:rPr>
          <w:rFonts w:ascii="Verdana" w:hAnsi="Verdana"/>
          <w:sz w:val="18"/>
          <w:szCs w:val="18"/>
        </w:rPr>
        <w:t xml:space="preserve"> imeväisille ja pikkulapsille tarkoitetuista ruoista, erityisiin lääkinnällisiin tarkoituksiin tarkoitetuista elintarvikkeista ja painonhallintaan tarkoitetuista ruokavalionkorvikkeista ja neuvoston direktiivin 92/52/ETY, komission direktiivien 96/8/EY, 1999/21/EY, 2006/125/EY ja 2006/141/EY, Euroopan parlamentin ja neuvoston direktiivin 2009/39/EY sekä komission asetusten (EY) N:o 41/2009 ja (EY) N:o 953/2009 kumoamisesta 12 päivänä kesäkuuta 2013 annettua Euroopan parlamentin ja neuvoston asetusta (EU) N:o 609/2013 (EUVL L 181, 2013);</w:t>
      </w:r>
    </w:p>
    <w:p w14:paraId="1A63B3DD" w14:textId="275E762A" w:rsidR="00073874" w:rsidRPr="009A43FC" w:rsidRDefault="0059594E" w:rsidP="009A43FC">
      <w:pPr>
        <w:keepLines/>
        <w:rPr>
          <w:rFonts w:ascii="Verdana" w:hAnsi="Verdana"/>
          <w:spacing w:val="-2"/>
          <w:sz w:val="18"/>
          <w:szCs w:val="18"/>
        </w:rPr>
      </w:pPr>
      <w:r w:rsidRPr="009A43FC">
        <w:rPr>
          <w:rFonts w:ascii="Verdana" w:hAnsi="Verdana"/>
          <w:spacing w:val="-2"/>
          <w:sz w:val="18"/>
          <w:szCs w:val="18"/>
        </w:rPr>
        <w:lastRenderedPageBreak/>
        <w:t xml:space="preserve">g. </w:t>
      </w:r>
      <w:r w:rsidRPr="009A43FC">
        <w:rPr>
          <w:rFonts w:ascii="Verdana" w:hAnsi="Verdana"/>
          <w:i/>
          <w:iCs/>
          <w:spacing w:val="-2"/>
          <w:sz w:val="18"/>
          <w:szCs w:val="18"/>
        </w:rPr>
        <w:t>asetuksella (EU) 1169/2011</w:t>
      </w:r>
      <w:r w:rsidRPr="009A43FC">
        <w:rPr>
          <w:rFonts w:ascii="Verdana" w:hAnsi="Verdana"/>
          <w:i/>
          <w:spacing w:val="-2"/>
          <w:sz w:val="18"/>
          <w:szCs w:val="18"/>
        </w:rPr>
        <w:t xml:space="preserve"> </w:t>
      </w:r>
      <w:r w:rsidRPr="009A43FC">
        <w:rPr>
          <w:rFonts w:ascii="Verdana" w:hAnsi="Verdana"/>
          <w:spacing w:val="-2"/>
          <w:sz w:val="18"/>
          <w:szCs w:val="18"/>
        </w:rPr>
        <w:t>elintarviketietojen antamisesta kuluttajille, Euroopan parlamentin ja neuvoston asetusten (EY) N:o 1924/2006 ja (EY) N:o 1925/2006 muuttamisesta sekä komission direktiivin 87/250/ETY, neuvoston direktiivin 90/496/ETY, komission direktiivin 1999/10/EY, Euroopan parlamentin ja neuvoston direktiivin 2000/13/EY, komission direktiivien 2002/67/EY ja 2008/5/EY sekä komission asetuksen (EY) N:o 608/2004 kumoamisesta 25 päivänä lokakuuta 2011 annettua Euroopan parlamentin ja neuvoston asetusta (EU) N:o 1169/2011 (EUVL L 304, 2011);</w:t>
      </w:r>
    </w:p>
    <w:p w14:paraId="127A09E5" w14:textId="6DE7FC0D" w:rsidR="00DA004C" w:rsidRPr="005A2F38" w:rsidRDefault="0059594E" w:rsidP="00073874">
      <w:pPr>
        <w:rPr>
          <w:rFonts w:ascii="Verdana" w:hAnsi="Verdana"/>
          <w:sz w:val="18"/>
          <w:szCs w:val="18"/>
        </w:rPr>
      </w:pPr>
      <w:r w:rsidRPr="005A2F38">
        <w:rPr>
          <w:rFonts w:ascii="Verdana" w:hAnsi="Verdana"/>
          <w:sz w:val="18"/>
          <w:szCs w:val="18"/>
        </w:rPr>
        <w:t xml:space="preserve">h. </w:t>
      </w:r>
      <w:r w:rsidRPr="005A2F38">
        <w:rPr>
          <w:rFonts w:ascii="Verdana" w:hAnsi="Verdana"/>
          <w:i/>
          <w:iCs/>
          <w:sz w:val="18"/>
          <w:szCs w:val="18"/>
        </w:rPr>
        <w:t>asetuksella (EY) 1925/2006</w:t>
      </w:r>
      <w:r w:rsidRPr="005A2F38">
        <w:rPr>
          <w:rFonts w:ascii="Verdana" w:hAnsi="Verdana"/>
          <w:i/>
          <w:sz w:val="18"/>
          <w:szCs w:val="18"/>
        </w:rPr>
        <w:t xml:space="preserve"> </w:t>
      </w:r>
      <w:r w:rsidRPr="005A2F38">
        <w:rPr>
          <w:rFonts w:ascii="Verdana" w:hAnsi="Verdana"/>
          <w:sz w:val="18"/>
          <w:szCs w:val="18"/>
        </w:rPr>
        <w:t>vitamiinien, kivennäisaineiden ja eräiden muiden aineiden lisäämisestä elintarvikkeisiin 20 päivänä joulukuuta 2006 annettua Euroopan parlamentin ja neuvoston asetusta (EY) N:o 1925/2006 (EUVL L 404, 2006);</w:t>
      </w:r>
    </w:p>
    <w:p w14:paraId="2CFACC32" w14:textId="72F7DD4B" w:rsidR="00073874" w:rsidRPr="005A2F38" w:rsidRDefault="0059594E" w:rsidP="00073874">
      <w:pPr>
        <w:rPr>
          <w:rFonts w:ascii="Verdana" w:hAnsi="Verdana"/>
          <w:sz w:val="18"/>
          <w:szCs w:val="18"/>
        </w:rPr>
      </w:pPr>
      <w:r w:rsidRPr="005A2F38">
        <w:rPr>
          <w:rFonts w:ascii="Verdana" w:hAnsi="Verdana"/>
          <w:sz w:val="18"/>
          <w:szCs w:val="18"/>
        </w:rPr>
        <w:t xml:space="preserve">i. </w:t>
      </w:r>
      <w:r w:rsidRPr="005A2F38">
        <w:rPr>
          <w:rFonts w:ascii="Verdana" w:hAnsi="Verdana"/>
          <w:i/>
          <w:sz w:val="18"/>
          <w:szCs w:val="18"/>
        </w:rPr>
        <w:t>äidinmaidonkorvikkeella</w:t>
      </w:r>
      <w:r w:rsidRPr="005A2F38">
        <w:rPr>
          <w:rFonts w:ascii="Verdana" w:hAnsi="Verdana"/>
          <w:sz w:val="18"/>
          <w:szCs w:val="18"/>
        </w:rPr>
        <w:t xml:space="preserve"> asetuksen (EU) N:o 609/2013 2 artiklan 2 kohdan c alakohdassa tarkoitettua elintarviketta. </w:t>
      </w:r>
    </w:p>
    <w:p w14:paraId="29F16D6D" w14:textId="77777777" w:rsidR="00532AC5" w:rsidRPr="005A2F38" w:rsidRDefault="00532AC5" w:rsidP="00073874">
      <w:pPr>
        <w:rPr>
          <w:rFonts w:ascii="Verdana" w:hAnsi="Verdana"/>
          <w:sz w:val="18"/>
          <w:szCs w:val="18"/>
        </w:rPr>
      </w:pPr>
    </w:p>
    <w:p w14:paraId="2C786F36" w14:textId="5D9F90D2" w:rsidR="00073874" w:rsidRPr="005A2F38" w:rsidRDefault="00073874" w:rsidP="00037899">
      <w:pPr>
        <w:keepNext/>
        <w:keepLines/>
        <w:rPr>
          <w:rFonts w:ascii="Verdana" w:hAnsi="Verdana"/>
          <w:b/>
          <w:sz w:val="18"/>
          <w:szCs w:val="18"/>
        </w:rPr>
      </w:pPr>
      <w:r w:rsidRPr="005A2F38">
        <w:rPr>
          <w:rFonts w:ascii="Verdana" w:hAnsi="Verdana"/>
          <w:b/>
          <w:sz w:val="18"/>
          <w:szCs w:val="18"/>
        </w:rPr>
        <w:t>2 §</w:t>
      </w:r>
    </w:p>
    <w:p w14:paraId="234F2450" w14:textId="5855778D" w:rsidR="00073874" w:rsidRPr="005A2F38" w:rsidRDefault="00073874" w:rsidP="00073874">
      <w:pPr>
        <w:rPr>
          <w:rFonts w:ascii="Verdana" w:hAnsi="Verdana"/>
          <w:sz w:val="18"/>
          <w:szCs w:val="18"/>
        </w:rPr>
      </w:pPr>
      <w:r w:rsidRPr="005A2F38">
        <w:rPr>
          <w:rFonts w:ascii="Verdana" w:hAnsi="Verdana"/>
          <w:sz w:val="18"/>
          <w:szCs w:val="18"/>
        </w:rPr>
        <w:t xml:space="preserve">Pikkulapsille tarkoitettujen juomien ja heille tarkoitetun maidon valmistus tai kaupan pitäminen muulla tavoin kuin tässä asetuksessa annettujen sääntöjen mukaisesti on kielletty. </w:t>
      </w:r>
    </w:p>
    <w:p w14:paraId="2E30E5A8" w14:textId="77777777" w:rsidR="00073874" w:rsidRPr="005A2F38" w:rsidRDefault="00073874" w:rsidP="00073874">
      <w:pPr>
        <w:rPr>
          <w:rFonts w:ascii="Verdana" w:hAnsi="Verdana"/>
          <w:sz w:val="18"/>
          <w:szCs w:val="18"/>
        </w:rPr>
      </w:pPr>
    </w:p>
    <w:p w14:paraId="24E73AA5" w14:textId="15D41956" w:rsidR="00073874" w:rsidRPr="005A2F38" w:rsidRDefault="00073874" w:rsidP="00037899">
      <w:pPr>
        <w:keepNext/>
        <w:keepLines/>
        <w:rPr>
          <w:rFonts w:ascii="Verdana" w:hAnsi="Verdana"/>
          <w:kern w:val="2"/>
          <w:sz w:val="18"/>
          <w:szCs w:val="18"/>
        </w:rPr>
      </w:pPr>
      <w:r w:rsidRPr="005A2F38">
        <w:rPr>
          <w:rFonts w:ascii="Verdana" w:hAnsi="Verdana"/>
          <w:b/>
          <w:sz w:val="18"/>
          <w:szCs w:val="18"/>
        </w:rPr>
        <w:t xml:space="preserve">2 osa. Koostumusta koskevat vaatimukset ja vitamiinien, kivennäisaineiden ja muiden aineiden lisääminen </w:t>
      </w:r>
    </w:p>
    <w:p w14:paraId="55C192E6" w14:textId="77777777" w:rsidR="00073874" w:rsidRPr="005A2F38" w:rsidRDefault="00073874" w:rsidP="00037899">
      <w:pPr>
        <w:keepNext/>
        <w:keepLines/>
        <w:rPr>
          <w:rFonts w:ascii="Verdana" w:hAnsi="Verdana"/>
          <w:kern w:val="2"/>
          <w:sz w:val="18"/>
          <w:szCs w:val="18"/>
        </w:rPr>
      </w:pPr>
    </w:p>
    <w:p w14:paraId="7E2D5BEA" w14:textId="64C7BCB6" w:rsidR="00073874" w:rsidRPr="005A2F38" w:rsidRDefault="00073874" w:rsidP="00037899">
      <w:pPr>
        <w:keepNext/>
        <w:keepLines/>
        <w:rPr>
          <w:rFonts w:ascii="Verdana" w:hAnsi="Verdana"/>
          <w:b/>
          <w:kern w:val="2"/>
          <w:sz w:val="18"/>
          <w:szCs w:val="18"/>
        </w:rPr>
      </w:pPr>
      <w:r w:rsidRPr="005A2F38">
        <w:rPr>
          <w:rFonts w:ascii="Verdana" w:hAnsi="Verdana"/>
          <w:b/>
          <w:sz w:val="18"/>
          <w:szCs w:val="18"/>
        </w:rPr>
        <w:t>3 §</w:t>
      </w:r>
    </w:p>
    <w:p w14:paraId="2D2C2276" w14:textId="46E8E83E" w:rsidR="00073874" w:rsidRPr="005A2F38" w:rsidRDefault="00073874" w:rsidP="00073874">
      <w:pPr>
        <w:rPr>
          <w:rFonts w:ascii="Verdana" w:hAnsi="Verdana"/>
          <w:kern w:val="2"/>
          <w:sz w:val="18"/>
          <w:szCs w:val="18"/>
        </w:rPr>
      </w:pPr>
      <w:r w:rsidRPr="005A2F38">
        <w:rPr>
          <w:rFonts w:ascii="Verdana" w:hAnsi="Verdana"/>
          <w:sz w:val="18"/>
          <w:szCs w:val="18"/>
        </w:rPr>
        <w:t xml:space="preserve">1. Pikkulapsille tarkoitettujen juomien ja heille tarkoitetun maidon on täytettävä vähintään asetuksen (EU) 2016/127 liitteessä II olevassa 2, 2.1, 2.2, 2.3, 2.4, 4, 4.1, 4.2, 4.3, 6, 6.1, 6.2, 6.3, 6.4 ja 6.5 kohdassa asetetut koostumusvaatimukset. </w:t>
      </w:r>
    </w:p>
    <w:p w14:paraId="1132C57D" w14:textId="6936D1CF" w:rsidR="00073874" w:rsidRPr="005A2F38" w:rsidRDefault="00073874" w:rsidP="00073874">
      <w:pPr>
        <w:rPr>
          <w:rFonts w:ascii="Verdana" w:hAnsi="Verdana"/>
          <w:kern w:val="2"/>
          <w:sz w:val="18"/>
          <w:szCs w:val="18"/>
        </w:rPr>
      </w:pPr>
      <w:r w:rsidRPr="005A2F38">
        <w:rPr>
          <w:rFonts w:ascii="Verdana" w:hAnsi="Verdana"/>
          <w:sz w:val="18"/>
          <w:szCs w:val="18"/>
        </w:rPr>
        <w:t xml:space="preserve">2. Poiketen siitä, mitä säädetään 1 momentissa, asetuksen (EU) 2016/127 liitteessä II olevassa 2.1 ja 2.2 kohdassa tarkoitettuja, liitteessä III olevaan A jaksoon liittyviä säännöksiä ei sovelleta. </w:t>
      </w:r>
    </w:p>
    <w:p w14:paraId="771BEBE1" w14:textId="41B6601B" w:rsidR="00E85F3B" w:rsidRPr="005A2F38" w:rsidRDefault="00876EE8" w:rsidP="00073874">
      <w:pPr>
        <w:rPr>
          <w:rFonts w:ascii="Verdana" w:hAnsi="Verdana"/>
          <w:kern w:val="2"/>
          <w:sz w:val="18"/>
          <w:szCs w:val="18"/>
        </w:rPr>
      </w:pPr>
      <w:r w:rsidRPr="005A2F38">
        <w:rPr>
          <w:rFonts w:ascii="Verdana" w:hAnsi="Verdana"/>
          <w:sz w:val="18"/>
          <w:szCs w:val="18"/>
        </w:rPr>
        <w:t xml:space="preserve">3. Poiketen siitä, mitä säädetään 1 momentissa ja asetuksen (EU) 2016/127 liitteessä II olevassa 4 kohdassa, rasvojen lisäämiseen pikkulapsille tarkoitettuihin juomiin ja heille tarkoitettuun maitoon ei sovelleta vähimmäispitoisuutta. </w:t>
      </w:r>
    </w:p>
    <w:p w14:paraId="71BE61C4" w14:textId="77777777" w:rsidR="00037899" w:rsidRPr="005A2F38" w:rsidRDefault="00876EE8" w:rsidP="00073874">
      <w:pPr>
        <w:rPr>
          <w:rFonts w:ascii="Verdana" w:hAnsi="Verdana"/>
          <w:kern w:val="2"/>
          <w:sz w:val="18"/>
          <w:szCs w:val="18"/>
        </w:rPr>
      </w:pPr>
      <w:r w:rsidRPr="005A2F38">
        <w:rPr>
          <w:rFonts w:ascii="Verdana" w:hAnsi="Verdana"/>
          <w:sz w:val="18"/>
          <w:szCs w:val="18"/>
        </w:rPr>
        <w:t xml:space="preserve">4. Pikkulapsille tarkoitettujen juomien ja heille tarkoitetun maidon energia-arvojen on oltava vähintään 45 kilokaloria 100:aa millilitraa kohti ja enintään 65 kilokaloria 100:aa millilitraa kohti. </w:t>
      </w:r>
    </w:p>
    <w:p w14:paraId="63CEFDDC" w14:textId="63A95212" w:rsidR="00073874" w:rsidRPr="005A2F38" w:rsidRDefault="00073874" w:rsidP="00073874">
      <w:pPr>
        <w:rPr>
          <w:rFonts w:ascii="Verdana" w:hAnsi="Verdana"/>
          <w:kern w:val="2"/>
          <w:sz w:val="18"/>
          <w:szCs w:val="18"/>
        </w:rPr>
      </w:pPr>
    </w:p>
    <w:p w14:paraId="7B39DB90" w14:textId="262B4376" w:rsidR="00037899" w:rsidRPr="005A2F38" w:rsidRDefault="00073874" w:rsidP="00037899">
      <w:pPr>
        <w:keepNext/>
        <w:keepLines/>
        <w:rPr>
          <w:rFonts w:ascii="Verdana" w:hAnsi="Verdana"/>
          <w:b/>
          <w:kern w:val="2"/>
          <w:sz w:val="18"/>
          <w:szCs w:val="18"/>
        </w:rPr>
      </w:pPr>
      <w:r w:rsidRPr="005A2F38">
        <w:rPr>
          <w:rFonts w:ascii="Verdana" w:hAnsi="Verdana"/>
          <w:b/>
          <w:sz w:val="18"/>
          <w:szCs w:val="18"/>
        </w:rPr>
        <w:t>4 §</w:t>
      </w:r>
    </w:p>
    <w:p w14:paraId="3E35E20F" w14:textId="2FB98541" w:rsidR="00073874" w:rsidRPr="005A2F38" w:rsidRDefault="00073874" w:rsidP="00073874">
      <w:pPr>
        <w:rPr>
          <w:rFonts w:ascii="Verdana" w:hAnsi="Verdana"/>
          <w:b/>
          <w:kern w:val="2"/>
          <w:sz w:val="18"/>
          <w:szCs w:val="18"/>
        </w:rPr>
      </w:pPr>
      <w:r w:rsidRPr="005A2F38">
        <w:rPr>
          <w:rFonts w:ascii="Verdana" w:hAnsi="Verdana"/>
          <w:sz w:val="18"/>
          <w:szCs w:val="18"/>
        </w:rPr>
        <w:t>1. Pikkulapsille tarkoitettuihin juomiin ja heille tarkoitettuun maitoon saa lisätä asetuksen (EU) 2016/127 liitteessä II olevassa 3, 4.4, 4.5, 4.6, 4.7, 5, 7, 8, 8.1, 8.2, 9 ja 10 kohdassa lueteltuja vitamiineja, kivennäisaineita tai muita aineita ainoastaan, mikäli kyseisissä kohdissa asetettuja koostumusvaatimuksia noudatetaan.</w:t>
      </w:r>
    </w:p>
    <w:p w14:paraId="6830D50F" w14:textId="1B4CC663" w:rsidR="00073874" w:rsidRPr="005A2F38" w:rsidRDefault="00454516" w:rsidP="00073874">
      <w:pPr>
        <w:rPr>
          <w:rFonts w:ascii="Verdana" w:hAnsi="Verdana"/>
          <w:kern w:val="2"/>
          <w:sz w:val="18"/>
          <w:szCs w:val="18"/>
        </w:rPr>
      </w:pPr>
      <w:r w:rsidRPr="005A2F38">
        <w:rPr>
          <w:rFonts w:ascii="Verdana" w:hAnsi="Verdana"/>
          <w:sz w:val="18"/>
          <w:szCs w:val="18"/>
        </w:rPr>
        <w:t xml:space="preserve">2. Poiketen siitä, mitä säädetään 1 momentissa ja asetuksen (EU) 2016/127 liitteessä II olevassa 8.1 kohdassa, natriumin lisäämiseen pikkulapsille tarkoitettuihin juomiin ja heille tarkoitettuun maitoon ei sovelleta vähimmäispitoisuutta. </w:t>
      </w:r>
    </w:p>
    <w:p w14:paraId="346A7FAF" w14:textId="77777777" w:rsidR="00073874" w:rsidRPr="005A2F38" w:rsidRDefault="00073874" w:rsidP="00073874">
      <w:pPr>
        <w:rPr>
          <w:rFonts w:ascii="Verdana" w:hAnsi="Verdana"/>
          <w:kern w:val="2"/>
          <w:sz w:val="18"/>
          <w:szCs w:val="18"/>
        </w:rPr>
      </w:pPr>
    </w:p>
    <w:p w14:paraId="72268EE8" w14:textId="1A6169F9" w:rsidR="00037899" w:rsidRPr="005A2F38" w:rsidRDefault="00073874" w:rsidP="00037899">
      <w:pPr>
        <w:keepNext/>
        <w:keepLines/>
        <w:rPr>
          <w:rFonts w:ascii="Verdana" w:hAnsi="Verdana"/>
          <w:kern w:val="2"/>
          <w:sz w:val="18"/>
          <w:szCs w:val="18"/>
        </w:rPr>
      </w:pPr>
      <w:r w:rsidRPr="005A2F38">
        <w:rPr>
          <w:rFonts w:ascii="Verdana" w:hAnsi="Verdana"/>
          <w:b/>
          <w:sz w:val="18"/>
          <w:szCs w:val="18"/>
        </w:rPr>
        <w:t>5 §</w:t>
      </w:r>
    </w:p>
    <w:p w14:paraId="74B1313E" w14:textId="75A9120E" w:rsidR="00073874" w:rsidRPr="005A2F38" w:rsidRDefault="00DA004C" w:rsidP="00073874">
      <w:pPr>
        <w:rPr>
          <w:rFonts w:ascii="Verdana" w:hAnsi="Verdana"/>
          <w:kern w:val="2"/>
          <w:sz w:val="18"/>
          <w:szCs w:val="18"/>
        </w:rPr>
      </w:pPr>
      <w:r w:rsidRPr="005A2F38">
        <w:rPr>
          <w:rFonts w:ascii="Verdana" w:hAnsi="Verdana"/>
          <w:sz w:val="18"/>
          <w:szCs w:val="18"/>
        </w:rPr>
        <w:t>Asetuksen 2 §:n 2 momenttia ei sovelleta pikkulapsille tarkoitettuihin juomiin ja heille tarkoitettuun maitoon siltä osin kuin kyseinen momentti liittyy asetuksen (EY) 1925/2006 3 artiklan 1 kohtaan ja 6 artiklan 1 ja 6 kohtaan sekä mikroravintoaineiden lisäämisestä elintarvikkeisiin tavaralain nojalla annetun asetuksen 5 ja 6 §:ään.</w:t>
      </w:r>
    </w:p>
    <w:p w14:paraId="4912BEAB" w14:textId="77777777" w:rsidR="00073874" w:rsidRPr="005A2F38" w:rsidRDefault="00073874" w:rsidP="00073874">
      <w:pPr>
        <w:rPr>
          <w:rFonts w:ascii="Verdana" w:hAnsi="Verdana"/>
          <w:kern w:val="2"/>
          <w:sz w:val="18"/>
          <w:szCs w:val="18"/>
        </w:rPr>
      </w:pPr>
    </w:p>
    <w:p w14:paraId="6F2974DE" w14:textId="77777777" w:rsidR="00073874" w:rsidRPr="005A2F38" w:rsidRDefault="00073874" w:rsidP="00037899">
      <w:pPr>
        <w:keepNext/>
        <w:keepLines/>
        <w:rPr>
          <w:rFonts w:ascii="Verdana" w:hAnsi="Verdana"/>
          <w:kern w:val="2"/>
          <w:sz w:val="18"/>
          <w:szCs w:val="18"/>
        </w:rPr>
      </w:pPr>
      <w:r w:rsidRPr="005A2F38">
        <w:rPr>
          <w:rFonts w:ascii="Verdana" w:hAnsi="Verdana"/>
          <w:b/>
          <w:sz w:val="18"/>
          <w:szCs w:val="18"/>
        </w:rPr>
        <w:t>3 osa. Merkinnät, maininnat ja esillepano</w:t>
      </w:r>
    </w:p>
    <w:p w14:paraId="2475652E" w14:textId="77777777" w:rsidR="00073874" w:rsidRPr="005A2F38" w:rsidRDefault="00073874" w:rsidP="00037899">
      <w:pPr>
        <w:keepNext/>
        <w:keepLines/>
        <w:rPr>
          <w:rFonts w:ascii="Verdana" w:hAnsi="Verdana"/>
          <w:kern w:val="2"/>
          <w:sz w:val="18"/>
          <w:szCs w:val="18"/>
        </w:rPr>
      </w:pPr>
    </w:p>
    <w:p w14:paraId="46B76B5B" w14:textId="20807AA9" w:rsidR="00073874" w:rsidRPr="005A2F38" w:rsidRDefault="00073874" w:rsidP="00037899">
      <w:pPr>
        <w:keepNext/>
        <w:keepLines/>
        <w:rPr>
          <w:rFonts w:ascii="Verdana" w:hAnsi="Verdana"/>
          <w:b/>
          <w:kern w:val="2"/>
          <w:sz w:val="18"/>
          <w:szCs w:val="18"/>
        </w:rPr>
      </w:pPr>
      <w:r w:rsidRPr="005A2F38">
        <w:rPr>
          <w:rFonts w:ascii="Verdana" w:hAnsi="Verdana"/>
          <w:b/>
          <w:sz w:val="18"/>
          <w:szCs w:val="18"/>
        </w:rPr>
        <w:t>6 §</w:t>
      </w:r>
    </w:p>
    <w:p w14:paraId="059E4D24" w14:textId="7778BEC0" w:rsidR="00073874" w:rsidRPr="005A2F38" w:rsidRDefault="00073874" w:rsidP="00073874">
      <w:pPr>
        <w:rPr>
          <w:rFonts w:ascii="Verdana" w:hAnsi="Verdana"/>
          <w:kern w:val="2"/>
          <w:sz w:val="18"/>
          <w:szCs w:val="18"/>
        </w:rPr>
      </w:pPr>
      <w:r w:rsidRPr="005A2F38">
        <w:rPr>
          <w:rFonts w:ascii="Verdana" w:hAnsi="Verdana"/>
          <w:sz w:val="18"/>
          <w:szCs w:val="18"/>
        </w:rPr>
        <w:t xml:space="preserve">1. Merkintää </w:t>
      </w:r>
      <w:r w:rsidRPr="005A2F38">
        <w:rPr>
          <w:rFonts w:ascii="Verdana" w:hAnsi="Verdana"/>
          <w:i/>
          <w:iCs/>
          <w:sz w:val="18"/>
          <w:szCs w:val="18"/>
        </w:rPr>
        <w:t>pikkulapsille tarkoitettu juoma</w:t>
      </w:r>
      <w:r w:rsidRPr="005A2F38">
        <w:rPr>
          <w:rFonts w:ascii="Verdana" w:hAnsi="Verdana"/>
          <w:sz w:val="18"/>
          <w:szCs w:val="18"/>
        </w:rPr>
        <w:t xml:space="preserve"> saa käyttää vain pikkulapsille tarkoitetuissa juomissa, jotka eivät perustu yksinomaan lehmän tai vuohen maitoproteiiniin. </w:t>
      </w:r>
    </w:p>
    <w:p w14:paraId="250211B5" w14:textId="77777777" w:rsidR="00073874" w:rsidRPr="005A2F38" w:rsidRDefault="00073874" w:rsidP="00073874">
      <w:pPr>
        <w:rPr>
          <w:rFonts w:ascii="Verdana" w:hAnsi="Verdana"/>
          <w:kern w:val="2"/>
          <w:sz w:val="18"/>
          <w:szCs w:val="18"/>
        </w:rPr>
      </w:pPr>
      <w:r w:rsidRPr="005A2F38">
        <w:rPr>
          <w:rFonts w:ascii="Verdana" w:hAnsi="Verdana"/>
          <w:sz w:val="18"/>
          <w:szCs w:val="18"/>
        </w:rPr>
        <w:t xml:space="preserve">2. Merkintää </w:t>
      </w:r>
      <w:r w:rsidRPr="005A2F38">
        <w:rPr>
          <w:rFonts w:ascii="Verdana" w:hAnsi="Verdana"/>
          <w:i/>
          <w:iCs/>
          <w:sz w:val="18"/>
          <w:szCs w:val="18"/>
        </w:rPr>
        <w:t>pikkulapsille tarkoitettu maito</w:t>
      </w:r>
      <w:r w:rsidRPr="005A2F38">
        <w:rPr>
          <w:rFonts w:ascii="Verdana" w:hAnsi="Verdana"/>
          <w:sz w:val="18"/>
          <w:szCs w:val="18"/>
        </w:rPr>
        <w:t xml:space="preserve"> saa käyttää vain pikkulapsille tarkoitetussa maidossa.</w:t>
      </w:r>
    </w:p>
    <w:p w14:paraId="5B6E05FF" w14:textId="77777777" w:rsidR="00073874" w:rsidRPr="005A2F38" w:rsidRDefault="00073874" w:rsidP="00073874">
      <w:pPr>
        <w:rPr>
          <w:rFonts w:ascii="Verdana" w:hAnsi="Verdana"/>
          <w:kern w:val="2"/>
          <w:sz w:val="18"/>
          <w:szCs w:val="18"/>
        </w:rPr>
      </w:pPr>
    </w:p>
    <w:p w14:paraId="26E8FF26" w14:textId="046956F1" w:rsidR="00073874" w:rsidRPr="005A2F38" w:rsidRDefault="0059594E" w:rsidP="00037899">
      <w:pPr>
        <w:keepNext/>
        <w:keepLines/>
        <w:rPr>
          <w:rFonts w:ascii="Verdana" w:hAnsi="Verdana"/>
          <w:b/>
          <w:kern w:val="2"/>
          <w:sz w:val="18"/>
          <w:szCs w:val="18"/>
        </w:rPr>
      </w:pPr>
      <w:r w:rsidRPr="005A2F38">
        <w:rPr>
          <w:rFonts w:ascii="Verdana" w:hAnsi="Verdana"/>
          <w:b/>
          <w:sz w:val="18"/>
          <w:szCs w:val="18"/>
        </w:rPr>
        <w:lastRenderedPageBreak/>
        <w:t>7 §</w:t>
      </w:r>
    </w:p>
    <w:p w14:paraId="539123C7" w14:textId="2921C0D0" w:rsidR="00073874" w:rsidRPr="005A2F38" w:rsidRDefault="00073874" w:rsidP="00037899">
      <w:pPr>
        <w:keepNext/>
        <w:keepLines/>
        <w:rPr>
          <w:rFonts w:ascii="Verdana" w:hAnsi="Verdana"/>
          <w:kern w:val="2"/>
          <w:sz w:val="18"/>
          <w:szCs w:val="18"/>
        </w:rPr>
      </w:pPr>
      <w:r w:rsidRPr="005A2F38">
        <w:rPr>
          <w:rFonts w:ascii="Verdana" w:hAnsi="Verdana"/>
          <w:sz w:val="18"/>
          <w:szCs w:val="18"/>
        </w:rPr>
        <w:t xml:space="preserve">Kun pidetään kaupan pikkulapsille tarkoitettuja juomia ja heille tarkoitettua maitoa, on mainittava seuraavat asiat: </w:t>
      </w:r>
    </w:p>
    <w:p w14:paraId="0216745F" w14:textId="77777777" w:rsidR="00073874" w:rsidRPr="005A2F38" w:rsidRDefault="00073874" w:rsidP="00073874">
      <w:pPr>
        <w:rPr>
          <w:rFonts w:ascii="Verdana" w:hAnsi="Verdana"/>
          <w:kern w:val="2"/>
          <w:sz w:val="18"/>
          <w:szCs w:val="18"/>
        </w:rPr>
      </w:pPr>
      <w:r w:rsidRPr="005A2F38">
        <w:rPr>
          <w:rFonts w:ascii="Verdana" w:hAnsi="Verdana"/>
          <w:sz w:val="18"/>
          <w:szCs w:val="18"/>
        </w:rPr>
        <w:t>a. 1–3 vuoden ikäluokka, jolle kyseessä oleva tuote on tarkoitettu;</w:t>
      </w:r>
    </w:p>
    <w:p w14:paraId="327B0348" w14:textId="77777777" w:rsidR="00073874" w:rsidRPr="005A2F38" w:rsidRDefault="00073874" w:rsidP="00073874">
      <w:pPr>
        <w:rPr>
          <w:rFonts w:ascii="Verdana" w:hAnsi="Verdana"/>
          <w:kern w:val="2"/>
          <w:sz w:val="18"/>
          <w:szCs w:val="18"/>
        </w:rPr>
      </w:pPr>
      <w:r w:rsidRPr="005A2F38">
        <w:rPr>
          <w:rFonts w:ascii="Verdana" w:hAnsi="Verdana"/>
          <w:sz w:val="18"/>
          <w:szCs w:val="18"/>
        </w:rPr>
        <w:t xml:space="preserve">b. se, että tuote ei korvaa monipuolista ruokavaliota; </w:t>
      </w:r>
    </w:p>
    <w:p w14:paraId="34399F6D" w14:textId="58BDC858" w:rsidR="00073874" w:rsidRPr="005A2F38" w:rsidRDefault="00073874" w:rsidP="00073874">
      <w:pPr>
        <w:rPr>
          <w:rFonts w:ascii="Verdana" w:hAnsi="Verdana"/>
          <w:kern w:val="2"/>
          <w:sz w:val="18"/>
          <w:szCs w:val="18"/>
        </w:rPr>
      </w:pPr>
      <w:r w:rsidRPr="005A2F38">
        <w:rPr>
          <w:rFonts w:ascii="Verdana" w:hAnsi="Verdana"/>
          <w:sz w:val="18"/>
          <w:szCs w:val="18"/>
        </w:rPr>
        <w:t xml:space="preserve">c. se, että tuote ei korvaa D-vitamiiniravintolisää; ja </w:t>
      </w:r>
    </w:p>
    <w:p w14:paraId="21A5E0E8" w14:textId="77777777" w:rsidR="00073874" w:rsidRPr="005A2F38" w:rsidRDefault="00073874" w:rsidP="00073874">
      <w:pPr>
        <w:rPr>
          <w:rFonts w:ascii="Verdana" w:hAnsi="Verdana"/>
          <w:kern w:val="2"/>
          <w:sz w:val="18"/>
          <w:szCs w:val="18"/>
        </w:rPr>
      </w:pPr>
      <w:r w:rsidRPr="005A2F38">
        <w:rPr>
          <w:rFonts w:ascii="Verdana" w:hAnsi="Verdana"/>
          <w:sz w:val="18"/>
          <w:szCs w:val="18"/>
        </w:rPr>
        <w:t>d. maininta siitä, että tuote ei korvaa äidinmaitoa.</w:t>
      </w:r>
    </w:p>
    <w:p w14:paraId="73B1E29E" w14:textId="77777777" w:rsidR="00073874" w:rsidRPr="005A2F38" w:rsidRDefault="00073874" w:rsidP="00073874">
      <w:pPr>
        <w:rPr>
          <w:rFonts w:ascii="Verdana" w:hAnsi="Verdana"/>
          <w:kern w:val="2"/>
          <w:sz w:val="18"/>
          <w:szCs w:val="18"/>
        </w:rPr>
      </w:pPr>
    </w:p>
    <w:p w14:paraId="0A4FCC66" w14:textId="55362CCC" w:rsidR="00073874" w:rsidRPr="005A2F38" w:rsidRDefault="0059594E" w:rsidP="00037899">
      <w:pPr>
        <w:keepNext/>
        <w:keepLines/>
        <w:rPr>
          <w:rFonts w:ascii="Verdana" w:hAnsi="Verdana"/>
          <w:b/>
          <w:kern w:val="2"/>
          <w:sz w:val="18"/>
          <w:szCs w:val="18"/>
        </w:rPr>
      </w:pPr>
      <w:r w:rsidRPr="005A2F38">
        <w:rPr>
          <w:rFonts w:ascii="Verdana" w:hAnsi="Verdana"/>
          <w:b/>
          <w:sz w:val="18"/>
          <w:szCs w:val="18"/>
        </w:rPr>
        <w:t>8 §</w:t>
      </w:r>
    </w:p>
    <w:p w14:paraId="3261286B" w14:textId="2DB08B59" w:rsidR="00073874" w:rsidRPr="005A2F38" w:rsidRDefault="00073874" w:rsidP="00380913">
      <w:pPr>
        <w:rPr>
          <w:rFonts w:ascii="Verdana" w:hAnsi="Verdana"/>
          <w:kern w:val="2"/>
          <w:sz w:val="18"/>
          <w:szCs w:val="18"/>
        </w:rPr>
      </w:pPr>
      <w:r w:rsidRPr="005A2F38">
        <w:rPr>
          <w:rFonts w:ascii="Verdana" w:hAnsi="Verdana"/>
          <w:sz w:val="18"/>
          <w:szCs w:val="18"/>
        </w:rPr>
        <w:t>Pikkulapsille tarkoitettujen juomien ja heille tarkoitetun maidon merkinnöissä ja esillepanossa ei saa käyttää tekstiä, kuvia tai värejä, jotka luovat vaikutelman, jonka mukaan kyseisillä tuotteilla voitaisiin korvata aiemmin käytetyt äidinmaidonkorvikkeet ja vieroitusvalmisteet.</w:t>
      </w:r>
    </w:p>
    <w:p w14:paraId="54584FA9" w14:textId="7987D654" w:rsidR="00073874" w:rsidRPr="005A2F38" w:rsidRDefault="00073874" w:rsidP="00073874">
      <w:pPr>
        <w:rPr>
          <w:rFonts w:ascii="Verdana" w:hAnsi="Verdana"/>
          <w:kern w:val="2"/>
          <w:sz w:val="18"/>
          <w:szCs w:val="18"/>
        </w:rPr>
      </w:pPr>
    </w:p>
    <w:p w14:paraId="5AF4E879" w14:textId="76FCD6BC" w:rsidR="00073874" w:rsidRPr="005A2F38" w:rsidRDefault="0059594E" w:rsidP="00037899">
      <w:pPr>
        <w:keepNext/>
        <w:keepLines/>
        <w:rPr>
          <w:rFonts w:ascii="Verdana" w:hAnsi="Verdana"/>
          <w:b/>
          <w:kern w:val="2"/>
          <w:sz w:val="18"/>
          <w:szCs w:val="18"/>
        </w:rPr>
      </w:pPr>
      <w:r w:rsidRPr="005A2F38">
        <w:rPr>
          <w:rFonts w:ascii="Verdana" w:hAnsi="Verdana"/>
          <w:b/>
          <w:sz w:val="18"/>
          <w:szCs w:val="18"/>
        </w:rPr>
        <w:t>9 §</w:t>
      </w:r>
    </w:p>
    <w:p w14:paraId="0087613F" w14:textId="5D330349" w:rsidR="00073874" w:rsidRPr="005A2F38" w:rsidRDefault="00073874" w:rsidP="00073874">
      <w:pPr>
        <w:rPr>
          <w:rFonts w:ascii="Verdana" w:hAnsi="Verdana"/>
          <w:kern w:val="2"/>
          <w:sz w:val="18"/>
          <w:szCs w:val="18"/>
        </w:rPr>
      </w:pPr>
      <w:r w:rsidRPr="005A2F38">
        <w:rPr>
          <w:rFonts w:ascii="Verdana" w:hAnsi="Verdana"/>
          <w:sz w:val="18"/>
          <w:szCs w:val="18"/>
        </w:rPr>
        <w:t xml:space="preserve">1. Poiketen siitä, mitä säädetään asetuksen (EU) N:o 1169/2011 31 artiklan 3 kohdassa, 32 artiklan 2 kohdassa ja 33 artiklan 1 kohdassa, pikkulapsille tarkoitettujen juomien ja heille tarkoitetun maidon energia-arvo ja ravintoaineiden määrä on ilmaistava 100:aa millilitraa valmistajan ohjeiden mukaisesti valmistettua käyttövalmista tuotetta kohti. </w:t>
      </w:r>
    </w:p>
    <w:p w14:paraId="64AA67F4" w14:textId="68DE9A1D" w:rsidR="00073874" w:rsidRPr="005A2F38" w:rsidRDefault="00073874" w:rsidP="00073874">
      <w:pPr>
        <w:rPr>
          <w:rFonts w:ascii="Verdana" w:hAnsi="Verdana"/>
          <w:kern w:val="2"/>
          <w:sz w:val="18"/>
          <w:szCs w:val="18"/>
        </w:rPr>
      </w:pPr>
      <w:r w:rsidRPr="005A2F38">
        <w:rPr>
          <w:rFonts w:ascii="Verdana" w:hAnsi="Verdana"/>
          <w:sz w:val="18"/>
          <w:szCs w:val="18"/>
        </w:rPr>
        <w:t>2. Tiedot voidaan soveltuvissa tapauksissa ilmaista myös 100:aa grammaa elintarviketta, sellaisena kuin sitä myydään, kohti.</w:t>
      </w:r>
    </w:p>
    <w:p w14:paraId="7862F313" w14:textId="77777777" w:rsidR="00073874" w:rsidRPr="005A2F38" w:rsidRDefault="00073874" w:rsidP="00073874">
      <w:pPr>
        <w:rPr>
          <w:rFonts w:ascii="Verdana" w:hAnsi="Verdana"/>
          <w:b/>
          <w:kern w:val="2"/>
          <w:sz w:val="18"/>
          <w:szCs w:val="18"/>
        </w:rPr>
      </w:pPr>
    </w:p>
    <w:p w14:paraId="1820C1AA" w14:textId="5CC6E46E" w:rsidR="00037899" w:rsidRPr="005A2F38" w:rsidRDefault="00073874" w:rsidP="00037899">
      <w:pPr>
        <w:keepNext/>
        <w:keepLines/>
        <w:rPr>
          <w:rFonts w:ascii="Verdana" w:hAnsi="Verdana"/>
          <w:b/>
          <w:kern w:val="2"/>
          <w:sz w:val="18"/>
          <w:szCs w:val="18"/>
        </w:rPr>
      </w:pPr>
      <w:r w:rsidRPr="005A2F38">
        <w:rPr>
          <w:rFonts w:ascii="Verdana" w:hAnsi="Verdana"/>
          <w:b/>
          <w:sz w:val="18"/>
          <w:szCs w:val="18"/>
        </w:rPr>
        <w:t>10 §</w:t>
      </w:r>
    </w:p>
    <w:p w14:paraId="292C28A0" w14:textId="4C4542CE" w:rsidR="00073874" w:rsidRPr="005A2F38" w:rsidRDefault="00073874" w:rsidP="00073874">
      <w:pPr>
        <w:rPr>
          <w:rFonts w:ascii="Verdana" w:hAnsi="Verdana"/>
          <w:kern w:val="2"/>
          <w:sz w:val="18"/>
          <w:szCs w:val="18"/>
        </w:rPr>
      </w:pPr>
      <w:r w:rsidRPr="005A2F38">
        <w:rPr>
          <w:rFonts w:ascii="Verdana" w:hAnsi="Verdana"/>
          <w:sz w:val="18"/>
          <w:szCs w:val="18"/>
        </w:rPr>
        <w:t xml:space="preserve">Poiketen siitä, mitä säädetään asetuksen (EU) 1169/2011 32 artiklan 3 ja 4 kohdassa, mahdollisessa pikkulapsille tarkoitettujen juomien ja heille tarkoitetun maidon ravintoaineiden määrää koskevassa maininnassa ravintoaineiden määrä on ilmaistava prosenttiosuutena asetuksen (EU) 2016/127 liitteessä VII vahvistetusta viitearvosta 100:aa millilitraa valmistajan ohjeiden mukaisesti valmistettua käyttövalmista elintarviketta kohti. </w:t>
      </w:r>
    </w:p>
    <w:p w14:paraId="45D2EEF8" w14:textId="77777777" w:rsidR="00896EB5" w:rsidRPr="005A2F38" w:rsidRDefault="00896EB5" w:rsidP="00073874">
      <w:pPr>
        <w:rPr>
          <w:rFonts w:ascii="Verdana" w:hAnsi="Verdana"/>
          <w:b/>
          <w:kern w:val="2"/>
          <w:sz w:val="18"/>
          <w:szCs w:val="18"/>
        </w:rPr>
      </w:pPr>
    </w:p>
    <w:p w14:paraId="6CBE7FC7" w14:textId="77777777" w:rsidR="00073874" w:rsidRPr="005A2F38" w:rsidRDefault="00073874" w:rsidP="00037899">
      <w:pPr>
        <w:keepNext/>
        <w:keepLines/>
        <w:rPr>
          <w:rFonts w:ascii="Verdana" w:hAnsi="Verdana"/>
          <w:kern w:val="2"/>
          <w:sz w:val="18"/>
          <w:szCs w:val="18"/>
        </w:rPr>
      </w:pPr>
      <w:r w:rsidRPr="005A2F38">
        <w:rPr>
          <w:rFonts w:ascii="Verdana" w:hAnsi="Verdana"/>
          <w:b/>
          <w:sz w:val="18"/>
          <w:szCs w:val="18"/>
        </w:rPr>
        <w:t>4 osa. Loppusäännökset</w:t>
      </w:r>
    </w:p>
    <w:p w14:paraId="6338F9B0" w14:textId="77777777" w:rsidR="00073874" w:rsidRPr="005A2F38" w:rsidRDefault="00073874" w:rsidP="00037899">
      <w:pPr>
        <w:keepNext/>
        <w:keepLines/>
        <w:rPr>
          <w:rFonts w:ascii="Verdana" w:hAnsi="Verdana"/>
          <w:kern w:val="2"/>
          <w:sz w:val="18"/>
          <w:szCs w:val="18"/>
        </w:rPr>
      </w:pPr>
    </w:p>
    <w:p w14:paraId="0EF71A57" w14:textId="5ABBF041" w:rsidR="00073874" w:rsidRPr="005A2F38" w:rsidRDefault="00545ABF" w:rsidP="00037899">
      <w:pPr>
        <w:keepNext/>
        <w:keepLines/>
        <w:rPr>
          <w:rFonts w:ascii="Verdana" w:hAnsi="Verdana"/>
          <w:b/>
          <w:kern w:val="2"/>
          <w:sz w:val="18"/>
          <w:szCs w:val="18"/>
        </w:rPr>
      </w:pPr>
      <w:r w:rsidRPr="005A2F38">
        <w:rPr>
          <w:rFonts w:ascii="Verdana" w:hAnsi="Verdana"/>
          <w:b/>
          <w:sz w:val="18"/>
          <w:szCs w:val="18"/>
        </w:rPr>
        <w:t>11 §</w:t>
      </w:r>
    </w:p>
    <w:p w14:paraId="38BA3454" w14:textId="77777777" w:rsidR="00073874" w:rsidRPr="005A2F38" w:rsidRDefault="00073874" w:rsidP="00037899">
      <w:pPr>
        <w:keepNext/>
        <w:keepLines/>
        <w:rPr>
          <w:rFonts w:ascii="Verdana" w:hAnsi="Verdana"/>
          <w:kern w:val="2"/>
          <w:sz w:val="18"/>
          <w:szCs w:val="18"/>
        </w:rPr>
      </w:pPr>
      <w:r w:rsidRPr="005A2F38">
        <w:rPr>
          <w:rFonts w:ascii="Verdana" w:hAnsi="Verdana"/>
          <w:sz w:val="18"/>
          <w:szCs w:val="18"/>
        </w:rPr>
        <w:t>Muutetaan mikroravintoaineiden lisäämisestä elintarvikkeisiin tavaralain nojalla annettu asetus seuraavasti:</w:t>
      </w:r>
    </w:p>
    <w:p w14:paraId="5A76413F" w14:textId="77777777" w:rsidR="00073874" w:rsidRPr="005A2F38" w:rsidRDefault="00073874" w:rsidP="00037899">
      <w:pPr>
        <w:keepNext/>
        <w:keepLines/>
        <w:rPr>
          <w:rFonts w:ascii="Verdana" w:hAnsi="Verdana"/>
          <w:kern w:val="2"/>
          <w:sz w:val="18"/>
          <w:szCs w:val="18"/>
        </w:rPr>
      </w:pPr>
    </w:p>
    <w:p w14:paraId="05B1F9B6" w14:textId="77777777" w:rsidR="00073874" w:rsidRPr="005A2F38" w:rsidRDefault="00073874" w:rsidP="00037899">
      <w:pPr>
        <w:keepNext/>
        <w:keepLines/>
        <w:rPr>
          <w:rFonts w:ascii="Verdana" w:hAnsi="Verdana"/>
          <w:kern w:val="2"/>
          <w:sz w:val="18"/>
          <w:szCs w:val="18"/>
        </w:rPr>
      </w:pPr>
      <w:r w:rsidRPr="005A2F38">
        <w:rPr>
          <w:rFonts w:ascii="Verdana" w:hAnsi="Verdana"/>
          <w:sz w:val="18"/>
          <w:szCs w:val="18"/>
        </w:rPr>
        <w:t>A</w:t>
      </w:r>
    </w:p>
    <w:p w14:paraId="17C57D35" w14:textId="77777777" w:rsidR="00073874" w:rsidRPr="005A2F38" w:rsidRDefault="00073874" w:rsidP="00037899">
      <w:pPr>
        <w:keepNext/>
        <w:keepLines/>
        <w:rPr>
          <w:rFonts w:ascii="Verdana" w:hAnsi="Verdana"/>
          <w:kern w:val="2"/>
          <w:sz w:val="18"/>
          <w:szCs w:val="18"/>
        </w:rPr>
      </w:pPr>
    </w:p>
    <w:p w14:paraId="0E6115AD" w14:textId="5EA7AABF" w:rsidR="00073874" w:rsidRPr="005A2F38" w:rsidRDefault="00073874" w:rsidP="00073874">
      <w:pPr>
        <w:rPr>
          <w:rFonts w:ascii="Verdana" w:hAnsi="Verdana"/>
          <w:kern w:val="2"/>
          <w:sz w:val="18"/>
          <w:szCs w:val="18"/>
        </w:rPr>
      </w:pPr>
      <w:r w:rsidRPr="005A2F38">
        <w:rPr>
          <w:rFonts w:ascii="Verdana" w:hAnsi="Verdana"/>
          <w:sz w:val="18"/>
          <w:szCs w:val="18"/>
        </w:rPr>
        <w:t>Korvataan 1 §:n 1 momentin e alamomentissa ilmaisu ”suositeltu päivittäinen määrä” ilmaisulla ”viitesaannit”.</w:t>
      </w:r>
    </w:p>
    <w:p w14:paraId="3D8942E6" w14:textId="77777777" w:rsidR="00073874" w:rsidRPr="005A2F38" w:rsidRDefault="00073874" w:rsidP="00073874">
      <w:pPr>
        <w:rPr>
          <w:rFonts w:ascii="Verdana" w:hAnsi="Verdana"/>
          <w:kern w:val="2"/>
          <w:sz w:val="18"/>
          <w:szCs w:val="18"/>
        </w:rPr>
      </w:pPr>
    </w:p>
    <w:p w14:paraId="55D83C1B" w14:textId="77777777" w:rsidR="00073874" w:rsidRPr="005A2F38" w:rsidRDefault="00073874" w:rsidP="00037899">
      <w:pPr>
        <w:keepNext/>
        <w:keepLines/>
        <w:rPr>
          <w:rFonts w:ascii="Verdana" w:hAnsi="Verdana"/>
          <w:kern w:val="2"/>
          <w:sz w:val="18"/>
          <w:szCs w:val="18"/>
        </w:rPr>
      </w:pPr>
      <w:r w:rsidRPr="005A2F38">
        <w:rPr>
          <w:rFonts w:ascii="Verdana" w:hAnsi="Verdana"/>
          <w:sz w:val="18"/>
          <w:szCs w:val="18"/>
        </w:rPr>
        <w:t>B</w:t>
      </w:r>
    </w:p>
    <w:p w14:paraId="6386CDBE" w14:textId="77777777" w:rsidR="00073874" w:rsidRPr="005A2F38" w:rsidRDefault="00073874" w:rsidP="00037899">
      <w:pPr>
        <w:keepNext/>
        <w:keepLines/>
        <w:rPr>
          <w:rFonts w:ascii="Verdana" w:hAnsi="Verdana"/>
          <w:kern w:val="2"/>
          <w:sz w:val="18"/>
          <w:szCs w:val="18"/>
        </w:rPr>
      </w:pPr>
    </w:p>
    <w:p w14:paraId="458FEE7B" w14:textId="77777777" w:rsidR="00073874" w:rsidRPr="005A2F38" w:rsidRDefault="00073874" w:rsidP="00073874">
      <w:pPr>
        <w:rPr>
          <w:rFonts w:ascii="Verdana" w:hAnsi="Verdana"/>
          <w:kern w:val="2"/>
          <w:sz w:val="18"/>
          <w:szCs w:val="18"/>
        </w:rPr>
      </w:pPr>
      <w:r w:rsidRPr="005A2F38">
        <w:rPr>
          <w:rFonts w:ascii="Verdana" w:hAnsi="Verdana"/>
          <w:sz w:val="18"/>
          <w:szCs w:val="18"/>
        </w:rPr>
        <w:t>Korvataan 6 §:n 1 momentissa ilmaisu ”suositeltu päivittäinen määrä” ilmaisulla ”viitesaanti”.</w:t>
      </w:r>
    </w:p>
    <w:p w14:paraId="3DBCB335" w14:textId="77777777" w:rsidR="00073874" w:rsidRPr="005A2F38" w:rsidRDefault="00073874" w:rsidP="00073874">
      <w:pPr>
        <w:rPr>
          <w:rFonts w:ascii="Verdana" w:hAnsi="Verdana"/>
          <w:kern w:val="2"/>
          <w:sz w:val="18"/>
          <w:szCs w:val="18"/>
        </w:rPr>
      </w:pPr>
    </w:p>
    <w:p w14:paraId="0B33DFE2" w14:textId="77777777" w:rsidR="00073874" w:rsidRPr="005A2F38" w:rsidRDefault="00073874" w:rsidP="00073874">
      <w:pPr>
        <w:rPr>
          <w:rFonts w:ascii="Verdana" w:hAnsi="Verdana"/>
          <w:kern w:val="2"/>
          <w:sz w:val="18"/>
          <w:szCs w:val="18"/>
        </w:rPr>
      </w:pPr>
      <w:r w:rsidRPr="005A2F38">
        <w:rPr>
          <w:rFonts w:ascii="Verdana" w:hAnsi="Verdana"/>
          <w:sz w:val="18"/>
          <w:szCs w:val="18"/>
        </w:rPr>
        <w:t>C</w:t>
      </w:r>
    </w:p>
    <w:p w14:paraId="60209C98" w14:textId="77777777" w:rsidR="00073874" w:rsidRPr="005A2F38" w:rsidRDefault="00073874" w:rsidP="00073874">
      <w:pPr>
        <w:rPr>
          <w:rFonts w:ascii="Verdana" w:hAnsi="Verdana"/>
          <w:kern w:val="2"/>
          <w:sz w:val="18"/>
          <w:szCs w:val="18"/>
        </w:rPr>
      </w:pPr>
    </w:p>
    <w:p w14:paraId="5E245599" w14:textId="77777777" w:rsidR="00073874" w:rsidRPr="005A2F38" w:rsidRDefault="00073874" w:rsidP="00073874">
      <w:pPr>
        <w:rPr>
          <w:rFonts w:ascii="Verdana" w:hAnsi="Verdana"/>
          <w:kern w:val="2"/>
          <w:sz w:val="18"/>
          <w:szCs w:val="18"/>
        </w:rPr>
      </w:pPr>
      <w:r w:rsidRPr="005A2F38">
        <w:rPr>
          <w:rFonts w:ascii="Verdana" w:hAnsi="Verdana"/>
          <w:sz w:val="18"/>
          <w:szCs w:val="18"/>
        </w:rPr>
        <w:t>Korvataan liitteessä 2 ilmaisu ”suositeltu päivittäinen määrä” ilmaisulla ”viitesaannit”.</w:t>
      </w:r>
    </w:p>
    <w:p w14:paraId="32F4BB61" w14:textId="77777777" w:rsidR="00073874" w:rsidRPr="005A2F38" w:rsidRDefault="00073874" w:rsidP="00073874">
      <w:pPr>
        <w:rPr>
          <w:rFonts w:ascii="Verdana" w:hAnsi="Verdana"/>
          <w:kern w:val="2"/>
          <w:sz w:val="18"/>
          <w:szCs w:val="18"/>
        </w:rPr>
      </w:pPr>
    </w:p>
    <w:p w14:paraId="71C5482F" w14:textId="77777777" w:rsidR="00073874" w:rsidRPr="005A2F38" w:rsidRDefault="00073874" w:rsidP="00037899">
      <w:pPr>
        <w:keepNext/>
        <w:keepLines/>
        <w:rPr>
          <w:rFonts w:ascii="Verdana" w:hAnsi="Verdana"/>
          <w:kern w:val="2"/>
          <w:sz w:val="18"/>
          <w:szCs w:val="18"/>
        </w:rPr>
      </w:pPr>
      <w:r w:rsidRPr="005A2F38">
        <w:rPr>
          <w:rFonts w:ascii="Verdana" w:hAnsi="Verdana"/>
          <w:sz w:val="18"/>
          <w:szCs w:val="18"/>
        </w:rPr>
        <w:t>D</w:t>
      </w:r>
    </w:p>
    <w:p w14:paraId="386F2C02" w14:textId="77777777" w:rsidR="00073874" w:rsidRPr="005A2F38" w:rsidRDefault="00073874" w:rsidP="00037899">
      <w:pPr>
        <w:keepNext/>
        <w:keepLines/>
        <w:rPr>
          <w:rFonts w:ascii="Verdana" w:hAnsi="Verdana"/>
          <w:kern w:val="2"/>
          <w:sz w:val="18"/>
          <w:szCs w:val="18"/>
        </w:rPr>
      </w:pPr>
    </w:p>
    <w:p w14:paraId="1BF82929" w14:textId="77777777" w:rsidR="00073874" w:rsidRPr="005A2F38" w:rsidRDefault="00073874" w:rsidP="00073874">
      <w:pPr>
        <w:rPr>
          <w:rFonts w:ascii="Verdana" w:hAnsi="Verdana"/>
          <w:kern w:val="2"/>
          <w:sz w:val="18"/>
          <w:szCs w:val="18"/>
        </w:rPr>
      </w:pPr>
      <w:r w:rsidRPr="005A2F38">
        <w:rPr>
          <w:rFonts w:ascii="Verdana" w:hAnsi="Verdana"/>
          <w:sz w:val="18"/>
          <w:szCs w:val="18"/>
        </w:rPr>
        <w:t>Korvataan liitteessä 3 ilmaisu ”suositeltu päivittäinen määrä” ilmaisulla ”viitesaannit”.</w:t>
      </w:r>
    </w:p>
    <w:p w14:paraId="1A4FDAF8" w14:textId="77777777" w:rsidR="00073874" w:rsidRPr="005A2F38" w:rsidRDefault="00073874" w:rsidP="00073874">
      <w:pPr>
        <w:rPr>
          <w:rFonts w:ascii="Verdana" w:hAnsi="Verdana"/>
          <w:b/>
          <w:kern w:val="2"/>
          <w:sz w:val="18"/>
          <w:szCs w:val="18"/>
        </w:rPr>
      </w:pPr>
    </w:p>
    <w:p w14:paraId="28C5C247" w14:textId="718F8801" w:rsidR="00073874" w:rsidRPr="005A2F38" w:rsidRDefault="00545ABF" w:rsidP="00037899">
      <w:pPr>
        <w:keepNext/>
        <w:keepLines/>
        <w:rPr>
          <w:rFonts w:ascii="Verdana" w:hAnsi="Verdana"/>
          <w:b/>
          <w:kern w:val="2"/>
          <w:sz w:val="18"/>
          <w:szCs w:val="18"/>
        </w:rPr>
      </w:pPr>
      <w:r w:rsidRPr="005A2F38">
        <w:rPr>
          <w:rFonts w:ascii="Verdana" w:hAnsi="Verdana"/>
          <w:b/>
          <w:sz w:val="18"/>
          <w:szCs w:val="18"/>
        </w:rPr>
        <w:lastRenderedPageBreak/>
        <w:t>12 §</w:t>
      </w:r>
    </w:p>
    <w:p w14:paraId="45BAE68C" w14:textId="77777777" w:rsidR="00073874" w:rsidRPr="009A43FC" w:rsidRDefault="00073874" w:rsidP="00037899">
      <w:pPr>
        <w:keepNext/>
        <w:keepLines/>
        <w:rPr>
          <w:rFonts w:ascii="Verdana" w:hAnsi="Verdana"/>
          <w:b/>
          <w:spacing w:val="-4"/>
          <w:kern w:val="2"/>
          <w:sz w:val="18"/>
          <w:szCs w:val="18"/>
        </w:rPr>
      </w:pPr>
      <w:r w:rsidRPr="009A43FC">
        <w:rPr>
          <w:rFonts w:ascii="Verdana" w:hAnsi="Verdana"/>
          <w:spacing w:val="-4"/>
          <w:sz w:val="18"/>
          <w:szCs w:val="18"/>
        </w:rPr>
        <w:t xml:space="preserve">Muutetaan hallinnollisista sakkorangaistuksista tavaralain nojalla annetun asetuksen liite seuraavasti: </w:t>
      </w:r>
    </w:p>
    <w:p w14:paraId="2E2B7103" w14:textId="77777777" w:rsidR="00073874" w:rsidRPr="005A2F38" w:rsidRDefault="00073874" w:rsidP="00037899">
      <w:pPr>
        <w:keepNext/>
        <w:keepLines/>
        <w:rPr>
          <w:rFonts w:ascii="Verdana" w:hAnsi="Verdana"/>
          <w:kern w:val="2"/>
          <w:sz w:val="18"/>
          <w:szCs w:val="18"/>
        </w:rPr>
      </w:pPr>
    </w:p>
    <w:p w14:paraId="539B45FF" w14:textId="77777777" w:rsidR="00073874" w:rsidRPr="005A2F38" w:rsidRDefault="00073874" w:rsidP="00037899">
      <w:pPr>
        <w:keepNext/>
        <w:keepLines/>
        <w:rPr>
          <w:rFonts w:ascii="Verdana" w:hAnsi="Verdana"/>
          <w:kern w:val="2"/>
          <w:sz w:val="18"/>
          <w:szCs w:val="18"/>
        </w:rPr>
      </w:pPr>
      <w:r w:rsidRPr="005A2F38">
        <w:rPr>
          <w:rFonts w:ascii="Verdana" w:hAnsi="Verdana"/>
          <w:sz w:val="18"/>
          <w:szCs w:val="18"/>
        </w:rPr>
        <w:t xml:space="preserve">1. Lisätään sisällysluettelossa C -29 kohdan jälkeen uusi kohta seuraavasti: </w:t>
      </w:r>
    </w:p>
    <w:p w14:paraId="06D9338A" w14:textId="77777777" w:rsidR="00073874" w:rsidRPr="005A2F38" w:rsidRDefault="00073874" w:rsidP="00037899">
      <w:pPr>
        <w:keepNext/>
        <w:keepLines/>
        <w:rPr>
          <w:rFonts w:ascii="Verdana" w:hAnsi="Verdana"/>
          <w:kern w:val="2"/>
          <w:sz w:val="18"/>
          <w:szCs w:val="18"/>
        </w:rPr>
      </w:pPr>
    </w:p>
    <w:p w14:paraId="559AD7D3" w14:textId="77777777" w:rsidR="00073874" w:rsidRPr="005A2F38" w:rsidRDefault="00073874" w:rsidP="00073874">
      <w:pPr>
        <w:rPr>
          <w:rFonts w:ascii="Verdana" w:hAnsi="Verdana"/>
          <w:kern w:val="2"/>
          <w:sz w:val="18"/>
          <w:szCs w:val="18"/>
        </w:rPr>
      </w:pPr>
      <w:r w:rsidRPr="005A2F38">
        <w:rPr>
          <w:rFonts w:ascii="Verdana" w:hAnsi="Verdana"/>
          <w:sz w:val="18"/>
          <w:szCs w:val="18"/>
        </w:rPr>
        <w:t>C-30 Pikkulapsille tarkoitetuista juomista ja heille tarkoitetusta maidosta tavaralain nojalla annettu asetus</w:t>
      </w:r>
    </w:p>
    <w:p w14:paraId="30569750" w14:textId="77777777" w:rsidR="00073874" w:rsidRPr="005A2F38" w:rsidRDefault="00073874" w:rsidP="00073874">
      <w:pPr>
        <w:rPr>
          <w:rFonts w:ascii="Verdana" w:hAnsi="Verdana"/>
          <w:kern w:val="2"/>
          <w:sz w:val="18"/>
          <w:szCs w:val="18"/>
        </w:rPr>
      </w:pPr>
    </w:p>
    <w:p w14:paraId="04F7B3DB" w14:textId="77777777" w:rsidR="00073874" w:rsidRPr="005A2F38" w:rsidRDefault="00073874" w:rsidP="00037899">
      <w:pPr>
        <w:keepNext/>
        <w:keepLines/>
        <w:rPr>
          <w:rFonts w:ascii="Verdana" w:hAnsi="Verdana"/>
          <w:kern w:val="2"/>
          <w:sz w:val="18"/>
          <w:szCs w:val="18"/>
        </w:rPr>
      </w:pPr>
      <w:r w:rsidRPr="005A2F38">
        <w:rPr>
          <w:rFonts w:ascii="Verdana" w:hAnsi="Verdana"/>
          <w:sz w:val="18"/>
          <w:szCs w:val="18"/>
        </w:rPr>
        <w:t>2. Lisätään otsikon C-29 jälkeen uusi otsikko seuraavasti:</w:t>
      </w:r>
    </w:p>
    <w:p w14:paraId="2DBB793B" w14:textId="77777777" w:rsidR="00073874" w:rsidRPr="005A2F38" w:rsidRDefault="00073874" w:rsidP="00037899">
      <w:pPr>
        <w:keepNext/>
        <w:keepLines/>
        <w:rPr>
          <w:rFonts w:ascii="Verdana" w:hAnsi="Verdana"/>
          <w:kern w:val="2"/>
          <w:sz w:val="18"/>
          <w:szCs w:val="18"/>
        </w:rPr>
      </w:pPr>
    </w:p>
    <w:p w14:paraId="0C268768" w14:textId="6E5A5207" w:rsidR="00073874" w:rsidRPr="005A2F38" w:rsidRDefault="00073874" w:rsidP="00037899">
      <w:pPr>
        <w:keepNext/>
        <w:keepLines/>
        <w:rPr>
          <w:rFonts w:ascii="Verdana" w:hAnsi="Verdana"/>
          <w:kern w:val="2"/>
          <w:sz w:val="18"/>
          <w:szCs w:val="18"/>
        </w:rPr>
      </w:pPr>
      <w:r w:rsidRPr="005A2F38">
        <w:rPr>
          <w:rFonts w:ascii="Verdana" w:hAnsi="Verdana"/>
          <w:sz w:val="18"/>
          <w:szCs w:val="18"/>
        </w:rPr>
        <w:t xml:space="preserve">C-30 Pikkulapsille tarkoitetuista juomista ja heille tarkoitetusta maidosta tavaralain nojalla annettu asetus </w:t>
      </w:r>
    </w:p>
    <w:p w14:paraId="3D255262" w14:textId="77777777" w:rsidR="00073874" w:rsidRPr="005A2F38" w:rsidRDefault="00073874" w:rsidP="00037899">
      <w:pPr>
        <w:keepNext/>
        <w:keepLines/>
        <w:spacing w:line="240" w:lineRule="exact"/>
        <w:rPr>
          <w:rFonts w:ascii="Verdana" w:hAnsi="Verdana"/>
          <w:sz w:val="18"/>
          <w:szCs w:val="18"/>
        </w:rPr>
      </w:pPr>
    </w:p>
    <w:tbl>
      <w:tblPr>
        <w:tblStyle w:val="TableGrid"/>
        <w:tblW w:w="8667" w:type="dxa"/>
        <w:tblInd w:w="-5" w:type="dxa"/>
        <w:tblLook w:val="04A0" w:firstRow="1" w:lastRow="0" w:firstColumn="1" w:lastColumn="0" w:noHBand="0" w:noVBand="1"/>
      </w:tblPr>
      <w:tblGrid>
        <w:gridCol w:w="1153"/>
        <w:gridCol w:w="4460"/>
        <w:gridCol w:w="1333"/>
        <w:gridCol w:w="1272"/>
        <w:gridCol w:w="449"/>
      </w:tblGrid>
      <w:tr w:rsidR="00073874" w:rsidRPr="009A43FC" w14:paraId="52311ED4" w14:textId="77777777" w:rsidTr="009A43FC">
        <w:tc>
          <w:tcPr>
            <w:tcW w:w="1153" w:type="dxa"/>
          </w:tcPr>
          <w:p w14:paraId="5BD65CE1"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C-30</w:t>
            </w:r>
          </w:p>
        </w:tc>
        <w:tc>
          <w:tcPr>
            <w:tcW w:w="4460" w:type="dxa"/>
          </w:tcPr>
          <w:p w14:paraId="49B6176D"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Pikkulapsille tarkoitetuista juomista ja heille tarkoitetusta maidosta tavaralain nojalla annettu asetus</w:t>
            </w:r>
          </w:p>
        </w:tc>
        <w:tc>
          <w:tcPr>
            <w:tcW w:w="1333" w:type="dxa"/>
          </w:tcPr>
          <w:p w14:paraId="69AD9BD1" w14:textId="77777777" w:rsidR="00073874" w:rsidRPr="009A43FC" w:rsidRDefault="00073874" w:rsidP="006C4BDA">
            <w:pPr>
              <w:spacing w:line="240" w:lineRule="exact"/>
              <w:rPr>
                <w:rFonts w:ascii="Verdana" w:hAnsi="Verdana"/>
                <w:spacing w:val="-4"/>
                <w:sz w:val="18"/>
                <w:szCs w:val="18"/>
              </w:rPr>
            </w:pPr>
          </w:p>
        </w:tc>
        <w:tc>
          <w:tcPr>
            <w:tcW w:w="1272" w:type="dxa"/>
          </w:tcPr>
          <w:p w14:paraId="443F9E5B" w14:textId="77777777" w:rsidR="00073874" w:rsidRPr="009A43FC" w:rsidRDefault="00073874" w:rsidP="006C4BDA">
            <w:pPr>
              <w:spacing w:line="240" w:lineRule="exact"/>
              <w:rPr>
                <w:rFonts w:ascii="Verdana" w:hAnsi="Verdana"/>
                <w:spacing w:val="-4"/>
                <w:sz w:val="18"/>
                <w:szCs w:val="18"/>
              </w:rPr>
            </w:pPr>
          </w:p>
        </w:tc>
        <w:tc>
          <w:tcPr>
            <w:tcW w:w="449" w:type="dxa"/>
          </w:tcPr>
          <w:p w14:paraId="57AAE572" w14:textId="77777777" w:rsidR="00073874" w:rsidRPr="009A43FC" w:rsidRDefault="00073874" w:rsidP="006C4BDA">
            <w:pPr>
              <w:spacing w:line="240" w:lineRule="exact"/>
              <w:rPr>
                <w:rFonts w:ascii="Verdana" w:hAnsi="Verdana"/>
                <w:spacing w:val="-4"/>
                <w:sz w:val="18"/>
                <w:szCs w:val="18"/>
              </w:rPr>
            </w:pPr>
          </w:p>
        </w:tc>
      </w:tr>
      <w:tr w:rsidR="00073874" w:rsidRPr="009A43FC" w14:paraId="080EBBAA" w14:textId="77777777" w:rsidTr="009A43FC">
        <w:tc>
          <w:tcPr>
            <w:tcW w:w="1153" w:type="dxa"/>
          </w:tcPr>
          <w:p w14:paraId="417891BE"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C-30.1</w:t>
            </w:r>
          </w:p>
        </w:tc>
        <w:tc>
          <w:tcPr>
            <w:tcW w:w="4460" w:type="dxa"/>
          </w:tcPr>
          <w:p w14:paraId="497C00FC"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2 § yhdessä 3 §:n 1 momentin kanssa</w:t>
            </w:r>
            <w:r w:rsidRPr="009A43FC">
              <w:rPr>
                <w:rFonts w:ascii="Verdana" w:hAnsi="Verdana"/>
                <w:spacing w:val="-4"/>
                <w:sz w:val="18"/>
                <w:szCs w:val="18"/>
              </w:rPr>
              <w:tab/>
            </w:r>
          </w:p>
        </w:tc>
        <w:tc>
          <w:tcPr>
            <w:tcW w:w="1333" w:type="dxa"/>
          </w:tcPr>
          <w:p w14:paraId="353EB105"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4119CEC1"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161D95F6"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X</w:t>
            </w:r>
          </w:p>
        </w:tc>
      </w:tr>
      <w:tr w:rsidR="00073874" w:rsidRPr="009A43FC" w14:paraId="66983A92" w14:textId="77777777" w:rsidTr="009A43FC">
        <w:tc>
          <w:tcPr>
            <w:tcW w:w="1153" w:type="dxa"/>
          </w:tcPr>
          <w:p w14:paraId="38420C33" w14:textId="2628389C"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C-30.2</w:t>
            </w:r>
          </w:p>
        </w:tc>
        <w:tc>
          <w:tcPr>
            <w:tcW w:w="4460" w:type="dxa"/>
          </w:tcPr>
          <w:p w14:paraId="58DAD725" w14:textId="5DF1C541" w:rsidR="00073874" w:rsidRPr="009A43FC" w:rsidRDefault="00073874" w:rsidP="00DC7D23">
            <w:pPr>
              <w:spacing w:line="240" w:lineRule="exact"/>
              <w:rPr>
                <w:rFonts w:ascii="Verdana" w:hAnsi="Verdana"/>
                <w:spacing w:val="-4"/>
                <w:sz w:val="18"/>
                <w:szCs w:val="18"/>
              </w:rPr>
            </w:pPr>
            <w:r w:rsidRPr="009A43FC">
              <w:rPr>
                <w:rFonts w:ascii="Verdana" w:hAnsi="Verdana"/>
                <w:spacing w:val="-4"/>
                <w:sz w:val="18"/>
                <w:szCs w:val="18"/>
              </w:rPr>
              <w:t>2 § yhdessä 3 §:n 4 momentin kanssa</w:t>
            </w:r>
          </w:p>
        </w:tc>
        <w:tc>
          <w:tcPr>
            <w:tcW w:w="1333" w:type="dxa"/>
          </w:tcPr>
          <w:p w14:paraId="5E7C7F61"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692F9D61"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62B576B7"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X</w:t>
            </w:r>
          </w:p>
        </w:tc>
      </w:tr>
      <w:tr w:rsidR="00073874" w:rsidRPr="009A43FC" w14:paraId="5676C288" w14:textId="77777777" w:rsidTr="009A43FC">
        <w:tc>
          <w:tcPr>
            <w:tcW w:w="1153" w:type="dxa"/>
          </w:tcPr>
          <w:p w14:paraId="790BE90C"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C-30.3</w:t>
            </w:r>
          </w:p>
        </w:tc>
        <w:tc>
          <w:tcPr>
            <w:tcW w:w="4460" w:type="dxa"/>
          </w:tcPr>
          <w:p w14:paraId="58F874C8" w14:textId="0C3C4B39"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2 § yhdessä 4 §:n 1 momentin kanssa</w:t>
            </w:r>
          </w:p>
        </w:tc>
        <w:tc>
          <w:tcPr>
            <w:tcW w:w="1333" w:type="dxa"/>
          </w:tcPr>
          <w:p w14:paraId="4EA50D93" w14:textId="573277CE"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2D068FFA" w14:textId="6E7D47A5"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6FCE3FE9" w14:textId="77777777" w:rsidR="00073874" w:rsidRPr="009A43FC" w:rsidRDefault="00073874" w:rsidP="006C4BDA">
            <w:pPr>
              <w:spacing w:line="240" w:lineRule="exact"/>
              <w:rPr>
                <w:rFonts w:ascii="Verdana" w:hAnsi="Verdana"/>
                <w:spacing w:val="-4"/>
                <w:sz w:val="18"/>
                <w:szCs w:val="18"/>
              </w:rPr>
            </w:pPr>
            <w:r w:rsidRPr="009A43FC">
              <w:rPr>
                <w:rFonts w:ascii="Verdana" w:hAnsi="Verdana"/>
                <w:spacing w:val="-4"/>
                <w:sz w:val="18"/>
                <w:szCs w:val="18"/>
              </w:rPr>
              <w:t>X</w:t>
            </w:r>
          </w:p>
        </w:tc>
      </w:tr>
      <w:tr w:rsidR="00DC7D23" w:rsidRPr="009A43FC" w:rsidDel="00DC7D23" w14:paraId="24E42793" w14:textId="77777777" w:rsidTr="009A43FC">
        <w:tc>
          <w:tcPr>
            <w:tcW w:w="1153" w:type="dxa"/>
          </w:tcPr>
          <w:p w14:paraId="12819E85" w14:textId="4D4D18DB" w:rsidR="00DC7D23" w:rsidRPr="009A43FC" w:rsidDel="00DC7D23" w:rsidRDefault="00DC7D23" w:rsidP="00DC7D23">
            <w:pPr>
              <w:spacing w:line="240" w:lineRule="exact"/>
              <w:rPr>
                <w:rFonts w:ascii="Verdana" w:hAnsi="Verdana"/>
                <w:spacing w:val="-4"/>
                <w:sz w:val="18"/>
                <w:szCs w:val="18"/>
              </w:rPr>
            </w:pPr>
            <w:r w:rsidRPr="009A43FC">
              <w:rPr>
                <w:rFonts w:ascii="Verdana" w:hAnsi="Verdana"/>
                <w:spacing w:val="-4"/>
                <w:sz w:val="18"/>
                <w:szCs w:val="18"/>
              </w:rPr>
              <w:t>C-30.4</w:t>
            </w:r>
          </w:p>
        </w:tc>
        <w:tc>
          <w:tcPr>
            <w:tcW w:w="4460" w:type="dxa"/>
          </w:tcPr>
          <w:p w14:paraId="11AB05FF" w14:textId="3C553F38" w:rsidR="00DC7D23" w:rsidRPr="009A43FC" w:rsidDel="00DC7D23" w:rsidRDefault="00DC7D23" w:rsidP="00DC7D23">
            <w:pPr>
              <w:spacing w:line="240" w:lineRule="exact"/>
              <w:rPr>
                <w:rFonts w:ascii="Verdana" w:hAnsi="Verdana"/>
                <w:spacing w:val="-4"/>
                <w:sz w:val="18"/>
                <w:szCs w:val="18"/>
              </w:rPr>
            </w:pPr>
            <w:r w:rsidRPr="009A43FC">
              <w:rPr>
                <w:rFonts w:ascii="Verdana" w:hAnsi="Verdana"/>
                <w:spacing w:val="-4"/>
                <w:sz w:val="18"/>
                <w:szCs w:val="18"/>
              </w:rPr>
              <w:t>2 § yhdessä 6 §:n 1 momentin kanssa</w:t>
            </w:r>
          </w:p>
        </w:tc>
        <w:tc>
          <w:tcPr>
            <w:tcW w:w="1333" w:type="dxa"/>
          </w:tcPr>
          <w:p w14:paraId="6911CB85" w14:textId="7B10AB2C" w:rsidR="00DC7D23" w:rsidRPr="009A43FC" w:rsidDel="00DC7D23" w:rsidRDefault="00DC7D23" w:rsidP="00DC7D23">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6AB99CE2" w14:textId="4983AB7F" w:rsidR="00DC7D23" w:rsidRPr="009A43FC" w:rsidDel="00DC7D23" w:rsidRDefault="00DC7D23" w:rsidP="00DC7D23">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6DC475B2" w14:textId="5B57125C" w:rsidR="00DC7D23" w:rsidRPr="009A43FC" w:rsidDel="00DC7D23" w:rsidRDefault="00DC7D23" w:rsidP="00DC7D23">
            <w:pPr>
              <w:spacing w:line="240" w:lineRule="exact"/>
              <w:rPr>
                <w:rFonts w:ascii="Verdana" w:hAnsi="Verdana"/>
                <w:spacing w:val="-4"/>
                <w:sz w:val="18"/>
                <w:szCs w:val="18"/>
              </w:rPr>
            </w:pPr>
            <w:r w:rsidRPr="009A43FC">
              <w:rPr>
                <w:rFonts w:ascii="Verdana" w:hAnsi="Verdana"/>
                <w:spacing w:val="-4"/>
                <w:sz w:val="18"/>
                <w:szCs w:val="18"/>
              </w:rPr>
              <w:t>X</w:t>
            </w:r>
          </w:p>
        </w:tc>
      </w:tr>
      <w:tr w:rsidR="00DC7D23" w:rsidRPr="009A43FC" w14:paraId="431BB114" w14:textId="77777777" w:rsidTr="009A43FC">
        <w:tc>
          <w:tcPr>
            <w:tcW w:w="1153" w:type="dxa"/>
          </w:tcPr>
          <w:p w14:paraId="6CF0162A" w14:textId="70834A9F"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C-30.5</w:t>
            </w:r>
          </w:p>
        </w:tc>
        <w:tc>
          <w:tcPr>
            <w:tcW w:w="4460" w:type="dxa"/>
          </w:tcPr>
          <w:p w14:paraId="518F41F7" w14:textId="161CAA92"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2 § yhdessä 6 §:n 2 momentin kanssa</w:t>
            </w:r>
          </w:p>
        </w:tc>
        <w:tc>
          <w:tcPr>
            <w:tcW w:w="1333" w:type="dxa"/>
          </w:tcPr>
          <w:p w14:paraId="7FE2928B" w14:textId="123816BF"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321CDB54" w14:textId="0CCD647F"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1816F0AC" w14:textId="3E951E13"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X</w:t>
            </w:r>
          </w:p>
        </w:tc>
      </w:tr>
      <w:tr w:rsidR="00DC7D23" w:rsidRPr="009A43FC" w14:paraId="30AD45DE" w14:textId="77777777" w:rsidTr="009A43FC">
        <w:tc>
          <w:tcPr>
            <w:tcW w:w="1153" w:type="dxa"/>
          </w:tcPr>
          <w:p w14:paraId="027607F9" w14:textId="5E53B43F"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C-30.6</w:t>
            </w:r>
          </w:p>
        </w:tc>
        <w:tc>
          <w:tcPr>
            <w:tcW w:w="4460" w:type="dxa"/>
          </w:tcPr>
          <w:p w14:paraId="051C862C" w14:textId="635C06F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2 § yhdessä 7 §:n kanssa</w:t>
            </w:r>
          </w:p>
        </w:tc>
        <w:tc>
          <w:tcPr>
            <w:tcW w:w="1333" w:type="dxa"/>
          </w:tcPr>
          <w:p w14:paraId="3253E7A1"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57E9EB50"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43F532DE"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X</w:t>
            </w:r>
          </w:p>
        </w:tc>
      </w:tr>
      <w:tr w:rsidR="00DC7D23" w:rsidRPr="009A43FC" w14:paraId="0F3DFAB6" w14:textId="77777777" w:rsidTr="009A43FC">
        <w:tc>
          <w:tcPr>
            <w:tcW w:w="1153" w:type="dxa"/>
          </w:tcPr>
          <w:p w14:paraId="46653C9A"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C-30.7</w:t>
            </w:r>
          </w:p>
        </w:tc>
        <w:tc>
          <w:tcPr>
            <w:tcW w:w="4460" w:type="dxa"/>
          </w:tcPr>
          <w:p w14:paraId="34D2AE65" w14:textId="56D915F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2 § yhdessä 8 §:n kanssa</w:t>
            </w:r>
          </w:p>
        </w:tc>
        <w:tc>
          <w:tcPr>
            <w:tcW w:w="1333" w:type="dxa"/>
          </w:tcPr>
          <w:p w14:paraId="1179395A"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7299F14F"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16CB45B5"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X</w:t>
            </w:r>
          </w:p>
        </w:tc>
      </w:tr>
      <w:tr w:rsidR="00DC7D23" w:rsidRPr="009A43FC" w14:paraId="45467058" w14:textId="77777777" w:rsidTr="009A43FC">
        <w:tc>
          <w:tcPr>
            <w:tcW w:w="1153" w:type="dxa"/>
          </w:tcPr>
          <w:p w14:paraId="57C7D64E"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C-30.8</w:t>
            </w:r>
          </w:p>
        </w:tc>
        <w:tc>
          <w:tcPr>
            <w:tcW w:w="4460" w:type="dxa"/>
          </w:tcPr>
          <w:p w14:paraId="28756566" w14:textId="0D4490D4"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2 § yhdessä 9 §:n 1 momentin kanssa</w:t>
            </w:r>
          </w:p>
        </w:tc>
        <w:tc>
          <w:tcPr>
            <w:tcW w:w="1333" w:type="dxa"/>
          </w:tcPr>
          <w:p w14:paraId="3ABFC595"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6A0BC290"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6033FB8E"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X</w:t>
            </w:r>
          </w:p>
        </w:tc>
      </w:tr>
      <w:tr w:rsidR="00DC7D23" w:rsidRPr="009A43FC" w14:paraId="5C78BBCC" w14:textId="77777777" w:rsidTr="009A43FC">
        <w:tc>
          <w:tcPr>
            <w:tcW w:w="1153" w:type="dxa"/>
          </w:tcPr>
          <w:p w14:paraId="04B9FEBC" w14:textId="01A07084" w:rsidR="00DC7D23" w:rsidRPr="009A43FC" w:rsidRDefault="00DC7D23" w:rsidP="00576482">
            <w:pPr>
              <w:spacing w:line="240" w:lineRule="exact"/>
              <w:rPr>
                <w:rFonts w:ascii="Verdana" w:hAnsi="Verdana"/>
                <w:spacing w:val="-4"/>
                <w:sz w:val="18"/>
                <w:szCs w:val="18"/>
              </w:rPr>
            </w:pPr>
            <w:r w:rsidRPr="009A43FC">
              <w:rPr>
                <w:rFonts w:ascii="Verdana" w:hAnsi="Verdana"/>
                <w:spacing w:val="-4"/>
                <w:sz w:val="18"/>
                <w:szCs w:val="18"/>
              </w:rPr>
              <w:t>C-30.9</w:t>
            </w:r>
          </w:p>
        </w:tc>
        <w:tc>
          <w:tcPr>
            <w:tcW w:w="4460" w:type="dxa"/>
          </w:tcPr>
          <w:p w14:paraId="6E6E319C" w14:textId="4234E061" w:rsidR="00DC7D23" w:rsidRPr="009A43FC" w:rsidRDefault="00DC7D23" w:rsidP="00576482">
            <w:pPr>
              <w:spacing w:line="240" w:lineRule="exact"/>
              <w:rPr>
                <w:rFonts w:ascii="Verdana" w:hAnsi="Verdana"/>
                <w:spacing w:val="-4"/>
                <w:sz w:val="18"/>
                <w:szCs w:val="18"/>
              </w:rPr>
            </w:pPr>
            <w:r w:rsidRPr="009A43FC">
              <w:rPr>
                <w:rFonts w:ascii="Verdana" w:hAnsi="Verdana"/>
                <w:spacing w:val="-4"/>
                <w:sz w:val="18"/>
                <w:szCs w:val="18"/>
              </w:rPr>
              <w:t>2 § yhdessä 9 §:n 2 momentin kanssa</w:t>
            </w:r>
          </w:p>
        </w:tc>
        <w:tc>
          <w:tcPr>
            <w:tcW w:w="1333" w:type="dxa"/>
          </w:tcPr>
          <w:p w14:paraId="14721A2C" w14:textId="77777777" w:rsidR="00DC7D23" w:rsidRPr="009A43FC" w:rsidRDefault="00DC7D23" w:rsidP="00576482">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7862BE0E" w14:textId="77777777" w:rsidR="00DC7D23" w:rsidRPr="009A43FC" w:rsidRDefault="00DC7D23" w:rsidP="00576482">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7F222880" w14:textId="77777777" w:rsidR="00DC7D23" w:rsidRPr="009A43FC" w:rsidRDefault="00DC7D23" w:rsidP="00576482">
            <w:pPr>
              <w:spacing w:line="240" w:lineRule="exact"/>
              <w:rPr>
                <w:rFonts w:ascii="Verdana" w:hAnsi="Verdana"/>
                <w:spacing w:val="-4"/>
                <w:sz w:val="18"/>
                <w:szCs w:val="18"/>
              </w:rPr>
            </w:pPr>
            <w:r w:rsidRPr="009A43FC">
              <w:rPr>
                <w:rFonts w:ascii="Verdana" w:hAnsi="Verdana"/>
                <w:spacing w:val="-4"/>
                <w:sz w:val="18"/>
                <w:szCs w:val="18"/>
              </w:rPr>
              <w:t>X</w:t>
            </w:r>
          </w:p>
        </w:tc>
      </w:tr>
      <w:tr w:rsidR="00DC7D23" w:rsidRPr="009A43FC" w14:paraId="06324BC5" w14:textId="77777777" w:rsidTr="009A43FC">
        <w:tc>
          <w:tcPr>
            <w:tcW w:w="1153" w:type="dxa"/>
          </w:tcPr>
          <w:p w14:paraId="3A50C02D" w14:textId="5C842D70"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C-30.10</w:t>
            </w:r>
          </w:p>
        </w:tc>
        <w:tc>
          <w:tcPr>
            <w:tcW w:w="4460" w:type="dxa"/>
          </w:tcPr>
          <w:p w14:paraId="46E960E1" w14:textId="01DF211B"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2 § yhdessä 10 §:n kanssa</w:t>
            </w:r>
          </w:p>
        </w:tc>
        <w:tc>
          <w:tcPr>
            <w:tcW w:w="1333" w:type="dxa"/>
          </w:tcPr>
          <w:p w14:paraId="02366C1D"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525 euroa</w:t>
            </w:r>
          </w:p>
        </w:tc>
        <w:tc>
          <w:tcPr>
            <w:tcW w:w="1272" w:type="dxa"/>
          </w:tcPr>
          <w:p w14:paraId="7CDE35E0"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1 050 euroa</w:t>
            </w:r>
          </w:p>
        </w:tc>
        <w:tc>
          <w:tcPr>
            <w:tcW w:w="449" w:type="dxa"/>
          </w:tcPr>
          <w:p w14:paraId="73C5CC0F" w14:textId="77777777" w:rsidR="00DC7D23" w:rsidRPr="009A43FC" w:rsidRDefault="00DC7D23" w:rsidP="00DC7D23">
            <w:pPr>
              <w:spacing w:line="240" w:lineRule="exact"/>
              <w:rPr>
                <w:rFonts w:ascii="Verdana" w:hAnsi="Verdana"/>
                <w:spacing w:val="-4"/>
                <w:sz w:val="18"/>
                <w:szCs w:val="18"/>
              </w:rPr>
            </w:pPr>
            <w:r w:rsidRPr="009A43FC">
              <w:rPr>
                <w:rFonts w:ascii="Verdana" w:hAnsi="Verdana"/>
                <w:spacing w:val="-4"/>
                <w:sz w:val="18"/>
                <w:szCs w:val="18"/>
              </w:rPr>
              <w:t>X</w:t>
            </w:r>
          </w:p>
        </w:tc>
      </w:tr>
    </w:tbl>
    <w:p w14:paraId="2997E83F" w14:textId="77777777" w:rsidR="00073874" w:rsidRPr="005A2F38" w:rsidRDefault="00073874" w:rsidP="00073874">
      <w:pPr>
        <w:rPr>
          <w:rFonts w:ascii="Verdana" w:hAnsi="Verdana"/>
          <w:b/>
          <w:kern w:val="2"/>
          <w:sz w:val="18"/>
          <w:szCs w:val="18"/>
        </w:rPr>
      </w:pPr>
    </w:p>
    <w:p w14:paraId="43B57AAD" w14:textId="378B2365" w:rsidR="00073874" w:rsidRPr="005A2F38" w:rsidRDefault="00545ABF" w:rsidP="00037899">
      <w:pPr>
        <w:keepNext/>
        <w:keepLines/>
        <w:rPr>
          <w:rFonts w:ascii="Verdana" w:hAnsi="Verdana"/>
          <w:b/>
          <w:kern w:val="2"/>
          <w:sz w:val="18"/>
          <w:szCs w:val="18"/>
        </w:rPr>
      </w:pPr>
      <w:r w:rsidRPr="005A2F38">
        <w:rPr>
          <w:rFonts w:ascii="Verdana" w:hAnsi="Verdana"/>
          <w:b/>
          <w:sz w:val="18"/>
          <w:szCs w:val="18"/>
        </w:rPr>
        <w:t>13 §</w:t>
      </w:r>
    </w:p>
    <w:p w14:paraId="243004C2" w14:textId="50E4418C" w:rsidR="00073874" w:rsidRPr="005A2F38" w:rsidRDefault="00073874" w:rsidP="00073874">
      <w:pPr>
        <w:rPr>
          <w:rFonts w:ascii="Verdana" w:hAnsi="Verdana"/>
          <w:kern w:val="2"/>
          <w:sz w:val="18"/>
          <w:szCs w:val="18"/>
        </w:rPr>
      </w:pPr>
      <w:r w:rsidRPr="005A2F38">
        <w:rPr>
          <w:rFonts w:ascii="Verdana" w:hAnsi="Verdana"/>
          <w:sz w:val="18"/>
          <w:szCs w:val="18"/>
        </w:rPr>
        <w:t xml:space="preserve">Ennen 1 päivää heinäkuuta 2024 markkinoille saatettuja tai merkittyjä pikkulapsille tarkoitettuja juomia ja heille tarkoitettua maitoa voidaan myydä, kunnes varastot on myyty loppuun. </w:t>
      </w:r>
    </w:p>
    <w:p w14:paraId="61334C02" w14:textId="77777777" w:rsidR="00073874" w:rsidRPr="005A2F38" w:rsidRDefault="00073874" w:rsidP="00073874">
      <w:pPr>
        <w:rPr>
          <w:rFonts w:ascii="Verdana" w:hAnsi="Verdana"/>
          <w:b/>
          <w:kern w:val="2"/>
          <w:sz w:val="18"/>
          <w:szCs w:val="18"/>
        </w:rPr>
      </w:pPr>
    </w:p>
    <w:p w14:paraId="07F7D826" w14:textId="13D96285" w:rsidR="00073874" w:rsidRPr="005A2F38" w:rsidRDefault="00545ABF" w:rsidP="00037899">
      <w:pPr>
        <w:keepNext/>
        <w:keepLines/>
        <w:rPr>
          <w:rFonts w:ascii="Verdana" w:hAnsi="Verdana"/>
          <w:b/>
          <w:kern w:val="2"/>
          <w:sz w:val="18"/>
          <w:szCs w:val="18"/>
        </w:rPr>
      </w:pPr>
      <w:r w:rsidRPr="005A2F38">
        <w:rPr>
          <w:rFonts w:ascii="Verdana" w:hAnsi="Verdana"/>
          <w:b/>
          <w:sz w:val="18"/>
          <w:szCs w:val="18"/>
        </w:rPr>
        <w:t>14 §</w:t>
      </w:r>
    </w:p>
    <w:p w14:paraId="4A2BE11A" w14:textId="6E189D18" w:rsidR="00073874" w:rsidRPr="005A2F38" w:rsidRDefault="00073874" w:rsidP="00073874">
      <w:pPr>
        <w:rPr>
          <w:rFonts w:ascii="Verdana" w:hAnsi="Verdana"/>
          <w:kern w:val="2"/>
          <w:sz w:val="18"/>
          <w:szCs w:val="18"/>
        </w:rPr>
      </w:pPr>
      <w:r w:rsidRPr="005A2F38">
        <w:rPr>
          <w:rFonts w:ascii="Verdana" w:hAnsi="Verdana"/>
          <w:sz w:val="18"/>
          <w:szCs w:val="18"/>
        </w:rPr>
        <w:t>Tämä asetus tulee voimaan 1 päivänä heinäkuuta 2024.</w:t>
      </w:r>
    </w:p>
    <w:p w14:paraId="10677E3C" w14:textId="77777777" w:rsidR="00073874" w:rsidRPr="005A2F38" w:rsidRDefault="00073874" w:rsidP="00073874">
      <w:pPr>
        <w:rPr>
          <w:rFonts w:ascii="Verdana" w:hAnsi="Verdana"/>
          <w:kern w:val="2"/>
          <w:sz w:val="18"/>
          <w:szCs w:val="18"/>
        </w:rPr>
      </w:pPr>
    </w:p>
    <w:p w14:paraId="6D628AD4" w14:textId="15A54649" w:rsidR="00073874" w:rsidRPr="005A2F38" w:rsidRDefault="00545ABF" w:rsidP="00037899">
      <w:pPr>
        <w:keepNext/>
        <w:keepLines/>
        <w:rPr>
          <w:rFonts w:ascii="Verdana" w:hAnsi="Verdana"/>
          <w:b/>
          <w:kern w:val="2"/>
          <w:sz w:val="18"/>
          <w:szCs w:val="18"/>
        </w:rPr>
      </w:pPr>
      <w:r w:rsidRPr="005A2F38">
        <w:rPr>
          <w:rFonts w:ascii="Verdana" w:hAnsi="Verdana"/>
          <w:b/>
          <w:sz w:val="18"/>
          <w:szCs w:val="18"/>
        </w:rPr>
        <w:t>15 §</w:t>
      </w:r>
    </w:p>
    <w:p w14:paraId="7874C858" w14:textId="614E47BD" w:rsidR="00073874" w:rsidRPr="005A2F38" w:rsidRDefault="00073874" w:rsidP="00073874">
      <w:pPr>
        <w:rPr>
          <w:rFonts w:ascii="Verdana" w:hAnsi="Verdana"/>
          <w:kern w:val="2"/>
          <w:sz w:val="18"/>
          <w:szCs w:val="18"/>
        </w:rPr>
      </w:pPr>
      <w:r w:rsidRPr="005A2F38">
        <w:rPr>
          <w:rFonts w:ascii="Verdana" w:hAnsi="Verdana"/>
          <w:sz w:val="18"/>
          <w:szCs w:val="18"/>
        </w:rPr>
        <w:t>Tähän asetukseen viitataan seuraavalla nimellä: Pikkulapsille tarkoitetuista juomista ja heille tarkoitetusta maidosta tavaralain nojalla annettu asetus.</w:t>
      </w:r>
    </w:p>
    <w:p w14:paraId="3336D660" w14:textId="77777777" w:rsidR="00073874" w:rsidRPr="005A2F38" w:rsidRDefault="00073874" w:rsidP="00073874">
      <w:pPr>
        <w:rPr>
          <w:rFonts w:ascii="Verdana" w:hAnsi="Verdana"/>
          <w:kern w:val="2"/>
          <w:sz w:val="18"/>
          <w:szCs w:val="18"/>
        </w:rPr>
      </w:pPr>
    </w:p>
    <w:p w14:paraId="59CAE4D5" w14:textId="77777777" w:rsidR="00073874" w:rsidRPr="005A2F38" w:rsidRDefault="00073874" w:rsidP="00073874">
      <w:pPr>
        <w:rPr>
          <w:rFonts w:ascii="Verdana" w:hAnsi="Verdana"/>
          <w:kern w:val="2"/>
          <w:sz w:val="18"/>
          <w:szCs w:val="18"/>
        </w:rPr>
      </w:pPr>
    </w:p>
    <w:p w14:paraId="57B9B5EA" w14:textId="77777777" w:rsidR="00073874" w:rsidRPr="005A2F38" w:rsidRDefault="00073874" w:rsidP="00073874">
      <w:pPr>
        <w:rPr>
          <w:rFonts w:ascii="Verdana" w:hAnsi="Verdana"/>
          <w:snapToGrid w:val="0"/>
          <w:sz w:val="18"/>
          <w:szCs w:val="18"/>
        </w:rPr>
      </w:pPr>
      <w:r w:rsidRPr="005A2F38">
        <w:rPr>
          <w:rFonts w:ascii="Verdana" w:hAnsi="Verdana"/>
          <w:snapToGrid w:val="0"/>
          <w:sz w:val="18"/>
          <w:szCs w:val="18"/>
        </w:rPr>
        <w:t>Säädetään, että tämä asetus ja siihen liittyvät perustelut on julkaistava Alankomaiden virallisessa lehdessä.</w:t>
      </w:r>
    </w:p>
    <w:p w14:paraId="0A84B97D" w14:textId="77777777" w:rsidR="00073874" w:rsidRPr="005A2F38" w:rsidRDefault="00073874" w:rsidP="00073874">
      <w:pPr>
        <w:rPr>
          <w:rFonts w:ascii="Verdana" w:hAnsi="Verdana"/>
          <w:sz w:val="18"/>
          <w:szCs w:val="18"/>
        </w:rPr>
      </w:pPr>
    </w:p>
    <w:p w14:paraId="20CC9DF8" w14:textId="77777777" w:rsidR="00073874" w:rsidRPr="005A2F38" w:rsidRDefault="00073874" w:rsidP="00073874">
      <w:pPr>
        <w:rPr>
          <w:rFonts w:ascii="Verdana" w:hAnsi="Verdana"/>
          <w:sz w:val="18"/>
          <w:szCs w:val="18"/>
        </w:rPr>
      </w:pPr>
      <w:r w:rsidRPr="005A2F38">
        <w:rPr>
          <w:rFonts w:ascii="Verdana" w:hAnsi="Verdana"/>
          <w:sz w:val="18"/>
          <w:szCs w:val="18"/>
        </w:rPr>
        <w:t>Sairaanhoidosta vastaava ministeri</w:t>
      </w:r>
    </w:p>
    <w:p w14:paraId="64D4F75A" w14:textId="77777777" w:rsidR="00073874" w:rsidRPr="005A2F38" w:rsidRDefault="00073874" w:rsidP="00073874">
      <w:pPr>
        <w:rPr>
          <w:rFonts w:ascii="Verdana" w:hAnsi="Verdana"/>
          <w:sz w:val="18"/>
          <w:szCs w:val="18"/>
        </w:rPr>
      </w:pPr>
    </w:p>
    <w:sectPr w:rsidR="00073874" w:rsidRPr="005A2F38" w:rsidSect="001E6A24">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2E461" w14:textId="77777777" w:rsidR="00131B85" w:rsidRDefault="00131B85" w:rsidP="00073874">
      <w:pPr>
        <w:spacing w:line="240" w:lineRule="auto"/>
      </w:pPr>
      <w:r>
        <w:separator/>
      </w:r>
    </w:p>
  </w:endnote>
  <w:endnote w:type="continuationSeparator" w:id="0">
    <w:p w14:paraId="4CEB36EF" w14:textId="77777777" w:rsidR="00131B85" w:rsidRDefault="00131B85" w:rsidP="00073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065913"/>
      <w:docPartObj>
        <w:docPartGallery w:val="Page Numbers (Bottom of Page)"/>
        <w:docPartUnique/>
      </w:docPartObj>
    </w:sdtPr>
    <w:sdtEndPr/>
    <w:sdtContent>
      <w:p w14:paraId="37526F64" w14:textId="607172AA" w:rsidR="00257DAB" w:rsidRDefault="00257DAB">
        <w:pPr>
          <w:pStyle w:val="Footer"/>
          <w:jc w:val="right"/>
        </w:pPr>
        <w:r>
          <w:fldChar w:fldCharType="begin"/>
        </w:r>
        <w:r>
          <w:instrText>PAGE   \* MERGEFORMAT</w:instrText>
        </w:r>
        <w:r>
          <w:fldChar w:fldCharType="separate"/>
        </w:r>
        <w:r w:rsidR="0025344E">
          <w:t>1</w:t>
        </w:r>
        <w:r>
          <w:fldChar w:fldCharType="end"/>
        </w:r>
      </w:p>
    </w:sdtContent>
  </w:sdt>
  <w:p w14:paraId="5BBA4C94" w14:textId="77777777" w:rsidR="00257DAB" w:rsidRDefault="0025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BF614" w14:textId="77777777" w:rsidR="00131B85" w:rsidRDefault="00131B85" w:rsidP="00073874">
      <w:pPr>
        <w:spacing w:line="240" w:lineRule="auto"/>
      </w:pPr>
      <w:r>
        <w:separator/>
      </w:r>
    </w:p>
  </w:footnote>
  <w:footnote w:type="continuationSeparator" w:id="0">
    <w:p w14:paraId="72525826" w14:textId="77777777" w:rsidR="00131B85" w:rsidRDefault="00131B85" w:rsidP="000738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D20CD"/>
    <w:multiLevelType w:val="hybridMultilevel"/>
    <w:tmpl w:val="E81C314C"/>
    <w:lvl w:ilvl="0" w:tplc="7ACA22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604FCF"/>
    <w:multiLevelType w:val="hybridMultilevel"/>
    <w:tmpl w:val="1A069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74"/>
    <w:rsid w:val="00000E03"/>
    <w:rsid w:val="0002112D"/>
    <w:rsid w:val="0003013B"/>
    <w:rsid w:val="00031260"/>
    <w:rsid w:val="000375C7"/>
    <w:rsid w:val="00037899"/>
    <w:rsid w:val="0004633C"/>
    <w:rsid w:val="00047386"/>
    <w:rsid w:val="000546B4"/>
    <w:rsid w:val="0005538C"/>
    <w:rsid w:val="00073874"/>
    <w:rsid w:val="00095032"/>
    <w:rsid w:val="000A0F4A"/>
    <w:rsid w:val="000A198F"/>
    <w:rsid w:val="000A5D03"/>
    <w:rsid w:val="000B0ACB"/>
    <w:rsid w:val="000C009E"/>
    <w:rsid w:val="000D4E45"/>
    <w:rsid w:val="000D62C5"/>
    <w:rsid w:val="000E2585"/>
    <w:rsid w:val="000E2D0F"/>
    <w:rsid w:val="000E4D4F"/>
    <w:rsid w:val="00100BB1"/>
    <w:rsid w:val="001124E1"/>
    <w:rsid w:val="001244A8"/>
    <w:rsid w:val="00131B85"/>
    <w:rsid w:val="00154838"/>
    <w:rsid w:val="0016276C"/>
    <w:rsid w:val="00166C03"/>
    <w:rsid w:val="0017049C"/>
    <w:rsid w:val="00191C94"/>
    <w:rsid w:val="001A73D8"/>
    <w:rsid w:val="001B3D5C"/>
    <w:rsid w:val="001D379C"/>
    <w:rsid w:val="001E6A24"/>
    <w:rsid w:val="001E7E1A"/>
    <w:rsid w:val="00211C35"/>
    <w:rsid w:val="002203DD"/>
    <w:rsid w:val="00225C33"/>
    <w:rsid w:val="00234B63"/>
    <w:rsid w:val="00234D7C"/>
    <w:rsid w:val="0023526F"/>
    <w:rsid w:val="00237DA4"/>
    <w:rsid w:val="0024253C"/>
    <w:rsid w:val="002456DA"/>
    <w:rsid w:val="0025344E"/>
    <w:rsid w:val="002579E1"/>
    <w:rsid w:val="00257DAB"/>
    <w:rsid w:val="002621D1"/>
    <w:rsid w:val="00266767"/>
    <w:rsid w:val="0027028F"/>
    <w:rsid w:val="00270B6F"/>
    <w:rsid w:val="0027267D"/>
    <w:rsid w:val="002768BA"/>
    <w:rsid w:val="0028451C"/>
    <w:rsid w:val="00286416"/>
    <w:rsid w:val="00290255"/>
    <w:rsid w:val="002A37C3"/>
    <w:rsid w:val="002A6B53"/>
    <w:rsid w:val="002C5A51"/>
    <w:rsid w:val="002C6EFA"/>
    <w:rsid w:val="002F6BAD"/>
    <w:rsid w:val="003021DC"/>
    <w:rsid w:val="0031402C"/>
    <w:rsid w:val="00325747"/>
    <w:rsid w:val="00334A91"/>
    <w:rsid w:val="00371B72"/>
    <w:rsid w:val="003801DD"/>
    <w:rsid w:val="00380913"/>
    <w:rsid w:val="00392F3B"/>
    <w:rsid w:val="003B61C5"/>
    <w:rsid w:val="003C4B64"/>
    <w:rsid w:val="003E3E7E"/>
    <w:rsid w:val="00400B32"/>
    <w:rsid w:val="00400B7F"/>
    <w:rsid w:val="004141E8"/>
    <w:rsid w:val="00414875"/>
    <w:rsid w:val="00422163"/>
    <w:rsid w:val="004238EE"/>
    <w:rsid w:val="004329C1"/>
    <w:rsid w:val="0043686E"/>
    <w:rsid w:val="00454516"/>
    <w:rsid w:val="00457D0F"/>
    <w:rsid w:val="00462A18"/>
    <w:rsid w:val="00475347"/>
    <w:rsid w:val="004809C5"/>
    <w:rsid w:val="00482383"/>
    <w:rsid w:val="004A18E2"/>
    <w:rsid w:val="004B4EE4"/>
    <w:rsid w:val="004B593D"/>
    <w:rsid w:val="004D0283"/>
    <w:rsid w:val="004D7AA0"/>
    <w:rsid w:val="004F4889"/>
    <w:rsid w:val="004F5B65"/>
    <w:rsid w:val="005027EB"/>
    <w:rsid w:val="00505260"/>
    <w:rsid w:val="005072C3"/>
    <w:rsid w:val="0051441C"/>
    <w:rsid w:val="00521A04"/>
    <w:rsid w:val="005303EC"/>
    <w:rsid w:val="00532AC5"/>
    <w:rsid w:val="00540C1F"/>
    <w:rsid w:val="00545ABF"/>
    <w:rsid w:val="00565299"/>
    <w:rsid w:val="00577318"/>
    <w:rsid w:val="00581300"/>
    <w:rsid w:val="00584CAA"/>
    <w:rsid w:val="005877D0"/>
    <w:rsid w:val="0059594E"/>
    <w:rsid w:val="0059787D"/>
    <w:rsid w:val="005A2F38"/>
    <w:rsid w:val="005B0663"/>
    <w:rsid w:val="005B0DC1"/>
    <w:rsid w:val="005C0E3B"/>
    <w:rsid w:val="005D0963"/>
    <w:rsid w:val="006102DF"/>
    <w:rsid w:val="00631ED3"/>
    <w:rsid w:val="006331C0"/>
    <w:rsid w:val="006335F5"/>
    <w:rsid w:val="00660C7E"/>
    <w:rsid w:val="00676B7C"/>
    <w:rsid w:val="006807DD"/>
    <w:rsid w:val="006840FC"/>
    <w:rsid w:val="006B7FCA"/>
    <w:rsid w:val="006C4BDA"/>
    <w:rsid w:val="006D389E"/>
    <w:rsid w:val="006E077E"/>
    <w:rsid w:val="006E48AA"/>
    <w:rsid w:val="006E7F1E"/>
    <w:rsid w:val="0072212E"/>
    <w:rsid w:val="00724F51"/>
    <w:rsid w:val="0073041E"/>
    <w:rsid w:val="00730E63"/>
    <w:rsid w:val="0073634C"/>
    <w:rsid w:val="00737339"/>
    <w:rsid w:val="00746D48"/>
    <w:rsid w:val="00747B9B"/>
    <w:rsid w:val="0075403D"/>
    <w:rsid w:val="007627C8"/>
    <w:rsid w:val="00764204"/>
    <w:rsid w:val="0076701E"/>
    <w:rsid w:val="007B00E7"/>
    <w:rsid w:val="007B3D83"/>
    <w:rsid w:val="007B7B80"/>
    <w:rsid w:val="007C3FD0"/>
    <w:rsid w:val="007E5A21"/>
    <w:rsid w:val="007E5BD3"/>
    <w:rsid w:val="007E7386"/>
    <w:rsid w:val="007E7C74"/>
    <w:rsid w:val="007F7F81"/>
    <w:rsid w:val="00834842"/>
    <w:rsid w:val="00841B95"/>
    <w:rsid w:val="00854ACF"/>
    <w:rsid w:val="00870DEE"/>
    <w:rsid w:val="00876EE8"/>
    <w:rsid w:val="008819DA"/>
    <w:rsid w:val="00883613"/>
    <w:rsid w:val="00896EB5"/>
    <w:rsid w:val="00897739"/>
    <w:rsid w:val="008D7371"/>
    <w:rsid w:val="008E0733"/>
    <w:rsid w:val="008F2647"/>
    <w:rsid w:val="009070C5"/>
    <w:rsid w:val="009150ED"/>
    <w:rsid w:val="009156A4"/>
    <w:rsid w:val="0092246A"/>
    <w:rsid w:val="0092347D"/>
    <w:rsid w:val="00944236"/>
    <w:rsid w:val="00956955"/>
    <w:rsid w:val="00957AB1"/>
    <w:rsid w:val="00964D0F"/>
    <w:rsid w:val="00965F6C"/>
    <w:rsid w:val="009713F8"/>
    <w:rsid w:val="00971F3D"/>
    <w:rsid w:val="009730E5"/>
    <w:rsid w:val="0098580F"/>
    <w:rsid w:val="009866E2"/>
    <w:rsid w:val="009A43FC"/>
    <w:rsid w:val="009C4F74"/>
    <w:rsid w:val="009D3657"/>
    <w:rsid w:val="009F334D"/>
    <w:rsid w:val="00A00174"/>
    <w:rsid w:val="00A008A6"/>
    <w:rsid w:val="00A14688"/>
    <w:rsid w:val="00A563C1"/>
    <w:rsid w:val="00A73D5F"/>
    <w:rsid w:val="00A83879"/>
    <w:rsid w:val="00A85E04"/>
    <w:rsid w:val="00AA6A46"/>
    <w:rsid w:val="00AC2E65"/>
    <w:rsid w:val="00AF401F"/>
    <w:rsid w:val="00AF4BA3"/>
    <w:rsid w:val="00B04265"/>
    <w:rsid w:val="00B06701"/>
    <w:rsid w:val="00B164DB"/>
    <w:rsid w:val="00B24196"/>
    <w:rsid w:val="00B322D3"/>
    <w:rsid w:val="00B34DD2"/>
    <w:rsid w:val="00B35C84"/>
    <w:rsid w:val="00B36EFB"/>
    <w:rsid w:val="00B41848"/>
    <w:rsid w:val="00B41F02"/>
    <w:rsid w:val="00B44F89"/>
    <w:rsid w:val="00B52804"/>
    <w:rsid w:val="00B55A8F"/>
    <w:rsid w:val="00B5685B"/>
    <w:rsid w:val="00B60796"/>
    <w:rsid w:val="00B64DAB"/>
    <w:rsid w:val="00B7435C"/>
    <w:rsid w:val="00B8309A"/>
    <w:rsid w:val="00B933E5"/>
    <w:rsid w:val="00B93A20"/>
    <w:rsid w:val="00B95EBE"/>
    <w:rsid w:val="00BA4FA0"/>
    <w:rsid w:val="00BB4633"/>
    <w:rsid w:val="00BB5EAC"/>
    <w:rsid w:val="00BB705A"/>
    <w:rsid w:val="00BC2B82"/>
    <w:rsid w:val="00BC5175"/>
    <w:rsid w:val="00BE3067"/>
    <w:rsid w:val="00BE3126"/>
    <w:rsid w:val="00BF20C8"/>
    <w:rsid w:val="00BF2F00"/>
    <w:rsid w:val="00C06C6D"/>
    <w:rsid w:val="00C12CF7"/>
    <w:rsid w:val="00C44179"/>
    <w:rsid w:val="00C515D0"/>
    <w:rsid w:val="00C52319"/>
    <w:rsid w:val="00C535E4"/>
    <w:rsid w:val="00C66D63"/>
    <w:rsid w:val="00C66F73"/>
    <w:rsid w:val="00C74AF5"/>
    <w:rsid w:val="00C822BC"/>
    <w:rsid w:val="00C900A8"/>
    <w:rsid w:val="00CA426F"/>
    <w:rsid w:val="00CA5F2B"/>
    <w:rsid w:val="00CB26A0"/>
    <w:rsid w:val="00CB2CC1"/>
    <w:rsid w:val="00CB36D9"/>
    <w:rsid w:val="00CD036B"/>
    <w:rsid w:val="00CE5201"/>
    <w:rsid w:val="00D06C41"/>
    <w:rsid w:val="00D22269"/>
    <w:rsid w:val="00D25FDC"/>
    <w:rsid w:val="00D34187"/>
    <w:rsid w:val="00D347C8"/>
    <w:rsid w:val="00D42469"/>
    <w:rsid w:val="00D44514"/>
    <w:rsid w:val="00D51B0B"/>
    <w:rsid w:val="00D51EA2"/>
    <w:rsid w:val="00D51F71"/>
    <w:rsid w:val="00D66CE4"/>
    <w:rsid w:val="00D80BBA"/>
    <w:rsid w:val="00D9307A"/>
    <w:rsid w:val="00D94A3C"/>
    <w:rsid w:val="00D97071"/>
    <w:rsid w:val="00DA004C"/>
    <w:rsid w:val="00DA6796"/>
    <w:rsid w:val="00DC2C76"/>
    <w:rsid w:val="00DC407B"/>
    <w:rsid w:val="00DC7D23"/>
    <w:rsid w:val="00DD1F68"/>
    <w:rsid w:val="00DD2B92"/>
    <w:rsid w:val="00DE1209"/>
    <w:rsid w:val="00DE18C7"/>
    <w:rsid w:val="00DE5592"/>
    <w:rsid w:val="00DE779A"/>
    <w:rsid w:val="00E04C7B"/>
    <w:rsid w:val="00E05592"/>
    <w:rsid w:val="00E14DFC"/>
    <w:rsid w:val="00E1525F"/>
    <w:rsid w:val="00E36E79"/>
    <w:rsid w:val="00E378D0"/>
    <w:rsid w:val="00E54640"/>
    <w:rsid w:val="00E576A4"/>
    <w:rsid w:val="00E70C0C"/>
    <w:rsid w:val="00E71653"/>
    <w:rsid w:val="00E80149"/>
    <w:rsid w:val="00E80720"/>
    <w:rsid w:val="00E836B5"/>
    <w:rsid w:val="00E85F3B"/>
    <w:rsid w:val="00E93B99"/>
    <w:rsid w:val="00EA37B3"/>
    <w:rsid w:val="00EA4831"/>
    <w:rsid w:val="00ED52D0"/>
    <w:rsid w:val="00EE1775"/>
    <w:rsid w:val="00F02BEB"/>
    <w:rsid w:val="00F05EA7"/>
    <w:rsid w:val="00F14888"/>
    <w:rsid w:val="00F170DF"/>
    <w:rsid w:val="00F62098"/>
    <w:rsid w:val="00F7506D"/>
    <w:rsid w:val="00F7612A"/>
    <w:rsid w:val="00F84BCA"/>
    <w:rsid w:val="00F85F83"/>
    <w:rsid w:val="00FB1C65"/>
    <w:rsid w:val="00FD5826"/>
    <w:rsid w:val="00FD59CB"/>
    <w:rsid w:val="00FD5CF9"/>
    <w:rsid w:val="00FE7010"/>
    <w:rsid w:val="00FF2584"/>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A27F"/>
  <w15:chartTrackingRefBased/>
  <w15:docId w15:val="{E4A0EE8F-BA77-4E07-93FC-232D284D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74"/>
    <w:pPr>
      <w:spacing w:after="0" w:line="260" w:lineRule="exact"/>
    </w:pPr>
    <w:rPr>
      <w:rFonts w:ascii="Univers" w:eastAsia="Times New Roman" w:hAnsi="Univers"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73874"/>
    <w:pPr>
      <w:spacing w:line="240" w:lineRule="auto"/>
    </w:pPr>
  </w:style>
  <w:style w:type="character" w:customStyle="1" w:styleId="CommentTextChar">
    <w:name w:val="Comment Text Char"/>
    <w:basedOn w:val="DefaultParagraphFont"/>
    <w:link w:val="CommentText"/>
    <w:uiPriority w:val="99"/>
    <w:semiHidden/>
    <w:rsid w:val="00073874"/>
    <w:rPr>
      <w:rFonts w:ascii="Univers" w:eastAsia="Times New Roman" w:hAnsi="Univers" w:cs="Times New Roman"/>
      <w:sz w:val="20"/>
      <w:szCs w:val="20"/>
      <w:lang w:val="fi-FI" w:eastAsia="nl-NL"/>
    </w:rPr>
  </w:style>
  <w:style w:type="paragraph" w:styleId="FootnoteText">
    <w:name w:val="footnote text"/>
    <w:basedOn w:val="Normal"/>
    <w:link w:val="FootnoteTextChar"/>
    <w:semiHidden/>
    <w:rsid w:val="00073874"/>
    <w:pPr>
      <w:spacing w:line="240" w:lineRule="auto"/>
    </w:pPr>
  </w:style>
  <w:style w:type="character" w:customStyle="1" w:styleId="FootnoteTextChar">
    <w:name w:val="Footnote Text Char"/>
    <w:basedOn w:val="DefaultParagraphFont"/>
    <w:link w:val="FootnoteText"/>
    <w:semiHidden/>
    <w:rsid w:val="00073874"/>
    <w:rPr>
      <w:rFonts w:ascii="Univers" w:eastAsia="Times New Roman" w:hAnsi="Univers" w:cs="Times New Roman"/>
      <w:sz w:val="20"/>
      <w:szCs w:val="20"/>
      <w:lang w:val="fi-FI" w:eastAsia="nl-NL"/>
    </w:rPr>
  </w:style>
  <w:style w:type="character" w:styleId="FootnoteReference">
    <w:name w:val="footnote reference"/>
    <w:basedOn w:val="DefaultParagraphFont"/>
    <w:uiPriority w:val="99"/>
    <w:semiHidden/>
    <w:rsid w:val="00073874"/>
    <w:rPr>
      <w:vertAlign w:val="superscript"/>
    </w:rPr>
  </w:style>
  <w:style w:type="paragraph" w:styleId="ListParagraph">
    <w:name w:val="List Paragraph"/>
    <w:basedOn w:val="Normal"/>
    <w:uiPriority w:val="34"/>
    <w:qFormat/>
    <w:rsid w:val="00073874"/>
    <w:pPr>
      <w:ind w:left="720"/>
      <w:contextualSpacing/>
    </w:pPr>
  </w:style>
  <w:style w:type="character" w:styleId="CommentReference">
    <w:name w:val="annotation reference"/>
    <w:basedOn w:val="DefaultParagraphFont"/>
    <w:uiPriority w:val="99"/>
    <w:rsid w:val="00073874"/>
    <w:rPr>
      <w:sz w:val="16"/>
      <w:szCs w:val="16"/>
    </w:rPr>
  </w:style>
  <w:style w:type="table" w:styleId="TableGrid">
    <w:name w:val="Table Grid"/>
    <w:basedOn w:val="TableNormal"/>
    <w:uiPriority w:val="59"/>
    <w:rsid w:val="0007387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73874"/>
    <w:rPr>
      <w:b w:val="0"/>
      <w:bCs w:val="0"/>
      <w:i/>
      <w:iCs/>
    </w:rPr>
  </w:style>
  <w:style w:type="paragraph" w:styleId="BalloonText">
    <w:name w:val="Balloon Text"/>
    <w:basedOn w:val="Normal"/>
    <w:link w:val="BalloonTextChar"/>
    <w:uiPriority w:val="99"/>
    <w:semiHidden/>
    <w:unhideWhenUsed/>
    <w:rsid w:val="000738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74"/>
    <w:rPr>
      <w:rFonts w:ascii="Segoe UI" w:eastAsia="Times New Roman" w:hAnsi="Segoe UI" w:cs="Segoe UI"/>
      <w:szCs w:val="18"/>
      <w:lang w:val="fi-FI" w:eastAsia="nl-NL"/>
    </w:rPr>
  </w:style>
  <w:style w:type="paragraph" w:styleId="CommentSubject">
    <w:name w:val="annotation subject"/>
    <w:basedOn w:val="CommentText"/>
    <w:next w:val="CommentText"/>
    <w:link w:val="CommentSubjectChar"/>
    <w:uiPriority w:val="99"/>
    <w:semiHidden/>
    <w:unhideWhenUsed/>
    <w:rsid w:val="00073874"/>
    <w:rPr>
      <w:b/>
      <w:bCs/>
    </w:rPr>
  </w:style>
  <w:style w:type="character" w:customStyle="1" w:styleId="CommentSubjectChar">
    <w:name w:val="Comment Subject Char"/>
    <w:basedOn w:val="CommentTextChar"/>
    <w:link w:val="CommentSubject"/>
    <w:uiPriority w:val="99"/>
    <w:semiHidden/>
    <w:rsid w:val="00073874"/>
    <w:rPr>
      <w:rFonts w:ascii="Univers" w:eastAsia="Times New Roman" w:hAnsi="Univers" w:cs="Times New Roman"/>
      <w:b/>
      <w:bCs/>
      <w:sz w:val="20"/>
      <w:szCs w:val="20"/>
      <w:lang w:val="fi-FI" w:eastAsia="nl-NL"/>
    </w:rPr>
  </w:style>
  <w:style w:type="character" w:styleId="Hyperlink">
    <w:name w:val="Hyperlink"/>
    <w:basedOn w:val="DefaultParagraphFont"/>
    <w:uiPriority w:val="99"/>
    <w:semiHidden/>
    <w:unhideWhenUsed/>
    <w:rsid w:val="006E48AA"/>
    <w:rPr>
      <w:strike w:val="0"/>
      <w:dstrike w:val="0"/>
      <w:color w:val="0065A2"/>
      <w:u w:val="none"/>
      <w:effect w:val="none"/>
      <w:shd w:val="clear" w:color="auto" w:fill="auto"/>
    </w:rPr>
  </w:style>
  <w:style w:type="character" w:styleId="Strong">
    <w:name w:val="Strong"/>
    <w:basedOn w:val="DefaultParagraphFont"/>
    <w:uiPriority w:val="22"/>
    <w:qFormat/>
    <w:rsid w:val="006E48AA"/>
    <w:rPr>
      <w:b/>
      <w:bCs/>
    </w:rPr>
  </w:style>
  <w:style w:type="paragraph" w:styleId="Header">
    <w:name w:val="header"/>
    <w:basedOn w:val="Normal"/>
    <w:link w:val="HeaderChar"/>
    <w:uiPriority w:val="99"/>
    <w:unhideWhenUsed/>
    <w:rsid w:val="00257DAB"/>
    <w:pPr>
      <w:tabs>
        <w:tab w:val="center" w:pos="4536"/>
        <w:tab w:val="right" w:pos="9072"/>
      </w:tabs>
      <w:spacing w:line="240" w:lineRule="auto"/>
    </w:pPr>
  </w:style>
  <w:style w:type="character" w:customStyle="1" w:styleId="HeaderChar">
    <w:name w:val="Header Char"/>
    <w:basedOn w:val="DefaultParagraphFont"/>
    <w:link w:val="Header"/>
    <w:uiPriority w:val="99"/>
    <w:rsid w:val="00257DAB"/>
    <w:rPr>
      <w:rFonts w:ascii="Univers" w:eastAsia="Times New Roman" w:hAnsi="Univers" w:cs="Times New Roman"/>
      <w:sz w:val="20"/>
      <w:szCs w:val="20"/>
      <w:lang w:val="fi-FI" w:eastAsia="nl-NL"/>
    </w:rPr>
  </w:style>
  <w:style w:type="paragraph" w:styleId="Footer">
    <w:name w:val="footer"/>
    <w:basedOn w:val="Normal"/>
    <w:link w:val="FooterChar"/>
    <w:uiPriority w:val="99"/>
    <w:unhideWhenUsed/>
    <w:rsid w:val="00257DAB"/>
    <w:pPr>
      <w:tabs>
        <w:tab w:val="center" w:pos="4536"/>
        <w:tab w:val="right" w:pos="9072"/>
      </w:tabs>
      <w:spacing w:line="240" w:lineRule="auto"/>
    </w:pPr>
  </w:style>
  <w:style w:type="character" w:customStyle="1" w:styleId="FooterChar">
    <w:name w:val="Footer Char"/>
    <w:basedOn w:val="DefaultParagraphFont"/>
    <w:link w:val="Footer"/>
    <w:uiPriority w:val="99"/>
    <w:rsid w:val="00257DAB"/>
    <w:rPr>
      <w:rFonts w:ascii="Univers" w:eastAsia="Times New Roman" w:hAnsi="Univers" w:cs="Times New Roman"/>
      <w:sz w:val="20"/>
      <w:szCs w:val="20"/>
      <w:lang w:val="fi-FI"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8285">
      <w:bodyDiv w:val="1"/>
      <w:marLeft w:val="0"/>
      <w:marRight w:val="0"/>
      <w:marTop w:val="0"/>
      <w:marBottom w:val="0"/>
      <w:divBdr>
        <w:top w:val="none" w:sz="0" w:space="0" w:color="auto"/>
        <w:left w:val="none" w:sz="0" w:space="0" w:color="auto"/>
        <w:bottom w:val="none" w:sz="0" w:space="0" w:color="auto"/>
        <w:right w:val="none" w:sz="0" w:space="0" w:color="auto"/>
      </w:divBdr>
    </w:div>
    <w:div w:id="496271005">
      <w:bodyDiv w:val="1"/>
      <w:marLeft w:val="0"/>
      <w:marRight w:val="0"/>
      <w:marTop w:val="0"/>
      <w:marBottom w:val="0"/>
      <w:divBdr>
        <w:top w:val="none" w:sz="0" w:space="0" w:color="auto"/>
        <w:left w:val="none" w:sz="0" w:space="0" w:color="auto"/>
        <w:bottom w:val="none" w:sz="0" w:space="0" w:color="auto"/>
        <w:right w:val="none" w:sz="0" w:space="0" w:color="auto"/>
      </w:divBdr>
    </w:div>
    <w:div w:id="981958580">
      <w:bodyDiv w:val="1"/>
      <w:marLeft w:val="0"/>
      <w:marRight w:val="0"/>
      <w:marTop w:val="0"/>
      <w:marBottom w:val="0"/>
      <w:divBdr>
        <w:top w:val="none" w:sz="0" w:space="0" w:color="auto"/>
        <w:left w:val="none" w:sz="0" w:space="0" w:color="auto"/>
        <w:bottom w:val="none" w:sz="0" w:space="0" w:color="auto"/>
        <w:right w:val="none" w:sz="0" w:space="0" w:color="auto"/>
      </w:divBdr>
    </w:div>
    <w:div w:id="21246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6397-2FA2-4805-B898-5A059377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1477</Words>
  <Characters>8422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Kortstam, E.A.G. (Elouise)</dc:creator>
  <cp:keywords/>
  <dc:description/>
  <cp:lastModifiedBy>Diana STOICA</cp:lastModifiedBy>
  <cp:revision>5</cp:revision>
  <dcterms:created xsi:type="dcterms:W3CDTF">2020-07-27T13:13:00Z</dcterms:created>
  <dcterms:modified xsi:type="dcterms:W3CDTF">2020-08-03T12:39:00Z</dcterms:modified>
</cp:coreProperties>
</file>