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FI- ------ 20200612 --- --- PROJET</w:t>
      </w:r>
    </w:p>
    <w:p w:rsidR="007606BC" w:rsidRPr="00EC1FD0" w:rsidRDefault="008E1D2E" w:rsidP="008E1D2E">
      <w:pPr>
        <w:jc w:val="center"/>
        <w:rPr>
          <w:b/>
          <w:rFonts w:ascii="Arial" w:hAnsi="Arial" w:cs="Arial"/>
        </w:rPr>
      </w:pPr>
      <w:r>
        <w:rPr>
          <w:b/>
          <w:rFonts w:ascii="Arial" w:hAnsi="Arial"/>
        </w:rPr>
        <w:t xml:space="preserve">Laki maataloustuotteita ja elintarvikkeita koskevien tietojen avoimuudesta (teksti hyväksytty lopullisesti kansalliskokouksessa 27 päivänä toukokuuta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Ilmoitettavat lain säännökset</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1 §</w:t>
      </w:r>
    </w:p>
    <w:p w:rsidR="008E1D2E" w:rsidRPr="008E1D2E" w:rsidRDefault="008E1D2E" w:rsidP="008E1D2E">
      <w:pPr>
        <w:jc w:val="both"/>
        <w:rPr>
          <w:rFonts w:ascii="Arial" w:hAnsi="Arial" w:cs="Arial"/>
        </w:rPr>
      </w:pPr>
      <w:r>
        <w:rPr>
          <w:rFonts w:ascii="Arial" w:hAnsi="Arial"/>
        </w:rPr>
        <w:t xml:space="preserve">Muutetaan kuluttajansuojalain L. 412-1 § seuraavasti:</w:t>
      </w:r>
    </w:p>
    <w:p w:rsidR="008E1D2E" w:rsidRDefault="008E1D2E" w:rsidP="008E1D2E">
      <w:pPr>
        <w:jc w:val="both"/>
        <w:rPr>
          <w:rFonts w:ascii="Arial" w:hAnsi="Arial" w:cs="Arial"/>
        </w:rPr>
      </w:pPr>
      <w:r>
        <w:rPr>
          <w:rFonts w:ascii="Arial" w:hAnsi="Arial"/>
        </w:rPr>
        <w:t xml:space="preserve">1° Lisätään I momentin 3° alamomentin jälkeen 3°bis alamomentti seuraavasti:</w:t>
      </w:r>
    </w:p>
    <w:p w:rsidR="008E1D2E" w:rsidRDefault="008E1D2E" w:rsidP="008E1D2E">
      <w:pPr>
        <w:jc w:val="both"/>
        <w:rPr>
          <w:rFonts w:ascii="Arial" w:hAnsi="Arial" w:cs="Arial"/>
        </w:rPr>
      </w:pPr>
      <w:r>
        <w:rPr>
          <w:rFonts w:ascii="Arial" w:hAnsi="Arial"/>
        </w:rPr>
        <w:t xml:space="preserve">”3°bis Valmiiksi pakattuihin elintarvikkeisiin liittyvien kaikenlaisten merkintöjen osalta järjestelyt, joiden mukaan ensimmäisestä markkinoille saattamisesta vastaava taho asettaa vastaavat tiedot yleisön saataville verkkoon, yleisön ja hallinnon välisistä suhteista annetun lain III kirjassa säädettyjen ehtojen mukaisesti;”</w:t>
      </w:r>
    </w:p>
    <w:p w:rsidR="008E1D2E" w:rsidRDefault="008E1D2E" w:rsidP="008E1D2E">
      <w:pPr>
        <w:jc w:val="both"/>
        <w:rPr>
          <w:rFonts w:ascii="Arial" w:hAnsi="Arial" w:cs="Arial"/>
        </w:rPr>
      </w:pPr>
      <w:r>
        <w:rPr>
          <w:rFonts w:ascii="Arial" w:hAnsi="Arial"/>
        </w:rPr>
        <w:t xml:space="preserve">2° Lisätään II momenttiin alamomentti seuraavasti:</w:t>
      </w:r>
      <w:r>
        <w:rPr>
          <w:rFonts w:ascii="Arial" w:hAnsi="Arial"/>
        </w:rPr>
        <w:t xml:space="preserve"> </w:t>
      </w:r>
    </w:p>
    <w:p w:rsidR="008E1D2E" w:rsidRDefault="008E1D2E" w:rsidP="008E1D2E">
      <w:pPr>
        <w:jc w:val="both"/>
        <w:rPr>
          <w:rFonts w:ascii="Arial" w:hAnsi="Arial" w:cs="Arial"/>
        </w:rPr>
      </w:pPr>
      <w:r>
        <w:rPr>
          <w:rFonts w:ascii="Arial" w:hAnsi="Arial"/>
        </w:rPr>
        <w:t xml:space="preserve">”Saman I momentin 3°bis alamomentissa tarkoitettujen tietojen osalta kyseisillä asetuksilla täsmennetään erityisesti tietojen saataville asettamisen paikka ja muoto niin, että muodostetaan kaikkien käyttäjien saatavilla oleva avoin tietokanta ja mahdollistetaan kyseisten tietojen vapaa uudelleenkäyttö.”</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2 §</w:t>
      </w:r>
      <w:r>
        <w:rPr>
          <w:b/>
          <w:rFonts w:ascii="Arial" w:hAnsi="Arial"/>
        </w:rPr>
        <w:t xml:space="preserve"> </w:t>
      </w:r>
    </w:p>
    <w:p w:rsidR="008E1D2E" w:rsidRDefault="008E1D2E" w:rsidP="008E1D2E">
      <w:pPr>
        <w:jc w:val="both"/>
        <w:rPr>
          <w:rFonts w:ascii="Arial" w:hAnsi="Arial" w:cs="Arial"/>
        </w:rPr>
      </w:pPr>
      <w:r>
        <w:rPr>
          <w:rFonts w:ascii="Arial" w:hAnsi="Arial"/>
        </w:rPr>
        <w:t xml:space="preserve">I. – Lisätään kuluttajansuojalain L. 412-4 §:n ensimmäisen momentin jälkeen kolme momenttia seuraavasti:</w:t>
      </w:r>
    </w:p>
    <w:p w:rsidR="008E1D2E" w:rsidRDefault="008E1D2E" w:rsidP="008E1D2E">
      <w:pPr>
        <w:jc w:val="both"/>
        <w:rPr>
          <w:rFonts w:ascii="Arial" w:hAnsi="Arial" w:cs="Arial"/>
        </w:rPr>
      </w:pPr>
      <w:r>
        <w:rPr>
          <w:rFonts w:ascii="Arial" w:hAnsi="Arial"/>
        </w:rPr>
        <w:t xml:space="preserve">”Raakakaakaosta tai jalostetusta kaakaosta koostuvien tuotteiden, jotka on tarkoitettu ihmisravinnoksi, alkuperämaan merkintä on myös pakollinen.</w:t>
      </w:r>
    </w:p>
    <w:p w:rsidR="008E1D2E" w:rsidRDefault="008E1D2E" w:rsidP="008E1D2E">
      <w:pPr>
        <w:jc w:val="both"/>
        <w:rPr>
          <w:rFonts w:ascii="Arial" w:hAnsi="Arial" w:cs="Arial"/>
        </w:rPr>
      </w:pPr>
      <w:r>
        <w:rPr>
          <w:rFonts w:ascii="Arial" w:hAnsi="Arial"/>
        </w:rPr>
        <w:t xml:space="preserve">Useammasta kuin yhdestä Euroopan unionin jäsenvaltiosta tai kolmannesta maasta peräisin olevan hunajan sekoituksesta koostuvan hunajan osalta kaikki alkuperämaat, joista hunaja on kerätty, ilmoitetaan merkinnässä painon mukaan alenevassa järjestyksessä.</w:t>
      </w:r>
    </w:p>
    <w:p w:rsidR="008E1D2E" w:rsidRDefault="008E1D2E" w:rsidP="008E1D2E">
      <w:pPr>
        <w:jc w:val="both"/>
        <w:rPr>
          <w:rFonts w:ascii="Arial" w:hAnsi="Arial" w:cs="Arial"/>
        </w:rPr>
      </w:pPr>
      <w:r>
        <w:rPr>
          <w:rFonts w:ascii="Arial" w:hAnsi="Arial"/>
        </w:rPr>
        <w:t xml:space="preserve">Kolmatta momenttia sovelletaan myös emoaineeseen.”</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Tämän pykälän I momentti tulee voimaan 1 päivänä tammikuuta 2021.</w:t>
      </w:r>
      <w:r>
        <w:rPr>
          <w:rFonts w:ascii="Arial" w:hAnsi="Arial"/>
        </w:rPr>
        <w:t xml:space="preserve"> </w:t>
      </w:r>
      <w:r>
        <w:rPr>
          <w:rFonts w:ascii="Arial" w:hAnsi="Arial"/>
        </w:rPr>
        <w:t xml:space="preserve">Kyseisestä päivästä alkaen tuotteita, joita on laillisesti valmistettu tai pidetty kaupan ennen kyseistä päivää ja joiden merkintä ei ole kuluttajansuojalain L. 412-4 §:n, sellaisena kuin se on muutettuna tällä pykälällä, kolmannen momentin mukainen, voidaan myydä tai jakaa ilmaiseksi varastojen loppumiseen asti.</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5 §</w:t>
      </w:r>
    </w:p>
    <w:p w:rsidR="008E1D2E" w:rsidRPr="008E1D2E" w:rsidRDefault="008E1D2E" w:rsidP="00ED0627">
      <w:pPr>
        <w:jc w:val="both"/>
        <w:rPr>
          <w:rFonts w:ascii="Arial" w:hAnsi="Arial" w:cs="Arial"/>
        </w:rPr>
      </w:pPr>
      <w:r>
        <w:rPr>
          <w:rFonts w:ascii="Arial" w:hAnsi="Arial"/>
        </w:rPr>
        <w:t xml:space="preserve">Lisätään kuluttajansuojalain IV kirjan I osaston II luvun 2 jaksoon L. 412-10 § seuraavasti:</w:t>
      </w:r>
    </w:p>
    <w:p w:rsidR="008E1D2E" w:rsidRDefault="008E1D2E" w:rsidP="008E1D2E">
      <w:pPr>
        <w:jc w:val="both"/>
        <w:rPr>
          <w:rFonts w:ascii="Arial" w:hAnsi="Arial" w:cs="Arial"/>
        </w:rPr>
      </w:pPr>
      <w:r>
        <w:rPr>
          <w:rFonts w:ascii="Arial" w:hAnsi="Arial"/>
        </w:rPr>
        <w:t xml:space="preserve">”L. 412-10 §.</w:t>
      </w:r>
      <w:r>
        <w:rPr>
          <w:rFonts w:ascii="Arial" w:hAnsi="Arial"/>
        </w:rPr>
        <w:t xml:space="preserve"> </w:t>
      </w:r>
      <w:r>
        <w:rPr>
          <w:rFonts w:ascii="Arial" w:hAnsi="Arial"/>
        </w:rPr>
        <w:t xml:space="preserve">– Eläinperäisten elintarvikkeiden osoittamiseksi käytettyjä nimityksiä ei voida käyttää kasviproteiineja sisältävien elintarvikkeiden kuvaamista, kaupan pitämistä tai edistämistä varten.</w:t>
      </w:r>
      <w:r>
        <w:rPr>
          <w:rFonts w:ascii="Arial" w:hAnsi="Arial"/>
        </w:rPr>
        <w:t xml:space="preserve"> </w:t>
      </w:r>
      <w:r>
        <w:rPr>
          <w:rFonts w:ascii="Arial" w:hAnsi="Arial"/>
        </w:rPr>
        <w:t xml:space="preserve">Asetuksella vahvistetaan kasviproteiinien osuus, jonka ylittymisen tapauksessa kyseinen nimitys ei ole mahdollinen.</w:t>
      </w:r>
      <w:r>
        <w:rPr>
          <w:rFonts w:ascii="Arial" w:hAnsi="Arial"/>
        </w:rPr>
        <w:t xml:space="preserve"> </w:t>
      </w:r>
      <w:r>
        <w:rPr>
          <w:rFonts w:ascii="Arial" w:hAnsi="Arial"/>
        </w:rPr>
        <w:t xml:space="preserve">Kyseisessä asetuksessa määritetään myös tämän pykälän soveltamista koskevat yksityiskohtaiset säännöt ja laiminlyöntien tapauksessa määrättävät seuraamukset.”</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6 §</w:t>
      </w:r>
    </w:p>
    <w:p w:rsidR="008E1D2E" w:rsidRDefault="008E1D2E" w:rsidP="008E1D2E">
      <w:pPr>
        <w:jc w:val="both"/>
        <w:rPr>
          <w:rFonts w:ascii="Arial" w:hAnsi="Arial" w:cs="Arial"/>
        </w:rPr>
      </w:pPr>
      <w:r>
        <w:rPr>
          <w:rFonts w:ascii="Arial" w:hAnsi="Arial"/>
        </w:rPr>
        <w:t xml:space="preserve">Lisätään maatalous- ja merikalastuslain L. 641-19 §:ään momentti seuraavasti:</w:t>
      </w:r>
    </w:p>
    <w:p w:rsidR="008E1D2E" w:rsidRDefault="008E1D2E" w:rsidP="008E1D2E">
      <w:pPr>
        <w:jc w:val="both"/>
        <w:rPr>
          <w:rFonts w:ascii="Arial" w:hAnsi="Arial" w:cs="Arial"/>
        </w:rPr>
      </w:pPr>
      <w:r>
        <w:rPr>
          <w:rFonts w:ascii="Arial" w:hAnsi="Arial"/>
        </w:rPr>
        <w:t xml:space="preserve">”Tilajuustojen osalta, jos kypsytysprosessi suoritetaan maatilan ulkopuolella perinteisten käytäntöjen mukaisesti, tietojen antaminen kuluttajille on varmistettava ensimmäisessä momentissa tarkoitettujen mainintojen lisäksi asetuksella vahvistettavien yksityiskohtaisten sääntöjen mukaisesti.”</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8 §</w:t>
      </w:r>
    </w:p>
    <w:p w:rsidR="008E1D2E" w:rsidRDefault="008E1D2E" w:rsidP="008E1D2E">
      <w:pPr>
        <w:jc w:val="both"/>
        <w:rPr>
          <w:rFonts w:ascii="Arial" w:hAnsi="Arial" w:cs="Arial"/>
        </w:rPr>
      </w:pPr>
      <w:r>
        <w:rPr>
          <w:rFonts w:ascii="Arial" w:hAnsi="Arial"/>
        </w:rPr>
        <w:t xml:space="preserve">I. – Lisätään kuluttajansuojalain IV kirjan I osaston II luvun 2 jaksoon L. 412-11 § seuraavasti:</w:t>
      </w:r>
    </w:p>
    <w:p w:rsidR="008E1D2E" w:rsidRDefault="008E1D2E" w:rsidP="008E1D2E">
      <w:pPr>
        <w:jc w:val="both"/>
        <w:rPr>
          <w:rFonts w:ascii="Arial" w:hAnsi="Arial" w:cs="Arial"/>
        </w:rPr>
      </w:pPr>
      <w:r>
        <w:rPr>
          <w:rFonts w:ascii="Arial" w:hAnsi="Arial"/>
        </w:rPr>
        <w:t xml:space="preserve">”L. 412-11 §. – Sellaisten laitosten toiminnanharjoittajat, joille on myönnetty anniskelulupa paikalla nauttimista tai noutamista varten tai ravintolalupa, ilmoittavat helposti luettavalla tavalla juomalistoissaan tai muissa välineissä pullossa, kannussa tai lasissa myyntiin saatettujen viinien alkuperän ja tarvittaessa suojatun alkuperänimityksen tai suojatun maantieteellisen merkinnän nimen.”</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Tämän pykälän I momentti tulee voimaan 1 päivänä kesäkuuta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9 §</w:t>
      </w:r>
    </w:p>
    <w:p w:rsidR="007F3528" w:rsidRDefault="007F3528" w:rsidP="008E1D2E">
      <w:pPr>
        <w:jc w:val="both"/>
        <w:rPr>
          <w:rFonts w:ascii="Arial" w:hAnsi="Arial" w:cs="Arial"/>
        </w:rPr>
      </w:pPr>
      <w:r>
        <w:rPr>
          <w:rFonts w:ascii="Arial" w:hAnsi="Arial"/>
        </w:rPr>
        <w:t xml:space="preserve">Lisätään kuluttajansuojalain IV kirjan I osaston II luvun 2 jaksoon L. 412-12 § seuraavasti:</w:t>
      </w:r>
    </w:p>
    <w:p w:rsidR="007F3528" w:rsidRPr="007F3528" w:rsidRDefault="007F3528" w:rsidP="008E1D2E">
      <w:pPr>
        <w:jc w:val="both"/>
        <w:rPr>
          <w:rFonts w:ascii="Arial" w:hAnsi="Arial" w:cs="Arial"/>
        </w:rPr>
      </w:pPr>
      <w:r>
        <w:rPr>
          <w:rFonts w:ascii="Arial" w:hAnsi="Arial"/>
        </w:rPr>
        <w:t xml:space="preserve">”L. 412-12 §.</w:t>
      </w:r>
      <w:r>
        <w:rPr>
          <w:rFonts w:ascii="Arial" w:hAnsi="Arial"/>
        </w:rPr>
        <w:t xml:space="preserve"> </w:t>
      </w:r>
      <w:r>
        <w:rPr>
          <w:rFonts w:ascii="Arial" w:hAnsi="Arial"/>
        </w:rPr>
        <w:t xml:space="preserve">– Oluen valmistajan nimi ja osoite ilmoitetaan näkyvästi merkinnässä niin, että kuluttajaa ei johdeta harhaan oluen alkuperän osalta millään tavoin, mukaan luettuna merkinnän yleisen ulkoasun vuoksi.”</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