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BC" w:rsidRPr="00EC1FD0" w:rsidRDefault="008E1D2E" w:rsidP="008E1D2E">
      <w:pPr>
        <w:jc w:val="center"/>
        <w:rPr>
          <w:rFonts w:ascii="Arial" w:hAnsi="Arial" w:cs="Arial"/>
          <w:b/>
        </w:rPr>
      </w:pPr>
      <w:r w:rsidRPr="00EC1FD0">
        <w:rPr>
          <w:rFonts w:ascii="Arial" w:hAnsi="Arial" w:cs="Arial"/>
          <w:b/>
        </w:rPr>
        <w:t>Loi relative à la transparence de l’information sur les produits agricoles et alimentaires (texte adopté définitivement par l'Assemblée nationale le 27 mai 2020)</w:t>
      </w:r>
    </w:p>
    <w:p w:rsidR="008E1D2E" w:rsidRPr="00EC1FD0" w:rsidRDefault="008E1D2E" w:rsidP="008E1D2E">
      <w:pPr>
        <w:jc w:val="center"/>
        <w:rPr>
          <w:rFonts w:ascii="Arial" w:hAnsi="Arial" w:cs="Arial"/>
          <w:b/>
        </w:rPr>
      </w:pPr>
      <w:r w:rsidRPr="00EC1FD0">
        <w:rPr>
          <w:rFonts w:ascii="Arial" w:hAnsi="Arial" w:cs="Arial"/>
          <w:b/>
        </w:rPr>
        <w:t>-</w:t>
      </w:r>
    </w:p>
    <w:p w:rsidR="008E1D2E" w:rsidRPr="00EC1FD0" w:rsidRDefault="008E1D2E" w:rsidP="008E1D2E">
      <w:pPr>
        <w:jc w:val="center"/>
        <w:rPr>
          <w:rFonts w:ascii="Arial" w:hAnsi="Arial" w:cs="Arial"/>
        </w:rPr>
      </w:pPr>
      <w:r w:rsidRPr="00EC1FD0">
        <w:rPr>
          <w:rFonts w:ascii="Arial" w:hAnsi="Arial" w:cs="Arial"/>
        </w:rPr>
        <w:t>Dispositions de la loi faisant l’objet de la notification</w:t>
      </w:r>
    </w:p>
    <w:p w:rsidR="008E1D2E" w:rsidRDefault="008E1D2E"/>
    <w:p w:rsidR="008E1D2E" w:rsidRPr="008E1D2E" w:rsidRDefault="008E1D2E"/>
    <w:p w:rsidR="008E1D2E" w:rsidRPr="008E1D2E" w:rsidRDefault="008E1D2E" w:rsidP="008E1D2E">
      <w:pPr>
        <w:jc w:val="both"/>
        <w:rPr>
          <w:rFonts w:ascii="Arial" w:hAnsi="Arial" w:cs="Arial"/>
          <w:b/>
        </w:rPr>
      </w:pPr>
      <w:r w:rsidRPr="008E1D2E">
        <w:rPr>
          <w:rFonts w:ascii="Arial" w:hAnsi="Arial" w:cs="Arial"/>
          <w:b/>
        </w:rPr>
        <w:t>Article</w:t>
      </w:r>
      <w:r>
        <w:rPr>
          <w:rFonts w:ascii="Arial" w:hAnsi="Arial" w:cs="Arial"/>
          <w:b/>
        </w:rPr>
        <w:t xml:space="preserve"> </w:t>
      </w:r>
      <w:r w:rsidRPr="008E1D2E">
        <w:rPr>
          <w:rFonts w:ascii="Arial" w:hAnsi="Arial" w:cs="Arial"/>
          <w:b/>
        </w:rPr>
        <w:t>1er</w:t>
      </w:r>
    </w:p>
    <w:p w:rsidR="008E1D2E" w:rsidRPr="008E1D2E" w:rsidRDefault="008E1D2E" w:rsidP="008E1D2E">
      <w:pPr>
        <w:jc w:val="both"/>
        <w:rPr>
          <w:rFonts w:ascii="Arial" w:hAnsi="Arial" w:cs="Arial"/>
        </w:rPr>
      </w:pPr>
      <w:r>
        <w:rPr>
          <w:rFonts w:ascii="Arial" w:hAnsi="Arial" w:cs="Arial"/>
        </w:rPr>
        <w:t>L</w:t>
      </w:r>
      <w:r w:rsidRPr="008E1D2E">
        <w:rPr>
          <w:rFonts w:ascii="Arial" w:hAnsi="Arial" w:cs="Arial"/>
        </w:rPr>
        <w:t>’article L.412-1 du code de la consommation est ainsi modifié:</w:t>
      </w:r>
    </w:p>
    <w:p w:rsidR="008E1D2E" w:rsidRDefault="008E1D2E" w:rsidP="008E1D2E">
      <w:pPr>
        <w:jc w:val="both"/>
        <w:rPr>
          <w:rFonts w:ascii="Arial" w:hAnsi="Arial" w:cs="Arial"/>
        </w:rPr>
      </w:pPr>
      <w:r w:rsidRPr="008E1D2E">
        <w:rPr>
          <w:rFonts w:ascii="Arial" w:hAnsi="Arial" w:cs="Arial"/>
        </w:rPr>
        <w:t>1°Après le</w:t>
      </w:r>
      <w:r w:rsidRPr="008E1D2E">
        <w:rPr>
          <w:rFonts w:ascii="Arial" w:hAnsi="Arial" w:cs="Arial"/>
        </w:rPr>
        <w:t xml:space="preserve"> </w:t>
      </w:r>
      <w:r w:rsidRPr="008E1D2E">
        <w:rPr>
          <w:rFonts w:ascii="Arial" w:hAnsi="Arial" w:cs="Arial"/>
        </w:rPr>
        <w:t>3°du</w:t>
      </w:r>
      <w:r w:rsidRPr="008E1D2E">
        <w:rPr>
          <w:rFonts w:ascii="Arial" w:hAnsi="Arial" w:cs="Arial"/>
        </w:rPr>
        <w:t xml:space="preserve"> </w:t>
      </w:r>
      <w:r w:rsidRPr="008E1D2E">
        <w:rPr>
          <w:rFonts w:ascii="Arial" w:hAnsi="Arial" w:cs="Arial"/>
        </w:rPr>
        <w:t>I, il est inséré un</w:t>
      </w:r>
      <w:r w:rsidRPr="008E1D2E">
        <w:rPr>
          <w:rFonts w:ascii="Arial" w:hAnsi="Arial" w:cs="Arial"/>
        </w:rPr>
        <w:t xml:space="preserve"> </w:t>
      </w:r>
      <w:r w:rsidRPr="008E1D2E">
        <w:rPr>
          <w:rFonts w:ascii="Arial" w:hAnsi="Arial" w:cs="Arial"/>
        </w:rPr>
        <w:t>3°bis</w:t>
      </w:r>
      <w:r w:rsidRPr="008E1D2E">
        <w:rPr>
          <w:rFonts w:ascii="Arial" w:hAnsi="Arial" w:cs="Arial"/>
        </w:rPr>
        <w:t xml:space="preserve"> ainsi </w:t>
      </w:r>
      <w:r w:rsidRPr="008E1D2E">
        <w:rPr>
          <w:rFonts w:ascii="Arial" w:hAnsi="Arial" w:cs="Arial"/>
        </w:rPr>
        <w:t>rédigé:</w:t>
      </w:r>
    </w:p>
    <w:p w:rsidR="008E1D2E" w:rsidRDefault="008E1D2E" w:rsidP="008E1D2E">
      <w:pPr>
        <w:jc w:val="both"/>
        <w:rPr>
          <w:rFonts w:ascii="Arial" w:hAnsi="Arial" w:cs="Arial"/>
        </w:rPr>
      </w:pPr>
      <w:r w:rsidRPr="008E1D2E">
        <w:rPr>
          <w:rFonts w:ascii="Arial" w:hAnsi="Arial" w:cs="Arial"/>
        </w:rPr>
        <w:t>«3°bis</w:t>
      </w:r>
      <w:r>
        <w:rPr>
          <w:rFonts w:ascii="Arial" w:hAnsi="Arial" w:cs="Arial"/>
        </w:rPr>
        <w:t xml:space="preserve"> </w:t>
      </w:r>
      <w:r w:rsidRPr="008E1D2E">
        <w:rPr>
          <w:rFonts w:ascii="Arial" w:hAnsi="Arial" w:cs="Arial"/>
        </w:rPr>
        <w:t>S’agissant des inscriptions de toute nature relatives aux denrées alimentaires préemballées, les modalités de mise à la disposition du public en ligne des informations correspondantes par le responsable de la première mise sur le marché, dans</w:t>
      </w:r>
      <w:r>
        <w:rPr>
          <w:rFonts w:ascii="Arial" w:hAnsi="Arial" w:cs="Arial"/>
        </w:rPr>
        <w:t xml:space="preserve"> </w:t>
      </w:r>
      <w:r w:rsidRPr="008E1D2E">
        <w:rPr>
          <w:rFonts w:ascii="Arial" w:hAnsi="Arial" w:cs="Arial"/>
        </w:rPr>
        <w:t>les conditions prévues au livre</w:t>
      </w:r>
      <w:r>
        <w:rPr>
          <w:rFonts w:ascii="Arial" w:hAnsi="Arial" w:cs="Arial"/>
        </w:rPr>
        <w:t xml:space="preserve"> </w:t>
      </w:r>
      <w:r w:rsidRPr="008E1D2E">
        <w:rPr>
          <w:rFonts w:ascii="Arial" w:hAnsi="Arial" w:cs="Arial"/>
        </w:rPr>
        <w:t>III du code des relations entre le public et l’administration;»</w:t>
      </w:r>
    </w:p>
    <w:p w:rsidR="008E1D2E" w:rsidRDefault="008E1D2E" w:rsidP="008E1D2E">
      <w:pPr>
        <w:jc w:val="both"/>
        <w:rPr>
          <w:rFonts w:ascii="Arial" w:hAnsi="Arial" w:cs="Arial"/>
        </w:rPr>
      </w:pPr>
      <w:r w:rsidRPr="008E1D2E">
        <w:rPr>
          <w:rFonts w:ascii="Arial" w:hAnsi="Arial" w:cs="Arial"/>
        </w:rPr>
        <w:t>2°</w:t>
      </w:r>
      <w:r>
        <w:rPr>
          <w:rFonts w:ascii="Arial" w:hAnsi="Arial" w:cs="Arial"/>
        </w:rPr>
        <w:t xml:space="preserve"> </w:t>
      </w:r>
      <w:r w:rsidRPr="008E1D2E">
        <w:rPr>
          <w:rFonts w:ascii="Arial" w:hAnsi="Arial" w:cs="Arial"/>
        </w:rPr>
        <w:t>Le</w:t>
      </w:r>
      <w:r>
        <w:rPr>
          <w:rFonts w:ascii="Arial" w:hAnsi="Arial" w:cs="Arial"/>
        </w:rPr>
        <w:t xml:space="preserve"> </w:t>
      </w:r>
      <w:r w:rsidRPr="008E1D2E">
        <w:rPr>
          <w:rFonts w:ascii="Arial" w:hAnsi="Arial" w:cs="Arial"/>
        </w:rPr>
        <w:t>II est complété par un alinéa ainsi rédigé</w:t>
      </w:r>
      <w:r>
        <w:rPr>
          <w:rFonts w:ascii="Arial" w:hAnsi="Arial" w:cs="Arial"/>
        </w:rPr>
        <w:t xml:space="preserve"> </w:t>
      </w:r>
      <w:r w:rsidRPr="008E1D2E">
        <w:rPr>
          <w:rFonts w:ascii="Arial" w:hAnsi="Arial" w:cs="Arial"/>
        </w:rPr>
        <w:t>:</w:t>
      </w:r>
      <w:r>
        <w:rPr>
          <w:rFonts w:ascii="Arial" w:hAnsi="Arial" w:cs="Arial"/>
        </w:rPr>
        <w:t xml:space="preserve"> </w:t>
      </w:r>
    </w:p>
    <w:p w:rsidR="008E1D2E" w:rsidRDefault="008E1D2E" w:rsidP="008E1D2E">
      <w:pPr>
        <w:jc w:val="both"/>
        <w:rPr>
          <w:rFonts w:ascii="Arial" w:hAnsi="Arial" w:cs="Arial"/>
        </w:rPr>
      </w:pPr>
      <w:r w:rsidRPr="008E1D2E">
        <w:rPr>
          <w:rFonts w:ascii="Arial" w:hAnsi="Arial" w:cs="Arial"/>
        </w:rPr>
        <w:t>«</w:t>
      </w:r>
      <w:r>
        <w:rPr>
          <w:rFonts w:ascii="Arial" w:hAnsi="Arial" w:cs="Arial"/>
        </w:rPr>
        <w:t xml:space="preserve"> </w:t>
      </w:r>
      <w:r w:rsidRPr="008E1D2E">
        <w:rPr>
          <w:rFonts w:ascii="Arial" w:hAnsi="Arial" w:cs="Arial"/>
        </w:rPr>
        <w:t>S’agissant des informations mentionnées au</w:t>
      </w:r>
      <w:r>
        <w:rPr>
          <w:rFonts w:ascii="Arial" w:hAnsi="Arial" w:cs="Arial"/>
        </w:rPr>
        <w:t xml:space="preserve"> </w:t>
      </w:r>
      <w:r w:rsidRPr="008E1D2E">
        <w:rPr>
          <w:rFonts w:ascii="Arial" w:hAnsi="Arial" w:cs="Arial"/>
        </w:rPr>
        <w:t>3°bis</w:t>
      </w:r>
      <w:r>
        <w:rPr>
          <w:rFonts w:ascii="Arial" w:hAnsi="Arial" w:cs="Arial"/>
        </w:rPr>
        <w:t xml:space="preserve"> </w:t>
      </w:r>
      <w:r w:rsidRPr="008E1D2E">
        <w:rPr>
          <w:rFonts w:ascii="Arial" w:hAnsi="Arial" w:cs="Arial"/>
        </w:rPr>
        <w:t>du même</w:t>
      </w:r>
      <w:r>
        <w:rPr>
          <w:rFonts w:ascii="Arial" w:hAnsi="Arial" w:cs="Arial"/>
        </w:rPr>
        <w:t xml:space="preserve"> </w:t>
      </w:r>
      <w:r w:rsidRPr="008E1D2E">
        <w:rPr>
          <w:rFonts w:ascii="Arial" w:hAnsi="Arial" w:cs="Arial"/>
        </w:rPr>
        <w:t>I, ces décrets déterminent notamment le lieu de mise à disposition et le format des données de façon à constituer une base ouverte accessible à tous les utilisateurs et à permettre la réutilisation libre de ces données.»</w:t>
      </w:r>
    </w:p>
    <w:p w:rsidR="007F3528" w:rsidRPr="008E1D2E" w:rsidRDefault="007F3528" w:rsidP="008E1D2E">
      <w:pPr>
        <w:jc w:val="both"/>
      </w:pPr>
    </w:p>
    <w:p w:rsidR="008E1D2E" w:rsidRPr="008E1D2E" w:rsidRDefault="008E1D2E" w:rsidP="008E1D2E">
      <w:pPr>
        <w:jc w:val="both"/>
        <w:rPr>
          <w:rFonts w:ascii="Arial" w:hAnsi="Arial" w:cs="Arial"/>
          <w:b/>
        </w:rPr>
      </w:pPr>
      <w:r w:rsidRPr="008E1D2E">
        <w:rPr>
          <w:rFonts w:ascii="Arial" w:hAnsi="Arial" w:cs="Arial"/>
          <w:b/>
        </w:rPr>
        <w:t xml:space="preserve">Article 2 </w:t>
      </w:r>
    </w:p>
    <w:p w:rsidR="008E1D2E" w:rsidRDefault="008E1D2E" w:rsidP="008E1D2E">
      <w:pPr>
        <w:jc w:val="both"/>
        <w:rPr>
          <w:rFonts w:ascii="Arial" w:hAnsi="Arial" w:cs="Arial"/>
        </w:rPr>
      </w:pPr>
      <w:r w:rsidRPr="008E1D2E">
        <w:rPr>
          <w:rFonts w:ascii="Arial" w:hAnsi="Arial" w:cs="Arial"/>
        </w:rPr>
        <w:t>I. – Après le premier alinéa de l’article L.412-4 du code de la consommation, sont insérés trois alinéas ainsi rédigés:</w:t>
      </w:r>
    </w:p>
    <w:p w:rsidR="008E1D2E" w:rsidRDefault="008E1D2E" w:rsidP="008E1D2E">
      <w:pPr>
        <w:jc w:val="both"/>
        <w:rPr>
          <w:rFonts w:ascii="Arial" w:hAnsi="Arial" w:cs="Arial"/>
        </w:rPr>
      </w:pPr>
      <w:r w:rsidRPr="008E1D2E">
        <w:rPr>
          <w:rFonts w:ascii="Arial" w:hAnsi="Arial" w:cs="Arial"/>
        </w:rPr>
        <w:t>«Pour les produits composés de cacao, à l’état brut ou transformé, et destinés à l’alimentation humaine, l’indication du pays d’origine est également obligatoire.</w:t>
      </w:r>
    </w:p>
    <w:p w:rsidR="008E1D2E" w:rsidRDefault="008E1D2E" w:rsidP="008E1D2E">
      <w:pPr>
        <w:jc w:val="both"/>
        <w:rPr>
          <w:rFonts w:ascii="Arial" w:hAnsi="Arial" w:cs="Arial"/>
        </w:rPr>
      </w:pPr>
      <w:r w:rsidRPr="008E1D2E">
        <w:rPr>
          <w:rFonts w:ascii="Arial" w:hAnsi="Arial" w:cs="Arial"/>
        </w:rPr>
        <w:t>«Pour le miel composé d’un mélange de miels en provenance de plus d’un État membre de l’Union européenne ou d’un pays tiers, tous les pays d’origine de la récolte sont indiqués par ordre pondéral décroissant sur</w:t>
      </w:r>
      <w:r>
        <w:rPr>
          <w:rFonts w:ascii="Arial" w:hAnsi="Arial" w:cs="Arial"/>
        </w:rPr>
        <w:t xml:space="preserve"> </w:t>
      </w:r>
      <w:r w:rsidRPr="008E1D2E">
        <w:rPr>
          <w:rFonts w:ascii="Arial" w:hAnsi="Arial" w:cs="Arial"/>
        </w:rPr>
        <w:t>l’étiquette.</w:t>
      </w:r>
    </w:p>
    <w:p w:rsidR="008E1D2E" w:rsidRDefault="008E1D2E" w:rsidP="008E1D2E">
      <w:pPr>
        <w:jc w:val="both"/>
        <w:rPr>
          <w:rFonts w:ascii="Arial" w:hAnsi="Arial" w:cs="Arial"/>
        </w:rPr>
      </w:pPr>
      <w:r w:rsidRPr="008E1D2E">
        <w:rPr>
          <w:rFonts w:ascii="Arial" w:hAnsi="Arial" w:cs="Arial"/>
        </w:rPr>
        <w:t xml:space="preserve">«Le troisième alinéa s’applique également à la gelée </w:t>
      </w:r>
      <w:proofErr w:type="spellStart"/>
      <w:r w:rsidRPr="008E1D2E">
        <w:rPr>
          <w:rFonts w:ascii="Arial" w:hAnsi="Arial" w:cs="Arial"/>
        </w:rPr>
        <w:t>royale.»</w:t>
      </w:r>
      <w:proofErr w:type="spellEnd"/>
    </w:p>
    <w:p w:rsidR="008E1D2E" w:rsidRDefault="008E1D2E" w:rsidP="008E1D2E">
      <w:pPr>
        <w:jc w:val="both"/>
        <w:rPr>
          <w:rFonts w:ascii="Arial" w:hAnsi="Arial" w:cs="Arial"/>
        </w:rPr>
      </w:pPr>
      <w:r w:rsidRPr="008E1D2E">
        <w:rPr>
          <w:rFonts w:ascii="Arial" w:hAnsi="Arial" w:cs="Arial"/>
        </w:rPr>
        <w:t>II.</w:t>
      </w:r>
      <w:r w:rsidR="00D83FCF">
        <w:rPr>
          <w:rFonts w:ascii="Arial" w:hAnsi="Arial" w:cs="Arial"/>
        </w:rPr>
        <w:t xml:space="preserve"> </w:t>
      </w:r>
      <w:bookmarkStart w:id="0" w:name="_GoBack"/>
      <w:bookmarkEnd w:id="0"/>
      <w:r w:rsidRPr="008E1D2E">
        <w:rPr>
          <w:rFonts w:ascii="Arial" w:hAnsi="Arial" w:cs="Arial"/>
        </w:rPr>
        <w:t>–</w:t>
      </w:r>
      <w:r>
        <w:rPr>
          <w:rFonts w:ascii="Arial" w:hAnsi="Arial" w:cs="Arial"/>
        </w:rPr>
        <w:t xml:space="preserve"> </w:t>
      </w:r>
      <w:r w:rsidRPr="008E1D2E">
        <w:rPr>
          <w:rFonts w:ascii="Arial" w:hAnsi="Arial" w:cs="Arial"/>
        </w:rPr>
        <w:t>Le</w:t>
      </w:r>
      <w:r>
        <w:rPr>
          <w:rFonts w:ascii="Arial" w:hAnsi="Arial" w:cs="Arial"/>
        </w:rPr>
        <w:t xml:space="preserve"> </w:t>
      </w:r>
      <w:r w:rsidRPr="008E1D2E">
        <w:rPr>
          <w:rFonts w:ascii="Arial" w:hAnsi="Arial" w:cs="Arial"/>
        </w:rPr>
        <w:t>I du présent article entre en vigueur le 1</w:t>
      </w:r>
      <w:r w:rsidRPr="008E1D2E">
        <w:rPr>
          <w:rFonts w:ascii="Arial" w:hAnsi="Arial" w:cs="Arial"/>
          <w:vertAlign w:val="superscript"/>
        </w:rPr>
        <w:t>er</w:t>
      </w:r>
      <w:r>
        <w:rPr>
          <w:rFonts w:ascii="Arial" w:hAnsi="Arial" w:cs="Arial"/>
        </w:rPr>
        <w:t xml:space="preserve"> </w:t>
      </w:r>
      <w:r w:rsidRPr="008E1D2E">
        <w:rPr>
          <w:rFonts w:ascii="Arial" w:hAnsi="Arial" w:cs="Arial"/>
        </w:rPr>
        <w:t>janvier</w:t>
      </w:r>
      <w:r>
        <w:rPr>
          <w:rFonts w:ascii="Arial" w:hAnsi="Arial" w:cs="Arial"/>
        </w:rPr>
        <w:t xml:space="preserve"> </w:t>
      </w:r>
      <w:r w:rsidRPr="008E1D2E">
        <w:rPr>
          <w:rFonts w:ascii="Arial" w:hAnsi="Arial" w:cs="Arial"/>
        </w:rPr>
        <w:t>2021. À compter de cette date, les produits légalement fabriqués ou commercialisés</w:t>
      </w:r>
      <w:r>
        <w:rPr>
          <w:rFonts w:ascii="Arial" w:hAnsi="Arial" w:cs="Arial"/>
        </w:rPr>
        <w:t xml:space="preserve"> </w:t>
      </w:r>
      <w:r w:rsidRPr="008E1D2E">
        <w:rPr>
          <w:rFonts w:ascii="Arial" w:hAnsi="Arial" w:cs="Arial"/>
        </w:rPr>
        <w:t>avant cette même date dont l’étiquetage n’est pas conforme au troisième alinéa de l’article L.412-4 du code de la consommation,</w:t>
      </w:r>
      <w:r>
        <w:rPr>
          <w:rFonts w:ascii="Arial" w:hAnsi="Arial" w:cs="Arial"/>
        </w:rPr>
        <w:t xml:space="preserve"> </w:t>
      </w:r>
      <w:r w:rsidRPr="008E1D2E">
        <w:rPr>
          <w:rFonts w:ascii="Arial" w:hAnsi="Arial" w:cs="Arial"/>
        </w:rPr>
        <w:t>dans sa rédaction résultant du présent article, peuvent être vendus ou distribués à titre gratuit jusqu’à l’épuisement des stocks.</w:t>
      </w:r>
    </w:p>
    <w:p w:rsidR="007F3528" w:rsidRPr="008E1D2E" w:rsidRDefault="007F3528" w:rsidP="008E1D2E">
      <w:pPr>
        <w:jc w:val="both"/>
        <w:rPr>
          <w:rFonts w:ascii="Arial" w:hAnsi="Arial" w:cs="Arial"/>
        </w:rPr>
      </w:pPr>
    </w:p>
    <w:p w:rsidR="008E1D2E" w:rsidRPr="008E1D2E" w:rsidRDefault="008E1D2E">
      <w:pPr>
        <w:rPr>
          <w:rFonts w:ascii="Arial" w:hAnsi="Arial" w:cs="Arial"/>
          <w:b/>
        </w:rPr>
      </w:pPr>
      <w:r w:rsidRPr="008E1D2E">
        <w:rPr>
          <w:rFonts w:ascii="Arial" w:hAnsi="Arial" w:cs="Arial"/>
          <w:b/>
        </w:rPr>
        <w:t>Article</w:t>
      </w:r>
      <w:r>
        <w:rPr>
          <w:rFonts w:ascii="Arial" w:hAnsi="Arial" w:cs="Arial"/>
          <w:b/>
        </w:rPr>
        <w:t xml:space="preserve"> </w:t>
      </w:r>
      <w:r w:rsidRPr="008E1D2E">
        <w:rPr>
          <w:rFonts w:ascii="Arial" w:hAnsi="Arial" w:cs="Arial"/>
          <w:b/>
        </w:rPr>
        <w:t xml:space="preserve">5   </w:t>
      </w:r>
    </w:p>
    <w:p w:rsidR="008E1D2E" w:rsidRPr="008E1D2E" w:rsidRDefault="008E1D2E">
      <w:pPr>
        <w:rPr>
          <w:rFonts w:ascii="Arial" w:hAnsi="Arial" w:cs="Arial"/>
        </w:rPr>
      </w:pPr>
      <w:r w:rsidRPr="008E1D2E">
        <w:rPr>
          <w:rFonts w:ascii="Arial" w:hAnsi="Arial" w:cs="Arial"/>
        </w:rPr>
        <w:t>La  section2  du  chapitre II  du  titre Ier du  livre IV  du  code  de  la consommation  est  complétée  par  un  article L.412-10 ainsi rédigé :</w:t>
      </w:r>
    </w:p>
    <w:p w:rsidR="008E1D2E" w:rsidRDefault="008E1D2E" w:rsidP="008E1D2E">
      <w:pPr>
        <w:jc w:val="both"/>
        <w:rPr>
          <w:rFonts w:ascii="Arial" w:hAnsi="Arial" w:cs="Arial"/>
        </w:rPr>
      </w:pPr>
      <w:r w:rsidRPr="008E1D2E">
        <w:rPr>
          <w:rFonts w:ascii="Arial" w:hAnsi="Arial" w:cs="Arial"/>
        </w:rPr>
        <w:lastRenderedPageBreak/>
        <w:t>«Art.L.412-10.</w:t>
      </w:r>
      <w:r w:rsidR="00D83FCF">
        <w:rPr>
          <w:rFonts w:ascii="Arial" w:hAnsi="Arial" w:cs="Arial"/>
        </w:rPr>
        <w:t xml:space="preserve"> </w:t>
      </w:r>
      <w:r w:rsidRPr="008E1D2E">
        <w:rPr>
          <w:rFonts w:ascii="Arial" w:hAnsi="Arial" w:cs="Arial"/>
        </w:rPr>
        <w:t>– Les   dénominations   utilisées   pour désigner  des denrées alimentaires d’origine animale ne peuvent être utilisées pour   décrire, commercialiser   ou   promouvoir   des   denrées   alimentaires comportant des  protéines  végétales.  Un  décret  fixe  la  part  de  protéines végétales au</w:t>
      </w:r>
      <w:r>
        <w:rPr>
          <w:rFonts w:ascii="Arial" w:hAnsi="Arial" w:cs="Arial"/>
        </w:rPr>
        <w:t>-</w:t>
      </w:r>
      <w:r w:rsidRPr="008E1D2E">
        <w:rPr>
          <w:rFonts w:ascii="Arial" w:hAnsi="Arial" w:cs="Arial"/>
        </w:rPr>
        <w:t>delà de laquelle cette dénomination n’est pas possible. Ce décret définit  également  les  modalités  d’application  du  présent  article  et  les sanctions encourues en cas de manquement.»</w:t>
      </w:r>
    </w:p>
    <w:p w:rsidR="007F3528" w:rsidRDefault="007F3528" w:rsidP="008E1D2E">
      <w:pPr>
        <w:jc w:val="both"/>
        <w:rPr>
          <w:rFonts w:ascii="Arial" w:hAnsi="Arial" w:cs="Arial"/>
        </w:rPr>
      </w:pPr>
    </w:p>
    <w:p w:rsidR="008E1D2E" w:rsidRPr="008E1D2E" w:rsidRDefault="008E1D2E" w:rsidP="008E1D2E">
      <w:pPr>
        <w:jc w:val="both"/>
        <w:rPr>
          <w:rFonts w:ascii="Arial" w:hAnsi="Arial" w:cs="Arial"/>
          <w:b/>
        </w:rPr>
      </w:pPr>
      <w:r w:rsidRPr="008E1D2E">
        <w:rPr>
          <w:rFonts w:ascii="Arial" w:hAnsi="Arial" w:cs="Arial"/>
          <w:b/>
        </w:rPr>
        <w:t>Article 6</w:t>
      </w:r>
    </w:p>
    <w:p w:rsidR="008E1D2E" w:rsidRDefault="008E1D2E" w:rsidP="008E1D2E">
      <w:pPr>
        <w:jc w:val="both"/>
        <w:rPr>
          <w:rFonts w:ascii="Arial" w:hAnsi="Arial" w:cs="Arial"/>
        </w:rPr>
      </w:pPr>
      <w:r w:rsidRPr="008E1D2E">
        <w:rPr>
          <w:rFonts w:ascii="Arial" w:hAnsi="Arial" w:cs="Arial"/>
        </w:rPr>
        <w:t>L’article L.641-19 du code rural et de la pêche maritime est complété par un alinéa ainsi rédigé</w:t>
      </w:r>
      <w:r>
        <w:rPr>
          <w:rFonts w:ascii="Arial" w:hAnsi="Arial" w:cs="Arial"/>
        </w:rPr>
        <w:t> </w:t>
      </w:r>
      <w:r w:rsidRPr="008E1D2E">
        <w:rPr>
          <w:rFonts w:ascii="Arial" w:hAnsi="Arial" w:cs="Arial"/>
        </w:rPr>
        <w:t>:</w:t>
      </w:r>
    </w:p>
    <w:p w:rsidR="008E1D2E" w:rsidRDefault="008E1D2E" w:rsidP="008E1D2E">
      <w:pPr>
        <w:jc w:val="both"/>
        <w:rPr>
          <w:rFonts w:ascii="Arial" w:hAnsi="Arial" w:cs="Arial"/>
        </w:rPr>
      </w:pPr>
      <w:r w:rsidRPr="008E1D2E">
        <w:rPr>
          <w:rFonts w:ascii="Arial" w:hAnsi="Arial" w:cs="Arial"/>
        </w:rPr>
        <w:t>«</w:t>
      </w:r>
      <w:r>
        <w:rPr>
          <w:rFonts w:ascii="Arial" w:hAnsi="Arial" w:cs="Arial"/>
        </w:rPr>
        <w:t xml:space="preserve"> </w:t>
      </w:r>
      <w:r w:rsidRPr="008E1D2E">
        <w:rPr>
          <w:rFonts w:ascii="Arial" w:hAnsi="Arial" w:cs="Arial"/>
        </w:rPr>
        <w:t>Pour les fromages fermiers, lorsque le processus d’affinage est effectué</w:t>
      </w:r>
      <w:r>
        <w:rPr>
          <w:rFonts w:ascii="Arial" w:hAnsi="Arial" w:cs="Arial"/>
        </w:rPr>
        <w:t xml:space="preserve"> </w:t>
      </w:r>
      <w:r w:rsidRPr="008E1D2E">
        <w:rPr>
          <w:rFonts w:ascii="Arial" w:hAnsi="Arial" w:cs="Arial"/>
        </w:rPr>
        <w:t>en dehors de l’exploitation en conformité avec les usages traditionnels, l’information du consommateur doit être assurée en complément des mentions</w:t>
      </w:r>
      <w:r>
        <w:rPr>
          <w:rFonts w:ascii="Arial" w:hAnsi="Arial" w:cs="Arial"/>
        </w:rPr>
        <w:t xml:space="preserve"> </w:t>
      </w:r>
      <w:r w:rsidRPr="008E1D2E">
        <w:rPr>
          <w:rFonts w:ascii="Arial" w:hAnsi="Arial" w:cs="Arial"/>
        </w:rPr>
        <w:t>prévues au premier alinéa selon des modalités fixées par décret.»</w:t>
      </w:r>
    </w:p>
    <w:p w:rsidR="007F3528" w:rsidRDefault="007F3528" w:rsidP="008E1D2E">
      <w:pPr>
        <w:jc w:val="both"/>
        <w:rPr>
          <w:rFonts w:ascii="Arial" w:hAnsi="Arial" w:cs="Arial"/>
        </w:rPr>
      </w:pPr>
    </w:p>
    <w:p w:rsidR="008E1D2E" w:rsidRPr="008E1D2E" w:rsidRDefault="008E1D2E" w:rsidP="008E1D2E">
      <w:pPr>
        <w:jc w:val="both"/>
        <w:rPr>
          <w:rFonts w:ascii="Arial" w:hAnsi="Arial" w:cs="Arial"/>
          <w:b/>
        </w:rPr>
      </w:pPr>
      <w:r w:rsidRPr="008E1D2E">
        <w:rPr>
          <w:rFonts w:ascii="Arial" w:hAnsi="Arial" w:cs="Arial"/>
          <w:b/>
        </w:rPr>
        <w:t>Article 8</w:t>
      </w:r>
    </w:p>
    <w:p w:rsidR="008E1D2E" w:rsidRDefault="008E1D2E" w:rsidP="008E1D2E">
      <w:pPr>
        <w:jc w:val="both"/>
        <w:rPr>
          <w:rFonts w:ascii="Arial" w:hAnsi="Arial" w:cs="Arial"/>
        </w:rPr>
      </w:pPr>
      <w:r w:rsidRPr="008E1D2E">
        <w:rPr>
          <w:rFonts w:ascii="Arial" w:hAnsi="Arial" w:cs="Arial"/>
        </w:rPr>
        <w:t>I.</w:t>
      </w:r>
      <w:r w:rsidR="00D83FCF">
        <w:rPr>
          <w:rFonts w:ascii="Arial" w:hAnsi="Arial" w:cs="Arial"/>
        </w:rPr>
        <w:t xml:space="preserve"> </w:t>
      </w:r>
      <w:r w:rsidRPr="008E1D2E">
        <w:rPr>
          <w:rFonts w:ascii="Arial" w:hAnsi="Arial" w:cs="Arial"/>
        </w:rPr>
        <w:t>–</w:t>
      </w:r>
      <w:r>
        <w:rPr>
          <w:rFonts w:ascii="Arial" w:hAnsi="Arial" w:cs="Arial"/>
        </w:rPr>
        <w:t xml:space="preserve"> </w:t>
      </w:r>
      <w:r w:rsidRPr="008E1D2E">
        <w:rPr>
          <w:rFonts w:ascii="Arial" w:hAnsi="Arial" w:cs="Arial"/>
        </w:rPr>
        <w:t>La section</w:t>
      </w:r>
      <w:r w:rsidR="00F847ED">
        <w:rPr>
          <w:rFonts w:ascii="Arial" w:hAnsi="Arial" w:cs="Arial"/>
        </w:rPr>
        <w:t xml:space="preserve"> </w:t>
      </w:r>
      <w:r w:rsidRPr="008E1D2E">
        <w:rPr>
          <w:rFonts w:ascii="Arial" w:hAnsi="Arial" w:cs="Arial"/>
        </w:rPr>
        <w:t>2 du chapitre</w:t>
      </w:r>
      <w:r>
        <w:rPr>
          <w:rFonts w:ascii="Arial" w:hAnsi="Arial" w:cs="Arial"/>
        </w:rPr>
        <w:t xml:space="preserve"> </w:t>
      </w:r>
      <w:r w:rsidRPr="008E1D2E">
        <w:rPr>
          <w:rFonts w:ascii="Arial" w:hAnsi="Arial" w:cs="Arial"/>
        </w:rPr>
        <w:t>II du titre</w:t>
      </w:r>
      <w:r>
        <w:rPr>
          <w:rFonts w:ascii="Arial" w:hAnsi="Arial" w:cs="Arial"/>
        </w:rPr>
        <w:t xml:space="preserve"> </w:t>
      </w:r>
      <w:r w:rsidRPr="008E1D2E">
        <w:rPr>
          <w:rFonts w:ascii="Arial" w:hAnsi="Arial" w:cs="Arial"/>
        </w:rPr>
        <w:t>Ier</w:t>
      </w:r>
      <w:r>
        <w:rPr>
          <w:rFonts w:ascii="Arial" w:hAnsi="Arial" w:cs="Arial"/>
        </w:rPr>
        <w:t xml:space="preserve"> </w:t>
      </w:r>
      <w:r w:rsidRPr="008E1D2E">
        <w:rPr>
          <w:rFonts w:ascii="Arial" w:hAnsi="Arial" w:cs="Arial"/>
        </w:rPr>
        <w:t>du livre</w:t>
      </w:r>
      <w:r>
        <w:rPr>
          <w:rFonts w:ascii="Arial" w:hAnsi="Arial" w:cs="Arial"/>
        </w:rPr>
        <w:t xml:space="preserve"> </w:t>
      </w:r>
      <w:r w:rsidRPr="008E1D2E">
        <w:rPr>
          <w:rFonts w:ascii="Arial" w:hAnsi="Arial" w:cs="Arial"/>
        </w:rPr>
        <w:t>IV du code de la consommation est complétée par un article L.412-9L.412-11 ainsi rédigé</w:t>
      </w:r>
      <w:r>
        <w:rPr>
          <w:rFonts w:ascii="Arial" w:hAnsi="Arial" w:cs="Arial"/>
        </w:rPr>
        <w:t xml:space="preserve"> </w:t>
      </w:r>
      <w:r w:rsidRPr="008E1D2E">
        <w:rPr>
          <w:rFonts w:ascii="Arial" w:hAnsi="Arial" w:cs="Arial"/>
        </w:rPr>
        <w:t>:</w:t>
      </w:r>
    </w:p>
    <w:p w:rsidR="008E1D2E" w:rsidRDefault="008E1D2E" w:rsidP="008E1D2E">
      <w:pPr>
        <w:jc w:val="both"/>
        <w:rPr>
          <w:rFonts w:ascii="Arial" w:hAnsi="Arial" w:cs="Arial"/>
        </w:rPr>
      </w:pPr>
      <w:r>
        <w:rPr>
          <w:rFonts w:ascii="Arial" w:hAnsi="Arial" w:cs="Arial"/>
        </w:rPr>
        <w:t>« </w:t>
      </w:r>
      <w:r w:rsidRPr="008E1D2E">
        <w:rPr>
          <w:rFonts w:ascii="Arial" w:hAnsi="Arial" w:cs="Arial"/>
        </w:rPr>
        <w:t>L.412-11.–</w:t>
      </w:r>
      <w:r>
        <w:rPr>
          <w:rFonts w:ascii="Arial" w:hAnsi="Arial" w:cs="Arial"/>
        </w:rPr>
        <w:t xml:space="preserve"> </w:t>
      </w:r>
      <w:r w:rsidRPr="008E1D2E">
        <w:rPr>
          <w:rFonts w:ascii="Arial" w:hAnsi="Arial" w:cs="Arial"/>
        </w:rPr>
        <w:t>Les exploitants d’établissements titulaires d’une licence</w:t>
      </w:r>
      <w:r>
        <w:rPr>
          <w:rFonts w:ascii="Arial" w:hAnsi="Arial" w:cs="Arial"/>
        </w:rPr>
        <w:t xml:space="preserve"> </w:t>
      </w:r>
      <w:r w:rsidRPr="008E1D2E">
        <w:rPr>
          <w:rFonts w:ascii="Arial" w:hAnsi="Arial" w:cs="Arial"/>
        </w:rPr>
        <w:t>de débit de boissons à consommer sur place ou à emporter ou d’une licence</w:t>
      </w:r>
      <w:r>
        <w:rPr>
          <w:rFonts w:ascii="Arial" w:hAnsi="Arial" w:cs="Arial"/>
        </w:rPr>
        <w:t xml:space="preserve"> </w:t>
      </w:r>
      <w:r w:rsidRPr="008E1D2E">
        <w:rPr>
          <w:rFonts w:ascii="Arial" w:hAnsi="Arial" w:cs="Arial"/>
        </w:rPr>
        <w:t>de restaurant indiquent, de manière lisible, sur leurs cartes ou sur tout autre support la provenance et, le cas échéant, la dénomination de l’appellation d’origine protégée ou de l’indication géographique protégée des vins mis en vente sous forme de bouteille, de pichet ou de verre.»</w:t>
      </w:r>
    </w:p>
    <w:p w:rsidR="008E1D2E" w:rsidRDefault="008E1D2E" w:rsidP="008E1D2E">
      <w:pPr>
        <w:jc w:val="both"/>
        <w:rPr>
          <w:rFonts w:ascii="Arial" w:hAnsi="Arial" w:cs="Arial"/>
        </w:rPr>
      </w:pPr>
      <w:r w:rsidRPr="008E1D2E">
        <w:rPr>
          <w:rFonts w:ascii="Arial" w:hAnsi="Arial" w:cs="Arial"/>
        </w:rPr>
        <w:t>II.</w:t>
      </w:r>
      <w:r w:rsidR="00D83FCF">
        <w:rPr>
          <w:rFonts w:ascii="Arial" w:hAnsi="Arial" w:cs="Arial"/>
        </w:rPr>
        <w:t xml:space="preserve"> </w:t>
      </w:r>
      <w:r w:rsidRPr="008E1D2E">
        <w:rPr>
          <w:rFonts w:ascii="Arial" w:hAnsi="Arial" w:cs="Arial"/>
        </w:rPr>
        <w:t>–</w:t>
      </w:r>
      <w:r w:rsidR="007F3528">
        <w:rPr>
          <w:rFonts w:ascii="Arial" w:hAnsi="Arial" w:cs="Arial"/>
        </w:rPr>
        <w:t xml:space="preserve"> </w:t>
      </w:r>
      <w:r w:rsidRPr="008E1D2E">
        <w:rPr>
          <w:rFonts w:ascii="Arial" w:hAnsi="Arial" w:cs="Arial"/>
        </w:rPr>
        <w:t>Le</w:t>
      </w:r>
      <w:r w:rsidR="007F3528">
        <w:rPr>
          <w:rFonts w:ascii="Arial" w:hAnsi="Arial" w:cs="Arial"/>
        </w:rPr>
        <w:t xml:space="preserve"> </w:t>
      </w:r>
      <w:r w:rsidRPr="008E1D2E">
        <w:rPr>
          <w:rFonts w:ascii="Arial" w:hAnsi="Arial" w:cs="Arial"/>
        </w:rPr>
        <w:t>I du présent article entre en vigueur le</w:t>
      </w:r>
      <w:r w:rsidR="007F3528">
        <w:rPr>
          <w:rFonts w:ascii="Arial" w:hAnsi="Arial" w:cs="Arial"/>
        </w:rPr>
        <w:t xml:space="preserve"> </w:t>
      </w:r>
      <w:r w:rsidRPr="008E1D2E">
        <w:rPr>
          <w:rFonts w:ascii="Arial" w:hAnsi="Arial" w:cs="Arial"/>
        </w:rPr>
        <w:t>1</w:t>
      </w:r>
      <w:r w:rsidRPr="007F3528">
        <w:rPr>
          <w:rFonts w:ascii="Arial" w:hAnsi="Arial" w:cs="Arial"/>
          <w:vertAlign w:val="superscript"/>
        </w:rPr>
        <w:t>er</w:t>
      </w:r>
      <w:r w:rsidR="007F3528">
        <w:rPr>
          <w:rFonts w:ascii="Arial" w:hAnsi="Arial" w:cs="Arial"/>
        </w:rPr>
        <w:t xml:space="preserve"> </w:t>
      </w:r>
      <w:r w:rsidRPr="008E1D2E">
        <w:rPr>
          <w:rFonts w:ascii="Arial" w:hAnsi="Arial" w:cs="Arial"/>
        </w:rPr>
        <w:t>juin</w:t>
      </w:r>
      <w:r w:rsidR="007F3528">
        <w:rPr>
          <w:rFonts w:ascii="Arial" w:hAnsi="Arial" w:cs="Arial"/>
        </w:rPr>
        <w:t xml:space="preserve"> </w:t>
      </w:r>
      <w:r w:rsidRPr="008E1D2E">
        <w:rPr>
          <w:rFonts w:ascii="Arial" w:hAnsi="Arial" w:cs="Arial"/>
        </w:rPr>
        <w:t>2020.</w:t>
      </w:r>
    </w:p>
    <w:p w:rsidR="007F3528" w:rsidRDefault="007F3528" w:rsidP="008E1D2E">
      <w:pPr>
        <w:jc w:val="both"/>
        <w:rPr>
          <w:rFonts w:ascii="Arial" w:hAnsi="Arial" w:cs="Arial"/>
        </w:rPr>
      </w:pPr>
    </w:p>
    <w:p w:rsidR="007F3528" w:rsidRDefault="007F3528" w:rsidP="008E1D2E">
      <w:pPr>
        <w:jc w:val="both"/>
        <w:rPr>
          <w:rFonts w:ascii="Arial" w:hAnsi="Arial" w:cs="Arial"/>
          <w:b/>
        </w:rPr>
      </w:pPr>
      <w:r w:rsidRPr="007F3528">
        <w:rPr>
          <w:rFonts w:ascii="Arial" w:hAnsi="Arial" w:cs="Arial"/>
          <w:b/>
        </w:rPr>
        <w:t>Article 9</w:t>
      </w:r>
    </w:p>
    <w:p w:rsidR="007F3528" w:rsidRDefault="007F3528" w:rsidP="008E1D2E">
      <w:pPr>
        <w:jc w:val="both"/>
        <w:rPr>
          <w:rFonts w:ascii="Arial" w:hAnsi="Arial" w:cs="Arial"/>
        </w:rPr>
      </w:pPr>
      <w:r w:rsidRPr="007F3528">
        <w:rPr>
          <w:rFonts w:ascii="Arial" w:hAnsi="Arial" w:cs="Arial"/>
        </w:rPr>
        <w:t>La section</w:t>
      </w:r>
      <w:r>
        <w:rPr>
          <w:rFonts w:ascii="Arial" w:hAnsi="Arial" w:cs="Arial"/>
        </w:rPr>
        <w:t xml:space="preserve"> </w:t>
      </w:r>
      <w:r w:rsidRPr="007F3528">
        <w:rPr>
          <w:rFonts w:ascii="Arial" w:hAnsi="Arial" w:cs="Arial"/>
        </w:rPr>
        <w:t>2 du chapitre</w:t>
      </w:r>
      <w:r>
        <w:rPr>
          <w:rFonts w:ascii="Arial" w:hAnsi="Arial" w:cs="Arial"/>
        </w:rPr>
        <w:t xml:space="preserve"> </w:t>
      </w:r>
      <w:r w:rsidRPr="007F3528">
        <w:rPr>
          <w:rFonts w:ascii="Arial" w:hAnsi="Arial" w:cs="Arial"/>
        </w:rPr>
        <w:t>II du titre</w:t>
      </w:r>
      <w:r>
        <w:rPr>
          <w:rFonts w:ascii="Arial" w:hAnsi="Arial" w:cs="Arial"/>
        </w:rPr>
        <w:t xml:space="preserve"> </w:t>
      </w:r>
      <w:r w:rsidRPr="007F3528">
        <w:rPr>
          <w:rFonts w:ascii="Arial" w:hAnsi="Arial" w:cs="Arial"/>
        </w:rPr>
        <w:t>Ier</w:t>
      </w:r>
      <w:r>
        <w:rPr>
          <w:rFonts w:ascii="Arial" w:hAnsi="Arial" w:cs="Arial"/>
        </w:rPr>
        <w:t xml:space="preserve"> </w:t>
      </w:r>
      <w:r w:rsidRPr="007F3528">
        <w:rPr>
          <w:rFonts w:ascii="Arial" w:hAnsi="Arial" w:cs="Arial"/>
        </w:rPr>
        <w:t>du livre</w:t>
      </w:r>
      <w:r>
        <w:rPr>
          <w:rFonts w:ascii="Arial" w:hAnsi="Arial" w:cs="Arial"/>
        </w:rPr>
        <w:t xml:space="preserve"> </w:t>
      </w:r>
      <w:r w:rsidRPr="007F3528">
        <w:rPr>
          <w:rFonts w:ascii="Arial" w:hAnsi="Arial" w:cs="Arial"/>
        </w:rPr>
        <w:t>IV du code de la consommation est complétée par un article</w:t>
      </w:r>
      <w:r>
        <w:rPr>
          <w:rFonts w:ascii="Arial" w:hAnsi="Arial" w:cs="Arial"/>
        </w:rPr>
        <w:t xml:space="preserve"> </w:t>
      </w:r>
      <w:r w:rsidRPr="007F3528">
        <w:rPr>
          <w:rFonts w:ascii="Arial" w:hAnsi="Arial" w:cs="Arial"/>
        </w:rPr>
        <w:t>L.412-12</w:t>
      </w:r>
      <w:r>
        <w:rPr>
          <w:rFonts w:ascii="Arial" w:hAnsi="Arial" w:cs="Arial"/>
        </w:rPr>
        <w:t xml:space="preserve"> </w:t>
      </w:r>
      <w:r w:rsidRPr="007F3528">
        <w:rPr>
          <w:rFonts w:ascii="Arial" w:hAnsi="Arial" w:cs="Arial"/>
        </w:rPr>
        <w:t>ainsi rédigé</w:t>
      </w:r>
      <w:r>
        <w:rPr>
          <w:rFonts w:ascii="Arial" w:hAnsi="Arial" w:cs="Arial"/>
        </w:rPr>
        <w:t xml:space="preserve"> </w:t>
      </w:r>
      <w:r w:rsidRPr="007F3528">
        <w:rPr>
          <w:rFonts w:ascii="Arial" w:hAnsi="Arial" w:cs="Arial"/>
        </w:rPr>
        <w:t>:</w:t>
      </w:r>
    </w:p>
    <w:p w:rsidR="007F3528" w:rsidRPr="007F3528" w:rsidRDefault="007F3528" w:rsidP="008E1D2E">
      <w:pPr>
        <w:jc w:val="both"/>
        <w:rPr>
          <w:rFonts w:ascii="Arial" w:hAnsi="Arial" w:cs="Arial"/>
        </w:rPr>
      </w:pPr>
      <w:r w:rsidRPr="007F3528">
        <w:rPr>
          <w:rFonts w:ascii="Arial" w:hAnsi="Arial" w:cs="Arial"/>
        </w:rPr>
        <w:t>«Art.L.412-12.</w:t>
      </w:r>
      <w:r w:rsidR="00D83FCF">
        <w:rPr>
          <w:rFonts w:ascii="Arial" w:hAnsi="Arial" w:cs="Arial"/>
        </w:rPr>
        <w:t xml:space="preserve"> </w:t>
      </w:r>
      <w:r w:rsidRPr="007F3528">
        <w:rPr>
          <w:rFonts w:ascii="Arial" w:hAnsi="Arial" w:cs="Arial"/>
        </w:rPr>
        <w:t>–</w:t>
      </w:r>
      <w:r>
        <w:rPr>
          <w:rFonts w:ascii="Arial" w:hAnsi="Arial" w:cs="Arial"/>
        </w:rPr>
        <w:t xml:space="preserve"> </w:t>
      </w:r>
      <w:r w:rsidRPr="007F3528">
        <w:rPr>
          <w:rFonts w:ascii="Arial" w:hAnsi="Arial" w:cs="Arial"/>
        </w:rPr>
        <w:t>Le nom et l’adresse du producteur de bière sont indiqués en évidence sur l’étiquetage de manière à ne pas induire en erreur le consommateur quant à l’origine de la bière, d’une manière quelconque, y compris en raison de la présentation générale de l’étiquette.</w:t>
      </w:r>
      <w:r>
        <w:rPr>
          <w:rFonts w:ascii="Arial" w:hAnsi="Arial" w:cs="Arial"/>
        </w:rPr>
        <w:t> »</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7606BC"/>
    <w:rsid w:val="007F3528"/>
    <w:rsid w:val="008E1D2E"/>
    <w:rsid w:val="00BC7E60"/>
    <w:rsid w:val="00D83FCF"/>
    <w:rsid w:val="00EC1FD0"/>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B9FFE9BC.dotm</Template>
  <TotalTime>0</TotalTime>
  <Pages>2</Pages>
  <Words>639</Words>
  <Characters>3516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2020-06-03T17:11:00Z</dcterms:created>
  <dcterms:modified xsi:type="dcterms:W3CDTF">2020-06-03T17:11:00Z</dcterms:modified>
</cp:coreProperties>
</file>