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75" w:rsidRPr="002513D7" w:rsidRDefault="00617575" w:rsidP="00617575">
      <w:pPr>
        <w:jc w:val="center"/>
        <w:rPr>
          <w:rFonts w:ascii="Courier New" w:hAnsi="Courier New"/>
        </w:rPr>
      </w:pPr>
      <w:r w:rsidRPr="002513D7">
        <w:rPr>
          <w:rFonts w:ascii="Courier New" w:hAnsi="Courier New"/>
        </w:rPr>
        <w:t>1. ------IND- 2021 0030 F-- LT- ------ 20210129 --- --- PROJET</w:t>
      </w:r>
    </w:p>
    <w:p w:rsidR="006D1B38" w:rsidRPr="002513D7" w:rsidRDefault="00BE4644" w:rsidP="00532188">
      <w:pPr>
        <w:pStyle w:val="LO-Normal"/>
        <w:ind w:left="6372"/>
      </w:pPr>
      <w:r w:rsidRPr="002513D7">
        <w:t>2020 m. lapkričio 18 d. redakcija</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rsidRPr="002513D7">
        <w:trPr>
          <w:cantSplit/>
        </w:trPr>
        <w:tc>
          <w:tcPr>
            <w:tcW w:w="4054" w:type="dxa"/>
            <w:gridSpan w:val="3"/>
          </w:tcPr>
          <w:p w:rsidR="006D1B38" w:rsidRPr="002513D7" w:rsidRDefault="00BE4644" w:rsidP="00532188">
            <w:pPr>
              <w:pStyle w:val="SNREPUBLIQUE"/>
            </w:pPr>
            <w:r w:rsidRPr="002513D7">
              <w:t>PRANCŪZIJOS RESPUBLIKA</w:t>
            </w:r>
          </w:p>
        </w:tc>
      </w:tr>
      <w:tr w:rsidR="006D1B38" w:rsidRPr="002513D7" w:rsidTr="002A4914">
        <w:trPr>
          <w:cantSplit/>
          <w:trHeight w:hRule="exact" w:val="113"/>
        </w:trPr>
        <w:tc>
          <w:tcPr>
            <w:tcW w:w="1527" w:type="dxa"/>
          </w:tcPr>
          <w:p w:rsidR="006D1B38" w:rsidRPr="002513D7" w:rsidRDefault="006D1B38" w:rsidP="00532188">
            <w:pPr>
              <w:pStyle w:val="LO-Normal"/>
            </w:pPr>
          </w:p>
        </w:tc>
        <w:tc>
          <w:tcPr>
            <w:tcW w:w="968" w:type="dxa"/>
            <w:tcBorders>
              <w:bottom w:val="single" w:sz="4" w:space="0" w:color="auto"/>
            </w:tcBorders>
          </w:tcPr>
          <w:p w:rsidR="006D1B38" w:rsidRPr="002513D7" w:rsidRDefault="006D1B38" w:rsidP="00532188">
            <w:pPr>
              <w:pStyle w:val="LO-Normal"/>
            </w:pPr>
          </w:p>
        </w:tc>
        <w:tc>
          <w:tcPr>
            <w:tcW w:w="1559" w:type="dxa"/>
          </w:tcPr>
          <w:p w:rsidR="006D1B38" w:rsidRPr="002513D7" w:rsidRDefault="006D1B38" w:rsidP="00532188">
            <w:pPr>
              <w:pStyle w:val="LO-Normal"/>
            </w:pPr>
          </w:p>
        </w:tc>
      </w:tr>
      <w:tr w:rsidR="006D1B38" w:rsidRPr="002513D7">
        <w:trPr>
          <w:cantSplit/>
        </w:trPr>
        <w:tc>
          <w:tcPr>
            <w:tcW w:w="4054" w:type="dxa"/>
            <w:gridSpan w:val="3"/>
          </w:tcPr>
          <w:p w:rsidR="006D1B38" w:rsidRPr="002513D7" w:rsidRDefault="00BE4644" w:rsidP="00532188">
            <w:pPr>
              <w:pStyle w:val="SNTimbre"/>
              <w:widowControl/>
            </w:pPr>
            <w:r w:rsidRPr="002513D7">
              <w:t>Ekonomikos, finansų ir ekonomikos gaivinimo ministerija</w:t>
            </w:r>
          </w:p>
        </w:tc>
      </w:tr>
      <w:tr w:rsidR="006D1B38" w:rsidRPr="002513D7" w:rsidTr="002A4914">
        <w:trPr>
          <w:cantSplit/>
          <w:trHeight w:hRule="exact" w:val="227"/>
        </w:trPr>
        <w:tc>
          <w:tcPr>
            <w:tcW w:w="1527" w:type="dxa"/>
          </w:tcPr>
          <w:p w:rsidR="006D1B38" w:rsidRPr="002513D7" w:rsidRDefault="006D1B38" w:rsidP="00532188">
            <w:pPr>
              <w:pStyle w:val="LO-Normal"/>
            </w:pPr>
          </w:p>
        </w:tc>
        <w:tc>
          <w:tcPr>
            <w:tcW w:w="968" w:type="dxa"/>
            <w:tcBorders>
              <w:bottom w:val="single" w:sz="4" w:space="0" w:color="auto"/>
            </w:tcBorders>
          </w:tcPr>
          <w:p w:rsidR="006D1B38" w:rsidRPr="002513D7" w:rsidRDefault="006D1B38" w:rsidP="00532188">
            <w:pPr>
              <w:pStyle w:val="LO-Normal"/>
            </w:pPr>
          </w:p>
        </w:tc>
        <w:tc>
          <w:tcPr>
            <w:tcW w:w="1559" w:type="dxa"/>
          </w:tcPr>
          <w:p w:rsidR="006D1B38" w:rsidRPr="002513D7" w:rsidRDefault="006D1B38" w:rsidP="00532188">
            <w:pPr>
              <w:pStyle w:val="LO-Normal"/>
            </w:pPr>
          </w:p>
        </w:tc>
      </w:tr>
      <w:tr w:rsidR="006D1B38" w:rsidRPr="002513D7">
        <w:trPr>
          <w:cantSplit/>
          <w:trHeight w:hRule="exact" w:val="227"/>
        </w:trPr>
        <w:tc>
          <w:tcPr>
            <w:tcW w:w="1527" w:type="dxa"/>
          </w:tcPr>
          <w:p w:rsidR="006D1B38" w:rsidRPr="002513D7" w:rsidRDefault="006D1B38" w:rsidP="00532188">
            <w:pPr>
              <w:pStyle w:val="LO-Normal"/>
            </w:pPr>
          </w:p>
        </w:tc>
        <w:tc>
          <w:tcPr>
            <w:tcW w:w="968" w:type="dxa"/>
          </w:tcPr>
          <w:p w:rsidR="006D1B38" w:rsidRPr="002513D7" w:rsidRDefault="006D1B38" w:rsidP="00532188">
            <w:pPr>
              <w:pStyle w:val="LO-Normal"/>
            </w:pPr>
          </w:p>
        </w:tc>
        <w:tc>
          <w:tcPr>
            <w:tcW w:w="1559" w:type="dxa"/>
          </w:tcPr>
          <w:p w:rsidR="006D1B38" w:rsidRPr="002513D7" w:rsidRDefault="006D1B38" w:rsidP="00532188">
            <w:pPr>
              <w:pStyle w:val="LO-Normal"/>
            </w:pPr>
          </w:p>
        </w:tc>
      </w:tr>
    </w:tbl>
    <w:p w:rsidR="006D1B38" w:rsidRPr="002513D7" w:rsidRDefault="00BE4644" w:rsidP="00532188">
      <w:pPr>
        <w:pStyle w:val="SNNature"/>
        <w:widowControl/>
      </w:pPr>
      <w:r w:rsidRPr="002513D7">
        <w:t>2020 m. … d. Dekretas Nr. 2020-…</w:t>
      </w:r>
    </w:p>
    <w:p w:rsidR="006D1B38" w:rsidRPr="002513D7" w:rsidRDefault="00BE4644" w:rsidP="00532188">
      <w:pPr>
        <w:pStyle w:val="SNtitre"/>
        <w:widowControl/>
      </w:pPr>
      <w:r w:rsidRPr="002513D7">
        <w:t>dėl sąvokų „perpakuotas“ ir „perpakuotas produktas“ vartojimo sąlygų</w:t>
      </w:r>
    </w:p>
    <w:p w:rsidR="006D1B38" w:rsidRPr="002513D7" w:rsidRDefault="00BE4644" w:rsidP="00532188">
      <w:pPr>
        <w:pStyle w:val="SNNORCentr"/>
      </w:pPr>
      <w:r w:rsidRPr="002513D7">
        <w:t>NOR: […]</w:t>
      </w:r>
    </w:p>
    <w:p w:rsidR="006D1B38" w:rsidRPr="002513D7" w:rsidRDefault="00BE4644" w:rsidP="00C85968">
      <w:pPr>
        <w:pStyle w:val="SNAutorit"/>
      </w:pPr>
      <w:r w:rsidRPr="002513D7">
        <w:rPr>
          <w:rStyle w:val="Policepardfaut"/>
          <w:b/>
          <w:i/>
        </w:rPr>
        <w:t>Susiję subjektai:</w:t>
      </w:r>
      <w:r w:rsidRPr="002513D7">
        <w:rPr>
          <w:rStyle w:val="Policepardfaut"/>
          <w:i/>
        </w:rPr>
        <w:t xml:space="preserve"> rinkai pateiktų produktų pardavėjai, įskaitant per elektroninę sąsają siūlomus pirkti produktus.</w:t>
      </w:r>
    </w:p>
    <w:p w:rsidR="006D1B38" w:rsidRPr="002513D7" w:rsidRDefault="00BE4644" w:rsidP="00C85968">
      <w:pPr>
        <w:pStyle w:val="SNAutorit"/>
      </w:pPr>
      <w:r w:rsidRPr="002513D7">
        <w:rPr>
          <w:rStyle w:val="Policepardfaut"/>
          <w:b/>
          <w:i/>
        </w:rPr>
        <w:t>Objektas:</w:t>
      </w:r>
      <w:r w:rsidRPr="002513D7">
        <w:rPr>
          <w:rStyle w:val="Policepardfaut"/>
          <w:i/>
        </w:rPr>
        <w:t xml:space="preserve"> sąvokų „perpakuotas“ ir „perpakuotas produktas“ vartojimo sąlygos</w:t>
      </w:r>
      <w:r w:rsidR="002513D7" w:rsidRPr="002513D7">
        <w:rPr>
          <w:rStyle w:val="Policepardfaut"/>
          <w:i/>
        </w:rPr>
        <w:t>.</w:t>
      </w:r>
    </w:p>
    <w:p w:rsidR="006D1B38" w:rsidRPr="002513D7" w:rsidRDefault="00BE4644" w:rsidP="00C85968">
      <w:pPr>
        <w:pStyle w:val="SNAutorit"/>
      </w:pPr>
      <w:r w:rsidRPr="002513D7">
        <w:rPr>
          <w:rStyle w:val="Policepardfaut"/>
          <w:b/>
          <w:i/>
        </w:rPr>
        <w:t>Įsigaliojimas:</w:t>
      </w:r>
      <w:r w:rsidRPr="002513D7">
        <w:rPr>
          <w:rStyle w:val="Policepardfaut"/>
          <w:i/>
        </w:rPr>
        <w:t xml:space="preserve"> </w:t>
      </w:r>
    </w:p>
    <w:p w:rsidR="006D1B38" w:rsidRPr="002513D7" w:rsidRDefault="00BE4644" w:rsidP="00C85968">
      <w:pPr>
        <w:pStyle w:val="SNAutorit"/>
      </w:pPr>
      <w:r w:rsidRPr="002513D7">
        <w:rPr>
          <w:rStyle w:val="Policepardfaut"/>
          <w:b/>
          <w:i/>
        </w:rPr>
        <w:t>Santrauka.</w:t>
      </w:r>
      <w:r w:rsidRPr="002513D7">
        <w:rPr>
          <w:rStyle w:val="Policepardfaut"/>
          <w:i/>
        </w:rPr>
        <w:t xml:space="preserve"> Šiuo dekretu nustatomos Vartotojų kodekso L. 122-21-1 straipsnio, kuriame pateikiama sąvokų „perpakuotas“ ir „perpakuotas produktas“ teisinė sistema, taikymo sąlygos. Taigi jame paliekamos nuostatos dėl šių sąvokų vartojimo naudotų produktų atžvilgiu ir nurodomos sąlygos, kuriomis jos gali būti vartojamos atliekant bandymus ar net kai reikalaujama atlikti vieną ar daugiau techninių intervencijų siekiant užtikrinti produkto saugumą ir funkcionalumą. Ši (-ios) su produktu susijusi (-ios) intervencija (-os) atspindi esminę produkto charakteristiką. Be to, siekiant išvengti vartotojų klaidinimo dėl perpakuoto produkto charakteristikų, šiuo dekretu draudžiama teikti bet kokias nuorodas į naują produktą ir paliekamas žodžių „perpakuota Prancūzijoje“ vartojimas šalies teritorijoje vykdomos perpakavimo veiklos atžvilgiu. Šios taisyklės taip pat taikomos atsarginėms dalims.</w:t>
      </w:r>
    </w:p>
    <w:p w:rsidR="006D1B38" w:rsidRPr="002513D7" w:rsidRDefault="00BE4644" w:rsidP="00C85968">
      <w:pPr>
        <w:pStyle w:val="SNAutorit"/>
        <w:rPr>
          <w:rStyle w:val="Policepardfaut"/>
          <w:i/>
        </w:rPr>
      </w:pPr>
      <w:r w:rsidRPr="002513D7">
        <w:rPr>
          <w:rStyle w:val="Policepardfaut"/>
          <w:b/>
          <w:i/>
        </w:rPr>
        <w:t>Nuorodos:</w:t>
      </w:r>
      <w:r w:rsidRPr="002513D7">
        <w:rPr>
          <w:rStyle w:val="Policepardfaut"/>
          <w:i/>
        </w:rPr>
        <w:t xml:space="preserve"> šį dekretą galima rasti „Légifrance“ interneto svetainėje (</w:t>
      </w:r>
      <w:hyperlink r:id="rId7" w:tgtFrame="_top">
        <w:r w:rsidRPr="002513D7">
          <w:rPr>
            <w:rStyle w:val="Policepardfaut"/>
            <w:b/>
            <w:i/>
          </w:rPr>
          <w:t>http://www.legifrance.gouv.fr</w:t>
        </w:r>
      </w:hyperlink>
      <w:r w:rsidRPr="002513D7">
        <w:rPr>
          <w:rStyle w:val="Policepardfaut"/>
          <w:i/>
        </w:rPr>
        <w:t>).</w:t>
      </w:r>
    </w:p>
    <w:p w:rsidR="003114B3" w:rsidRPr="002513D7" w:rsidRDefault="003114B3" w:rsidP="00C85968">
      <w:pPr>
        <w:pStyle w:val="SNAutorit"/>
        <w:rPr>
          <w:b/>
        </w:rPr>
      </w:pPr>
    </w:p>
    <w:p w:rsidR="006D1B38" w:rsidRPr="002513D7" w:rsidRDefault="00BE4644" w:rsidP="00C85968">
      <w:pPr>
        <w:pStyle w:val="SNAutorit"/>
        <w:rPr>
          <w:b/>
        </w:rPr>
      </w:pPr>
      <w:r w:rsidRPr="002513D7">
        <w:rPr>
          <w:b/>
        </w:rPr>
        <w:t>Ministras Pirmininkas,</w:t>
      </w:r>
    </w:p>
    <w:p w:rsidR="006D1B38" w:rsidRPr="002513D7" w:rsidRDefault="00BE4644" w:rsidP="00C85968">
      <w:pPr>
        <w:pStyle w:val="SNRapport"/>
      </w:pPr>
      <w:r w:rsidRPr="002513D7">
        <w:t>remdamasis ekonomikos, finansų ir ekonomikos gaivinimo ministro ataskaita,</w:t>
      </w:r>
    </w:p>
    <w:p w:rsidR="006D1B38" w:rsidRPr="002513D7" w:rsidRDefault="00BE4644" w:rsidP="00C85968">
      <w:pPr>
        <w:pStyle w:val="SNVisa"/>
      </w:pPr>
      <w:r w:rsidRPr="002513D7">
        <w:t>atsižvelgdamas į 2016 m. balandžio 27 d. Europos Parlamento ir Tarybos reglamentą (ES) 2016/679 dėl fizinių asmenų apsaugos tvarkant asmens duomenis ir dėl laisvo tokių duomenų judėjimo ir kuriuo panaikinama Direktyva 95/46/EB (Bendrasis duomenų apsaugos reglamentas),</w:t>
      </w:r>
    </w:p>
    <w:p w:rsidR="006D1B38" w:rsidRPr="002513D7" w:rsidRDefault="00BE4644" w:rsidP="00C85968">
      <w:pPr>
        <w:ind w:firstLine="720"/>
        <w:rPr>
          <w:rFonts w:ascii="Calibri" w:eastAsia="Calibri" w:hAnsi="Calibri" w:cs="Calibri"/>
          <w:sz w:val="22"/>
          <w:szCs w:val="22"/>
        </w:rPr>
      </w:pPr>
      <w:r w:rsidRPr="002513D7">
        <w:rPr>
          <w:rFonts w:ascii="Calibri" w:hAnsi="Calibri"/>
          <w:sz w:val="22"/>
        </w:rPr>
        <w:t>atsižvelgdamas į 2015 m. rugsėjo 9 d. Europos Parlamento ir Tarybos direktyvą (ES) 2015/1535, kuria nustatoma informacijos apie techninius reglamentus ir informacinės visuomenės paslaugų taisykles teikimo tvarka, (kodifikuota redakcija), ypač į pranešimą Nr. metai/XXX/F,</w:t>
      </w:r>
    </w:p>
    <w:p w:rsidR="006D1B38" w:rsidRPr="002513D7" w:rsidRDefault="00BE4644" w:rsidP="00C85968">
      <w:pPr>
        <w:pStyle w:val="SNVisa"/>
      </w:pPr>
      <w:r w:rsidRPr="002513D7">
        <w:t>atsižvelgdamas į Prekybos kodeksą, ypač į jo L. 321-1 straipsnį,</w:t>
      </w:r>
    </w:p>
    <w:p w:rsidR="006D1B38" w:rsidRPr="002513D7" w:rsidRDefault="00BE4644" w:rsidP="00C85968">
      <w:pPr>
        <w:pStyle w:val="SNVisa"/>
      </w:pPr>
      <w:r w:rsidRPr="002513D7">
        <w:t>atsižvelgdamas į Vartotojų kodeksą, ypač į jo L. 122-21-1 straipsnį, paskelbtą 2020 m. vasario 10</w:t>
      </w:r>
      <w:r w:rsidR="002513D7" w:rsidRPr="002513D7">
        <w:t> </w:t>
      </w:r>
      <w:r w:rsidRPr="002513D7">
        <w:t>d. Įstatymo Nr. 2020-105 dėl kovos su švaistymu ir žiedinės ekonomikos 37 straipsniu,</w:t>
      </w:r>
    </w:p>
    <w:p w:rsidR="006D1B38" w:rsidRPr="002513D7" w:rsidRDefault="00BE4644" w:rsidP="00C85968">
      <w:pPr>
        <w:pStyle w:val="LO-Normal"/>
        <w:spacing w:before="100" w:after="100"/>
        <w:ind w:firstLine="720"/>
        <w:jc w:val="both"/>
      </w:pPr>
      <w:r w:rsidRPr="002513D7">
        <w:t>atsižvelgdamas į iš dalies pakeistą 1978 m. sausio 6 d. Informatikos, r</w:t>
      </w:r>
      <w:r w:rsidR="002513D7" w:rsidRPr="002513D7">
        <w:t>inkmenų ir laisvių įstatymą Nr. </w:t>
      </w:r>
      <w:r w:rsidRPr="002513D7">
        <w:t>78-17,</w:t>
      </w:r>
    </w:p>
    <w:p w:rsidR="006D1B38" w:rsidRPr="002513D7" w:rsidRDefault="00BE4644" w:rsidP="00C85968">
      <w:pPr>
        <w:pStyle w:val="SNVisa"/>
      </w:pPr>
      <w:r w:rsidRPr="002513D7">
        <w:lastRenderedPageBreak/>
        <w:t>Valstybės tarybai (finansų skyriui) susipažinus,</w:t>
      </w:r>
    </w:p>
    <w:p w:rsidR="006D1B38" w:rsidRPr="002513D7" w:rsidRDefault="00BE4644" w:rsidP="00532188">
      <w:pPr>
        <w:pStyle w:val="SNActe"/>
      </w:pPr>
      <w:r w:rsidRPr="002513D7">
        <w:t>priėmė šį dekretą:</w:t>
      </w:r>
    </w:p>
    <w:p w:rsidR="006D1B38" w:rsidRPr="002513D7" w:rsidRDefault="00BE4644" w:rsidP="00532188">
      <w:pPr>
        <w:pStyle w:val="SNArticle"/>
        <w:keepNext/>
        <w:keepLines/>
      </w:pPr>
      <w:r w:rsidRPr="002513D7">
        <w:t>1 straipsnis</w:t>
      </w:r>
    </w:p>
    <w:p w:rsidR="006D1B38" w:rsidRPr="002513D7" w:rsidRDefault="00BE4644" w:rsidP="00532188">
      <w:pPr>
        <w:pStyle w:val="BodyText"/>
      </w:pPr>
      <w:r w:rsidRPr="002513D7">
        <w:t>Vartotojų kodekso I knygos II antraštinės dalies II skyrius iš dalies keičiamas taip, kaip nurodyta toliau.</w:t>
      </w:r>
    </w:p>
    <w:p w:rsidR="006D1B38" w:rsidRPr="002513D7" w:rsidRDefault="00BE4644" w:rsidP="00532188">
      <w:pPr>
        <w:pStyle w:val="BodyText"/>
      </w:pPr>
      <w:r w:rsidRPr="002513D7">
        <w:t>1. Vienintelis skirsnis pervadinamas 1 skirsniu.</w:t>
      </w:r>
    </w:p>
    <w:p w:rsidR="006D1B38" w:rsidRPr="002513D7" w:rsidRDefault="00BE4644" w:rsidP="00532188">
      <w:pPr>
        <w:pStyle w:val="BodyText"/>
      </w:pPr>
      <w:r w:rsidRPr="002513D7">
        <w:t>2. Jame įterpiamas 2 skirsnis, kuris išdėstomas taip:</w:t>
      </w:r>
    </w:p>
    <w:p w:rsidR="006D1B38" w:rsidRPr="002513D7" w:rsidRDefault="00BE4644" w:rsidP="00532188">
      <w:pPr>
        <w:pStyle w:val="BodyText"/>
        <w:keepNext/>
        <w:keepLines/>
        <w:jc w:val="center"/>
      </w:pPr>
      <w:r w:rsidRPr="002513D7">
        <w:t>„2 skirsnis</w:t>
      </w:r>
    </w:p>
    <w:p w:rsidR="006D1B38" w:rsidRPr="002513D7" w:rsidRDefault="00BE4644" w:rsidP="00532188">
      <w:pPr>
        <w:pStyle w:val="BodyText"/>
        <w:keepNext/>
        <w:keepLines/>
        <w:jc w:val="center"/>
      </w:pPr>
      <w:r w:rsidRPr="002513D7">
        <w:t>Sąvokų „perpakuotas“ ir „perpakuotas produktas“ vartojimas</w:t>
      </w:r>
    </w:p>
    <w:p w:rsidR="006D1B38" w:rsidRPr="002513D7" w:rsidRDefault="00BE4644" w:rsidP="00532188">
      <w:pPr>
        <w:pStyle w:val="BodyText"/>
        <w:spacing w:before="100" w:after="100"/>
      </w:pPr>
      <w:r w:rsidRPr="002513D7">
        <w:rPr>
          <w:i/>
        </w:rPr>
        <w:t>R. 122-4 straipsnis.</w:t>
      </w:r>
      <w:r w:rsidRPr="002513D7">
        <w:t xml:space="preserve"> Produktas ar atsarginė dalis gali būti laikomos „perpakuotu produktu“ arba gali būti vartojamos kartu su sąvoka „perpakuotas“, jei tenkinamos visos toliau išdėstytos sąlygos.</w:t>
      </w:r>
    </w:p>
    <w:p w:rsidR="006D1B38" w:rsidRPr="002513D7" w:rsidRDefault="00BE4644" w:rsidP="00532188">
      <w:pPr>
        <w:pStyle w:val="BodyText"/>
        <w:spacing w:before="100" w:after="100"/>
      </w:pPr>
      <w:r w:rsidRPr="002513D7">
        <w:t>1. Tai turi būti naudotas produktas arba atsarginė dalis, kaip apibrėžta Prekybos kodekso L. 321-1 straipsnyje, kurio (-ios) atžvilgiu atlikti bandymai, apimantys visas jo (jos) funkcijas, siekiant nustatyti, ar jis (ji) atitinka teisės aktais nustatytus su sauga susijusius įsipareigojimus ir naudojimo sąlygas, kurių vartotojas gali teisėtai tikėtis, taip pat, jei taikoma, kurio (-ios) atžvilgiu atlikta (-os) viena ar kelios intervencijos, siekiant atkurti jo (jos) funkcijas.</w:t>
      </w:r>
    </w:p>
    <w:p w:rsidR="006D1B38" w:rsidRPr="002513D7" w:rsidRDefault="00BE4644" w:rsidP="00532188">
      <w:pPr>
        <w:pStyle w:val="LO-Normal"/>
        <w:spacing w:before="100" w:after="100"/>
        <w:jc w:val="both"/>
      </w:pPr>
      <w:r w:rsidRPr="002513D7">
        <w:t>2. Kai reikia, pirmiau pateiktoje pastraipoje nurodyta (-os) intervencija (-os) apima visų ankstesnio naudojimo ar ankstesnio vartotojo asmens duomenų, užregist</w:t>
      </w:r>
      <w:r w:rsidR="002513D7" w:rsidRPr="002513D7">
        <w:t>ruotų ar saugomų laikantis 2016 </w:t>
      </w:r>
      <w:r w:rsidRPr="002513D7">
        <w:t>m. balandžio 27 d. Europos Parlamento ir Tarybos reglamento (ES) 2016/679 dėl fizinių asmenų apsaugos tvarkant asmens duomenis ir dėl laisvo tokių duomenų judėjimo ir 1978 m. sausio 6 d. Informatikos, rinkmenų ir laisvių įstatymo Nr. 78-17 nuostatų, ypač susijusių su asmens duomenų atkūrimu ir perkeliamumu.</w:t>
      </w:r>
    </w:p>
    <w:p w:rsidR="006D1B38" w:rsidRPr="002513D7" w:rsidRDefault="00BE4644" w:rsidP="00532188">
      <w:pPr>
        <w:pStyle w:val="LO-Normal"/>
        <w:spacing w:before="100" w:after="100"/>
        <w:jc w:val="both"/>
      </w:pPr>
      <w:r w:rsidRPr="002513D7">
        <w:t>Specialistas, siūlantis parduoti produktą ar atsarginę dalį, kuri klasifikuojama kaip „perpakuotas produktas“ arba kartu su sąvoka „perpakuotas“, turi įrodyti, kad buvo atlikti pirmiau išdėstytose pastraipose numatyti veiksmai.</w:t>
      </w:r>
    </w:p>
    <w:p w:rsidR="006D1B38" w:rsidRPr="002513D7" w:rsidRDefault="00BE4644" w:rsidP="00532188">
      <w:pPr>
        <w:pStyle w:val="BodyText"/>
        <w:spacing w:before="100" w:after="100"/>
      </w:pPr>
      <w:r w:rsidRPr="002513D7">
        <w:rPr>
          <w:i/>
        </w:rPr>
        <w:t>R. 122-5 straipsnis.</w:t>
      </w:r>
      <w:r w:rsidRPr="002513D7">
        <w:t xml:space="preserve"> Su gaminiu ar atsargine dalimi susijusi (-ios) intervencija (-os), pateisinanti (-čios) sąvokų „perpakuotas produktas“ arba „perpakuotas“ ar „perpakuota Prancūzijoje“ vartojimą, yra esminė šio gaminio ar atsarginės dalies charakteristika.</w:t>
      </w:r>
    </w:p>
    <w:p w:rsidR="006D1B38" w:rsidRPr="002513D7" w:rsidRDefault="00BE4644" w:rsidP="00532188">
      <w:pPr>
        <w:pStyle w:val="BodyText"/>
        <w:spacing w:before="100" w:after="100"/>
      </w:pPr>
      <w:r w:rsidRPr="002513D7">
        <w:rPr>
          <w:rStyle w:val="Policepardfaut"/>
          <w:i/>
        </w:rPr>
        <w:t>R. 122-6 straipsnis.</w:t>
      </w:r>
      <w:r w:rsidRPr="002513D7">
        <w:t xml:space="preserve"> Frazės „naujos būklės“, „kaip naujas“, „naujas“ ar bet koks lygiavertis nurodymas negali būti vartojamas produkto ar atsarginės dalies, klasifikuojamos kaip „perpakuotas produktas“ arba kartu su sąvoka „perpakuotas“, atžvilgiu.</w:t>
      </w:r>
    </w:p>
    <w:p w:rsidR="006D1B38" w:rsidRPr="002513D7" w:rsidRDefault="00BE4644" w:rsidP="00532188">
      <w:pPr>
        <w:pStyle w:val="BodyText"/>
        <w:spacing w:before="100" w:after="100"/>
      </w:pPr>
      <w:r w:rsidRPr="002513D7">
        <w:rPr>
          <w:rStyle w:val="Policepardfaut"/>
          <w:i/>
        </w:rPr>
        <w:t>R. 122-7 straipsnis.</w:t>
      </w:r>
      <w:r w:rsidRPr="002513D7">
        <w:t xml:space="preserve"> Nuorodos „perpakuota Prancūzijoje“ vartojimas galimas tik atliekant R. 122-4 straipsnyje nurodytus veiksmus, atliekamus tik šalies teritorijoje.</w:t>
      </w:r>
    </w:p>
    <w:p w:rsidR="006D1B38" w:rsidRPr="002513D7" w:rsidRDefault="00BE4644" w:rsidP="00532188">
      <w:pPr>
        <w:pStyle w:val="BodyText"/>
        <w:keepNext/>
        <w:keepLines/>
        <w:spacing w:before="100" w:after="100" w:line="244" w:lineRule="auto"/>
        <w:jc w:val="center"/>
        <w:rPr>
          <w:b/>
        </w:rPr>
      </w:pPr>
      <w:r w:rsidRPr="002513D7">
        <w:rPr>
          <w:b/>
        </w:rPr>
        <w:t>2 straipsnis</w:t>
      </w:r>
    </w:p>
    <w:p w:rsidR="006D1B38" w:rsidRPr="002513D7" w:rsidRDefault="00BE4644" w:rsidP="00532188">
      <w:pPr>
        <w:pStyle w:val="BodyText"/>
        <w:spacing w:before="100" w:after="100" w:line="244" w:lineRule="auto"/>
      </w:pPr>
      <w:r w:rsidRPr="002513D7">
        <w:t>Šis dekretas įsigalioja 2021 m. balandžio 1 d.</w:t>
      </w:r>
    </w:p>
    <w:p w:rsidR="006D1B38" w:rsidRPr="002513D7" w:rsidRDefault="00BE4644" w:rsidP="00532188">
      <w:pPr>
        <w:pStyle w:val="BodyText"/>
        <w:keepNext/>
        <w:keepLines/>
        <w:spacing w:before="100" w:after="100" w:line="244" w:lineRule="auto"/>
        <w:jc w:val="center"/>
        <w:rPr>
          <w:b/>
        </w:rPr>
      </w:pPr>
      <w:r w:rsidRPr="002513D7">
        <w:rPr>
          <w:b/>
        </w:rPr>
        <w:t>3 straipsnis</w:t>
      </w:r>
    </w:p>
    <w:p w:rsidR="006D1B38" w:rsidRPr="002513D7" w:rsidRDefault="00BE4644" w:rsidP="00532188">
      <w:pPr>
        <w:pStyle w:val="BodyText"/>
      </w:pPr>
      <w:r w:rsidRPr="002513D7">
        <w:t>Perėjimo prie žaliosios ekonomikos ministrė bei ekonomikos, finansų ir ekonomikos gaivinimo ministras yra atitinkamai atsakingi už šio dekreto, kuris bus paskelbtas Prancūzijos Respublikos oficialiajame leidinyje, vykdymą.</w:t>
      </w:r>
    </w:p>
    <w:p w:rsidR="006D1B38" w:rsidRPr="002513D7" w:rsidRDefault="006D1B38" w:rsidP="00532188">
      <w:pPr>
        <w:pStyle w:val="BodyText"/>
      </w:pPr>
    </w:p>
    <w:p w:rsidR="006D1B38" w:rsidRPr="002513D7" w:rsidRDefault="006D1B38" w:rsidP="00532188">
      <w:pPr>
        <w:pStyle w:val="BodyText"/>
      </w:pPr>
    </w:p>
    <w:p w:rsidR="006D1B38" w:rsidRPr="002513D7" w:rsidRDefault="00BE4644" w:rsidP="00532188">
      <w:pPr>
        <w:pStyle w:val="SNContreseing"/>
      </w:pPr>
      <w:r w:rsidRPr="002513D7">
        <w:lastRenderedPageBreak/>
        <w:t>Parengta</w:t>
      </w:r>
    </w:p>
    <w:p w:rsidR="006D1B38" w:rsidRPr="002513D7" w:rsidRDefault="00BE4644" w:rsidP="00532188">
      <w:pPr>
        <w:pStyle w:val="SNContreseing"/>
      </w:pPr>
      <w:r w:rsidRPr="002513D7">
        <w:t>Ministro Pirmininko vardu</w:t>
      </w:r>
    </w:p>
    <w:p w:rsidR="006D1B38" w:rsidRPr="002513D7" w:rsidRDefault="006D1B38" w:rsidP="00532188">
      <w:pPr>
        <w:pStyle w:val="LO-Normal"/>
        <w:spacing w:before="100" w:after="100" w:line="240" w:lineRule="auto"/>
        <w:rPr>
          <w:rFonts w:eastAsia="Times New Roman"/>
          <w:lang w:eastAsia="fr-FR"/>
        </w:rPr>
      </w:pPr>
    </w:p>
    <w:p w:rsidR="006D1B38" w:rsidRPr="002513D7" w:rsidRDefault="00BE4644" w:rsidP="00532188">
      <w:pPr>
        <w:pStyle w:val="LO-Normal"/>
        <w:keepNext/>
        <w:keepLines/>
        <w:spacing w:before="100" w:after="100" w:line="240" w:lineRule="auto"/>
        <w:rPr>
          <w:rFonts w:eastAsia="Times New Roman"/>
        </w:rPr>
      </w:pPr>
      <w:r w:rsidRPr="002513D7">
        <w:t>Perėjimo prie žaliosios ekonomikos ministrė</w:t>
      </w:r>
    </w:p>
    <w:p w:rsidR="006D1B38" w:rsidRPr="002513D7" w:rsidRDefault="00BE4644" w:rsidP="00532188">
      <w:pPr>
        <w:pStyle w:val="LO-Normal"/>
        <w:spacing w:after="0" w:line="240" w:lineRule="auto"/>
        <w:rPr>
          <w:rFonts w:eastAsia="Times New Roman"/>
        </w:rPr>
      </w:pPr>
      <w:r w:rsidRPr="002513D7">
        <w:t>Barbara POMPILI</w:t>
      </w:r>
    </w:p>
    <w:p w:rsidR="006D1B38" w:rsidRPr="002513D7" w:rsidRDefault="00BE4644" w:rsidP="00532188">
      <w:pPr>
        <w:pStyle w:val="LO-Normal"/>
        <w:keepNext/>
        <w:keepLines/>
        <w:spacing w:before="100" w:after="100" w:line="240" w:lineRule="auto"/>
        <w:ind w:left="5040"/>
        <w:rPr>
          <w:rFonts w:eastAsia="Times New Roman"/>
        </w:rPr>
      </w:pPr>
      <w:r w:rsidRPr="002513D7">
        <w:t>Ekonomikos, finansų ir ekonomikos gaivinimo m</w:t>
      </w:r>
      <w:bookmarkStart w:id="0" w:name="_GoBack"/>
      <w:bookmarkEnd w:id="0"/>
      <w:r w:rsidRPr="002513D7">
        <w:t>inistras</w:t>
      </w:r>
    </w:p>
    <w:p w:rsidR="006D1B38" w:rsidRPr="002513D7" w:rsidRDefault="00BE4644" w:rsidP="00532188">
      <w:pPr>
        <w:pStyle w:val="LO-Normal"/>
        <w:spacing w:before="100" w:after="100" w:line="240" w:lineRule="auto"/>
        <w:ind w:left="5040"/>
        <w:rPr>
          <w:rFonts w:eastAsia="Times New Roman"/>
        </w:rPr>
      </w:pPr>
      <w:r w:rsidRPr="002513D7">
        <w:t>Bruno LE MAIRE</w:t>
      </w:r>
    </w:p>
    <w:sectPr w:rsidR="006D1B38" w:rsidRPr="002513D7">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6B4" w:rsidRDefault="00F926B4" w:rsidP="00451EFE">
      <w:r>
        <w:separator/>
      </w:r>
    </w:p>
  </w:endnote>
  <w:endnote w:type="continuationSeparator" w:id="0">
    <w:p w:rsidR="00F926B4" w:rsidRDefault="00F926B4"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6B4" w:rsidRDefault="00F926B4" w:rsidP="00451EFE">
      <w:r>
        <w:separator/>
      </w:r>
    </w:p>
  </w:footnote>
  <w:footnote w:type="continuationSeparator" w:id="0">
    <w:p w:rsidR="00F926B4" w:rsidRDefault="00F926B4" w:rsidP="00451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4719C"/>
    <w:multiLevelType w:val="multilevel"/>
    <w:tmpl w:val="80ACE59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6D1B38"/>
    <w:rsid w:val="002513D7"/>
    <w:rsid w:val="002A4914"/>
    <w:rsid w:val="003114B3"/>
    <w:rsid w:val="00451EFE"/>
    <w:rsid w:val="00532188"/>
    <w:rsid w:val="00617575"/>
    <w:rsid w:val="0063400E"/>
    <w:rsid w:val="006D1B38"/>
    <w:rsid w:val="00BE4644"/>
    <w:rsid w:val="00C85968"/>
    <w:rsid w:val="00F9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fr-FR"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Heading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Heading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lt-LT" w:bidi="ar-SA"/>
    </w:rPr>
  </w:style>
  <w:style w:type="character" w:customStyle="1" w:styleId="SNDateCar">
    <w:name w:val="SNDate Car"/>
    <w:basedOn w:val="Policepardfaut"/>
    <w:qFormat/>
    <w:rPr>
      <w:sz w:val="24"/>
      <w:szCs w:val="24"/>
      <w:lang w:val="lt-LT" w:eastAsia="fr-FR" w:bidi="ar-SA"/>
    </w:rPr>
  </w:style>
  <w:style w:type="character" w:customStyle="1" w:styleId="SNArticleCar">
    <w:name w:val="SNArticle Car"/>
    <w:basedOn w:val="Policepardfaut"/>
    <w:qFormat/>
    <w:rPr>
      <w:b/>
      <w:sz w:val="24"/>
      <w:szCs w:val="24"/>
      <w:lang w:val="lt-LT"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BodyText"/>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Heading1"/>
    <w:next w:val="LO-Normal"/>
    <w:qFormat/>
    <w:pPr>
      <w:numPr>
        <w:numId w:val="0"/>
      </w:numPr>
      <w:spacing w:before="0" w:after="120"/>
    </w:pPr>
    <w:rPr>
      <w:b/>
    </w:rPr>
  </w:style>
  <w:style w:type="paragraph" w:customStyle="1" w:styleId="Titre2objet">
    <w:name w:val="Titre 2 objet"/>
    <w:basedOn w:val="Heading2"/>
    <w:next w:val="LO-Normal"/>
    <w:qFormat/>
    <w:pPr>
      <w:numPr>
        <w:ilvl w:val="0"/>
        <w:numId w:val="0"/>
      </w:numPr>
      <w:spacing w:before="0" w:after="120"/>
    </w:pPr>
    <w:rPr>
      <w:b/>
    </w:rPr>
  </w:style>
  <w:style w:type="paragraph" w:customStyle="1" w:styleId="titre3objet">
    <w:name w:val="titre 3 objet"/>
    <w:basedOn w:val="Heading3"/>
    <w:next w:val="LO-Normal"/>
    <w:qFormat/>
    <w:pPr>
      <w:numPr>
        <w:ilvl w:val="0"/>
        <w:numId w:val="0"/>
      </w:numPr>
      <w:spacing w:before="0"/>
    </w:pPr>
    <w:rPr>
      <w:b/>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Header">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Normal"/>
    <w:qFormat/>
    <w:pPr>
      <w:suppressLineNumbers/>
    </w:pPr>
  </w:style>
  <w:style w:type="paragraph" w:customStyle="1" w:styleId="DocumentMap">
    <w:name w:val="DocumentMap"/>
    <w:qFormat/>
    <w:pPr>
      <w:textAlignment w:val="auto"/>
    </w:pPr>
  </w:style>
  <w:style w:type="paragraph" w:styleId="Footer">
    <w:name w:val="footer"/>
    <w:basedOn w:val="Normal"/>
    <w:link w:val="FooterChar"/>
    <w:uiPriority w:val="99"/>
    <w:unhideWhenUsed/>
    <w:rsid w:val="00451EFE"/>
    <w:pPr>
      <w:tabs>
        <w:tab w:val="center" w:pos="4320"/>
        <w:tab w:val="right" w:pos="8640"/>
      </w:tabs>
    </w:pPr>
  </w:style>
  <w:style w:type="character" w:customStyle="1" w:styleId="FooterChar">
    <w:name w:val="Footer Char"/>
    <w:basedOn w:val="DefaultParagraphFont"/>
    <w:link w:val="Footer"/>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GRYBAUSKAITE, Laura</cp:lastModifiedBy>
  <cp:revision>5</cp:revision>
  <cp:lastPrinted>2011-01-06T11:21:00Z</cp:lastPrinted>
  <dcterms:created xsi:type="dcterms:W3CDTF">2020-10-28T14:37:00Z</dcterms:created>
  <dcterms:modified xsi:type="dcterms:W3CDTF">2021-01-29T07:38:00Z</dcterms:modified>
  <dc:language>fr-FR</dc:language>
</cp:coreProperties>
</file>