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8EB1" w14:textId="7642D454" w:rsidR="00D8319D" w:rsidRPr="00D8319D" w:rsidRDefault="00D8319D" w:rsidP="00D8319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Dekret nr 2021-1110 z dnia 23 sierpnia 2021 r. w sprawie udostępniania informacji umożliwiających identyfikację w produkcie substancji zaburzających funkcjonowanie układu hormonalnego</w:t>
      </w:r>
    </w:p>
    <w:p w14:paraId="04AB011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Grupy docelowe: wszystkie osoby, które wprowadzają do obrotu produkty przeznaczone dla konsumentów, które po zakończeniu procesu produkcji zawierają substancje zakwalifikowane przez Krajową Agencję Bezpieczeństwa Sanitarnego Żywności, Środowiska i Pracy (ANSES) jako substancje, co do których potwierdzono, istnieje domniemanie lub podejrzewa się, że zaburzają funkcjonowanie układu hormonalnego Przedmiot: art. 1 dekretu zawiera przepisy krajowe przewidujące udostępnianie informacji umożliwiających identyfikację zawartych w produkcie substancji zaburzających funkcjonowanie układu hormonalnego. </w:t>
      </w:r>
      <w:r>
        <w:rPr>
          <w:rFonts w:ascii="Times New Roman" w:hAnsi="Times New Roman"/>
          <w:color w:val="000000"/>
          <w:sz w:val="27"/>
        </w:rPr>
        <w:br/>
        <w:t xml:space="preserve">Wejście w życie: dekret wchodzi w życie z dniem 1 stycznia 2022 r. </w:t>
      </w:r>
      <w:r>
        <w:rPr>
          <w:rFonts w:ascii="Times New Roman" w:hAnsi="Times New Roman"/>
          <w:color w:val="000000"/>
          <w:sz w:val="27"/>
        </w:rPr>
        <w:br/>
        <w:t>Uwaga: art. 13-II ustawy nr 2020-105 z dnia 10 lutego 2020 r. o zwalczaniu marnotrawstwa i gospodarce o obiegu zamkniętym przewiduje przyjęcie w formie dekretu Rady Stanu przepisów wykonawczych regulujących udostępnianie informacji umożliwiających identyfikację substancji zaburzających funkcjonowanie układu hormonalnego zawartych w produkcie wprowadzonym do obrotu.  Celem przywołanym w motywach wyjaśniających do tego artykułu jest „zapewnienie obywatelom przejrzystych informacji na temat obecności w produktach substancji zaburzających funkcjonowanie układu hormonalnego. Przewiduje się w nim, że każda osoba wprowadzająca do obrotu produkty zawierające substancje, które w ocenie ANSES zaburzają funkcjonowanie układu hormonalnego, publikuje wykaz takich produktów i substancji zawartych w każdym z tych produktów. Publikacja ma formę otwartą umożliwiającą platformom współpracującym wykorzystywanie zawartych w niej informacji, a także lepsze informowanie konsumentów.</w:t>
      </w:r>
      <w:r>
        <w:rPr>
          <w:rFonts w:ascii="Times New Roman" w:hAnsi="Times New Roman"/>
          <w:color w:val="000000"/>
          <w:sz w:val="27"/>
        </w:rPr>
        <w:br/>
        <w:t xml:space="preserve">Druga strategia krajowa w sprawie substancji zaburzających funkcjonowanie układu hormonalnego (fr. Stratégie nationale sur les perturbateurs endocriniens – SNPE2) zawiera filar dotyczący poprawy informowania konsumentów. Agencja ANSES podjęła już zdecydowane działania w tym kierunku, tworząc wykazy substancji zaburzających funkcjonowanie układu hormonalnego (działanie nr 3 SNPE2). Niniejsze przepisy wpisują się w tę dynamikę i mają na celu zapewnienie obywatelom przejrzystych informacji na temat obecności substancji zaburzających funkcjonowanie układu hormonalnego w produktach, rozumianych jako substancje, mieszaniny, wyroby i środki spożywcze. Na potrzeby stosowania przedmiotowego artykułu za produkty, o których mowa w art. L. 5232-5 kodeksu zdrowia publicznego uznaje się substancje, mieszaniny i wyroby zdefiniowane w art. 3 rozporządzenia (WE) nr 1907/2006, z wyjątkiem produktów leczniczych, produkty biobójcze zdefiniowane w art. 3 rozporządzenia (UE) nr 528/2012, produkty </w:t>
      </w:r>
      <w:r>
        <w:rPr>
          <w:rFonts w:ascii="Times New Roman" w:hAnsi="Times New Roman"/>
          <w:color w:val="000000"/>
          <w:sz w:val="27"/>
        </w:rPr>
        <w:lastRenderedPageBreak/>
        <w:t>fitofarmaceutyczne w rozumieniu art. 2 rozporządzenia (WE) nr 1107/2009, wyroby medyczne zdefiniowane w art. 2 rozporządzenia (UE) 2017/745, materiały i wyroby, w tym materiały i wyroby aktywne i inteligentne przeznaczone do kontaktu z żywnością, zdefiniowane w art. 2 rozporządzenia (WE) nr 1935/2004, zabawki w rozumieniu art. 2 dyrektywy 2009/48/WE, produkty kosmetyczne zdefiniowane w art. 2 rozporządzenia (WE) nr 1223/2009 i produkty zdefiniowane w art. 2 dyrektywy 2001/95/WE, a także środki spożywcze zdefiniowane w art. 2 rozporządzenia (WE) nr 178/2002.</w:t>
      </w:r>
      <w:r>
        <w:rPr>
          <w:rFonts w:ascii="Times New Roman" w:hAnsi="Times New Roman"/>
          <w:color w:val="000000"/>
          <w:sz w:val="27"/>
        </w:rPr>
        <w:br/>
        <w:t>Obowiązek udostępniania informacji identyfikujących substancje zaburzające funkcjonowanie układu hormonalnego w produkcie wprowadzanym do obrotu stosuje się nie później niż sześć miesięcy po opublikowaniu rozporządzenia zawierającego wykaz substancji o właściwościach zaburzających funkcjonowanie układu hormonalnego, zgodnie z poziomem dowodów naukowych, z podziałem na substancje zweryfikowane, domniemane lub podejrzewane, oraz wykaz kategorii produktów stwarzających szczególne ryzyko narażenia. Obowiązek przekazywania informacji na temat obecności substancji zaburzających funkcjonowanie układu hormonalnego sklasyfikowanych jako podejrzewane ma zastosowanie wyłącznie do kategorii produktów o szczególnym ryzyku narażenia określonych w tym rozporządzeniu.</w:t>
      </w:r>
      <w:r>
        <w:rPr>
          <w:rFonts w:ascii="Times New Roman" w:hAnsi="Times New Roman"/>
          <w:color w:val="000000"/>
          <w:sz w:val="27"/>
        </w:rPr>
        <w:br/>
        <w:t>Teksty podstawowe: z tekstem kodeksu zdrowia w brzmieniu zmienionym dekretem można zapoznać się w witrynie internetowej Légifrance (https://www.legifrance.gouv.fr).</w:t>
      </w:r>
    </w:p>
    <w:p w14:paraId="2F5541DF"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Premier,</w:t>
      </w:r>
      <w:r>
        <w:rPr>
          <w:rFonts w:ascii="Times New Roman" w:hAnsi="Times New Roman"/>
          <w:color w:val="000000"/>
          <w:sz w:val="27"/>
        </w:rPr>
        <w:br/>
        <w:t>na podstawie sprawozdania Minister ds. Transformacji Ekologicznej,</w:t>
      </w:r>
      <w:r>
        <w:rPr>
          <w:rFonts w:ascii="Times New Roman" w:hAnsi="Times New Roman"/>
          <w:color w:val="000000"/>
          <w:sz w:val="27"/>
        </w:rPr>
        <w:br/>
        <w:t>uwzględniając 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w:t>
      </w:r>
      <w:r>
        <w:rPr>
          <w:rFonts w:ascii="Times New Roman" w:hAnsi="Times New Roman"/>
          <w:color w:val="000000"/>
          <w:sz w:val="27"/>
        </w:rPr>
        <w:br/>
        <w:t>uwzględniając rozporządzenie (WE) nr 1907/2006 Parlamentu Europejskiego i Rady z dnia 18 grudnia 2006 r. w sprawie rejestracji, oceny, udzielania zezwoleń i stosowanych ograniczeń w zakresie chemikaliów (REACH), utworzenia Europejskiej Agencji Chemikaliów, zmieniające dyrektywę 1999/45/WE oraz uchylające rozporządzenie Rady (EWG) nr 793/93 i rozporządzenie Komisji (WE) nr 1488/94, jak również dyrektywę Rady 76/769/EWG i dyrektywy Komisji 91/155/EWG, 93/67/EWG, 93/105/WE i 2000/21/WE,</w:t>
      </w:r>
      <w:r>
        <w:rPr>
          <w:rFonts w:ascii="Times New Roman" w:hAnsi="Times New Roman"/>
          <w:color w:val="000000"/>
          <w:sz w:val="27"/>
        </w:rPr>
        <w:br/>
        <w:t>uwzględniając rozporządzenie Parlamentu Europejskiego i Rady (UE) 2017/745 z dnia 5 kwietnia 2017 r. w sprawie wyrobów medycznych, zmiany dyrektywy 2001/83/WE, rozporządzenia (WE) nr 178/2002 i rozporządzenia (WE) nr 1223/2009 oraz uchylenia dyrektyw Rady 90/385/EWG i 93/42/EWG;</w:t>
      </w:r>
      <w:r>
        <w:rPr>
          <w:rFonts w:ascii="Times New Roman" w:hAnsi="Times New Roman"/>
          <w:color w:val="000000"/>
          <w:sz w:val="27"/>
        </w:rPr>
        <w:br/>
        <w:t>uwzględniając dyrektywę (UE) 2015/1535 Parlamentu Europejskiego i Rady z dnia 9 września 2015 r. ustanawiającą procedurę udzielania informacji w dziedzinie przepisów technicznych oraz zasad dotyczących usług społeczeństwa informacyjnego, w szczególności powiadomienie nr 2020/832/F,</w:t>
      </w:r>
      <w:r>
        <w:rPr>
          <w:rFonts w:ascii="Times New Roman" w:hAnsi="Times New Roman"/>
          <w:color w:val="000000"/>
          <w:sz w:val="27"/>
        </w:rPr>
        <w:br/>
      </w:r>
      <w:r>
        <w:rPr>
          <w:rFonts w:ascii="Times New Roman" w:hAnsi="Times New Roman"/>
          <w:color w:val="000000"/>
          <w:sz w:val="27"/>
        </w:rPr>
        <w:lastRenderedPageBreak/>
        <w:t>uwzględniając kodeks środowiska, w szczególności jego art. L. 541-9-1,</w:t>
      </w:r>
      <w:r>
        <w:rPr>
          <w:rFonts w:ascii="Times New Roman" w:hAnsi="Times New Roman"/>
          <w:color w:val="000000"/>
          <w:sz w:val="27"/>
        </w:rPr>
        <w:br/>
        <w:t>uwzględniając kodeks karny, w szczególności art. R. 610-1,</w:t>
      </w:r>
      <w:r>
        <w:rPr>
          <w:rFonts w:ascii="Times New Roman" w:hAnsi="Times New Roman"/>
          <w:color w:val="000000"/>
          <w:sz w:val="27"/>
        </w:rPr>
        <w:br/>
        <w:t>uwzględniając kodeks zdrowia publicznego, w szczególności jego art. L. 5232-5,</w:t>
      </w:r>
      <w:r>
        <w:rPr>
          <w:rFonts w:ascii="Times New Roman" w:hAnsi="Times New Roman"/>
          <w:color w:val="000000"/>
          <w:sz w:val="27"/>
        </w:rPr>
        <w:br/>
        <w:t>uwzględniając ustawę nr 2020-105 z dnia 10 lutego 2020 r. o zwalczaniu marnotrawstwa i gospodarce o obiegu zamkniętym, w szczególności jej art. 13 i 130,</w:t>
      </w:r>
      <w:r>
        <w:rPr>
          <w:rFonts w:ascii="Times New Roman" w:hAnsi="Times New Roman"/>
          <w:color w:val="000000"/>
          <w:sz w:val="27"/>
        </w:rPr>
        <w:br/>
        <w:t>uwzględniając powiadomienie nr 2020/0832/F przesłane Komisji Europejskiej w dniu 21 grudnia 2020 r. oraz jej odpowiedzi z dnia 25 stycznia i 22 marca 2021 r.,</w:t>
      </w:r>
      <w:r>
        <w:rPr>
          <w:rFonts w:ascii="Times New Roman" w:hAnsi="Times New Roman"/>
          <w:color w:val="000000"/>
          <w:sz w:val="27"/>
        </w:rPr>
        <w:br/>
        <w:t>po wysłuchaniu Rady Stanu (Sekcja Socjalna),</w:t>
      </w:r>
      <w:r>
        <w:rPr>
          <w:rFonts w:ascii="Times New Roman" w:hAnsi="Times New Roman"/>
          <w:color w:val="000000"/>
          <w:sz w:val="27"/>
        </w:rPr>
        <w:br/>
        <w:t>przyjmuje niniejszy dekret:</w:t>
      </w:r>
    </w:p>
    <w:p w14:paraId="74CCC72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1</w:t>
      </w:r>
    </w:p>
    <w:p w14:paraId="6F01E7E8"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Po sekcji 2 w części piątej księga II tytuł III rozdział II kodeksu zdrowia publicznego dodaje się sekcję 3 w brzmieniu:</w:t>
      </w:r>
    </w:p>
    <w:p w14:paraId="372A921D" w14:textId="0CA37A86"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bookmarkStart w:id="0" w:name="_Hlk95477831"/>
      <w:r>
        <w:rPr>
          <w:rFonts w:ascii="Times New Roman" w:hAnsi="Times New Roman"/>
          <w:color w:val="000000"/>
          <w:sz w:val="27"/>
        </w:rPr>
        <w:t>„</w:t>
      </w:r>
      <w:bookmarkEnd w:id="0"/>
      <w:r>
        <w:rPr>
          <w:rFonts w:ascii="Times New Roman" w:hAnsi="Times New Roman"/>
          <w:color w:val="000000"/>
          <w:sz w:val="27"/>
        </w:rPr>
        <w:t>Sekcja 3</w:t>
      </w:r>
      <w:r>
        <w:rPr>
          <w:rFonts w:ascii="Times New Roman" w:hAnsi="Times New Roman"/>
          <w:color w:val="000000"/>
          <w:sz w:val="27"/>
        </w:rPr>
        <w:br/>
      </w:r>
      <w:r w:rsidR="00FB444B" w:rsidRPr="00FB444B">
        <w:rPr>
          <w:rFonts w:ascii="Times New Roman" w:hAnsi="Times New Roman"/>
          <w:color w:val="000000"/>
          <w:sz w:val="27"/>
        </w:rPr>
        <w:t>„</w:t>
      </w:r>
      <w:r>
        <w:rPr>
          <w:rFonts w:ascii="Times New Roman" w:hAnsi="Times New Roman"/>
          <w:color w:val="000000"/>
          <w:sz w:val="27"/>
        </w:rPr>
        <w:t>Informacje o substancjach zaburzających funkcjonowanie układu hormonalnego, zawartych w produktach</w:t>
      </w:r>
    </w:p>
    <w:p w14:paraId="77342C7D" w14:textId="4A4D82C8"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FB444B" w:rsidRPr="00FB444B">
        <w:rPr>
          <w:rFonts w:ascii="Times New Roman" w:hAnsi="Times New Roman"/>
          <w:color w:val="000000"/>
          <w:sz w:val="27"/>
        </w:rPr>
        <w:t>„</w:t>
      </w:r>
      <w:r>
        <w:rPr>
          <w:rFonts w:ascii="Times New Roman" w:hAnsi="Times New Roman"/>
          <w:color w:val="000000"/>
          <w:sz w:val="27"/>
        </w:rPr>
        <w:t>Podsekcja 1</w:t>
      </w:r>
      <w:r>
        <w:rPr>
          <w:rFonts w:ascii="Times New Roman" w:hAnsi="Times New Roman"/>
          <w:color w:val="000000"/>
          <w:sz w:val="27"/>
        </w:rPr>
        <w:br/>
      </w:r>
      <w:r w:rsidR="00FB444B" w:rsidRPr="00FB444B">
        <w:rPr>
          <w:rFonts w:ascii="Times New Roman" w:hAnsi="Times New Roman"/>
          <w:color w:val="000000"/>
          <w:sz w:val="27"/>
        </w:rPr>
        <w:t>„</w:t>
      </w:r>
      <w:r>
        <w:rPr>
          <w:rFonts w:ascii="Times New Roman" w:hAnsi="Times New Roman"/>
          <w:color w:val="000000"/>
          <w:sz w:val="27"/>
        </w:rPr>
        <w:t>Definicja wykazu substancji, co do których potwierdzono, istnieje domniemanie lub podejrzewa się, że zaburzają funkcjonowanie układu hormonalnego oraz kategorii produktów stwarzających szczególne ryzyko narażenia</w:t>
      </w:r>
    </w:p>
    <w:p w14:paraId="279B9BF7" w14:textId="4E87596D"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FB444B" w:rsidRPr="00FB444B">
        <w:rPr>
          <w:rFonts w:ascii="Times New Roman" w:hAnsi="Times New Roman"/>
          <w:color w:val="000000"/>
          <w:sz w:val="27"/>
        </w:rPr>
        <w:t>„</w:t>
      </w:r>
      <w:r>
        <w:rPr>
          <w:rFonts w:ascii="Times New Roman" w:hAnsi="Times New Roman"/>
          <w:color w:val="000000"/>
          <w:sz w:val="27"/>
        </w:rPr>
        <w:t>Art. R. 5232-19. W celu stosowania niniejszej sekcji za produkty w rozumieniu art. L. 5232-5 uznaje się środki spożywczych zdefiniowane w art. 2 rozporządzenia (WE) nr 178/2002 oraz substancje, mieszaniny i wyroby zdefiniowane w art. 3 rozporządzenia (WE) nr 1907/2006, z wyjątkiem produktów leczniczych.</w:t>
      </w:r>
      <w:r>
        <w:rPr>
          <w:rFonts w:ascii="Times New Roman" w:hAnsi="Times New Roman"/>
          <w:color w:val="000000"/>
          <w:sz w:val="27"/>
        </w:rPr>
        <w:br/>
      </w:r>
      <w:r w:rsidR="00FB444B" w:rsidRPr="00FB444B">
        <w:rPr>
          <w:rFonts w:ascii="Times New Roman" w:hAnsi="Times New Roman"/>
          <w:color w:val="000000"/>
          <w:sz w:val="27"/>
        </w:rPr>
        <w:t>„</w:t>
      </w:r>
      <w:r>
        <w:rPr>
          <w:rFonts w:ascii="Times New Roman" w:hAnsi="Times New Roman"/>
          <w:color w:val="000000"/>
          <w:sz w:val="27"/>
        </w:rPr>
        <w:t>W drodze wspólnego rozporządzenia ministrów właściwych do spraw zdrowia i środowiska, na wniosek Krajowej Agencji Bezpieczeństwa Sanitarnego Żywności, Środowiska i Pracy, określa się:</w:t>
      </w:r>
      <w:r>
        <w:rPr>
          <w:rFonts w:ascii="Times New Roman" w:hAnsi="Times New Roman"/>
          <w:color w:val="000000"/>
          <w:sz w:val="27"/>
        </w:rPr>
        <w:br/>
      </w:r>
      <w:r w:rsidR="00FB444B" w:rsidRPr="00FB444B">
        <w:rPr>
          <w:rFonts w:ascii="Times New Roman" w:hAnsi="Times New Roman"/>
          <w:color w:val="000000"/>
          <w:sz w:val="27"/>
        </w:rPr>
        <w:t>„</w:t>
      </w:r>
      <w:r>
        <w:rPr>
          <w:rFonts w:ascii="Times New Roman" w:hAnsi="Times New Roman"/>
          <w:color w:val="000000"/>
          <w:sz w:val="27"/>
        </w:rPr>
        <w:t>1. Wykaz substancji zaburzających funkcjonowanie układu hormonalnego, o których mowa w art. L. 5232-5 ust. I, w podziale na dwie kategorie – substancje o potwierdzonych właściwościach zaburzających i substancje, co do których istnieje domniemanie, że zaburzają funkcjonowanie układu hormonalnego, w zależności od poziomu dowodu naukowego;</w:t>
      </w:r>
      <w:r>
        <w:rPr>
          <w:rFonts w:ascii="Times New Roman" w:hAnsi="Times New Roman"/>
          <w:color w:val="000000"/>
          <w:sz w:val="27"/>
        </w:rPr>
        <w:br/>
      </w:r>
      <w:r w:rsidR="00FB444B" w:rsidRPr="00FB444B">
        <w:rPr>
          <w:rFonts w:ascii="Times New Roman" w:hAnsi="Times New Roman"/>
          <w:color w:val="000000"/>
          <w:sz w:val="27"/>
        </w:rPr>
        <w:t>„</w:t>
      </w:r>
      <w:r>
        <w:rPr>
          <w:rFonts w:ascii="Times New Roman" w:hAnsi="Times New Roman"/>
          <w:color w:val="000000"/>
          <w:sz w:val="27"/>
        </w:rPr>
        <w:t>2. Wykaz substancji, co do których podejrzewa się, że zaburzają funkcjonowanie układu hormonalnego, wymienionych w art. L. 5232-5 ust. II;</w:t>
      </w:r>
      <w:r>
        <w:rPr>
          <w:rFonts w:ascii="Times New Roman" w:hAnsi="Times New Roman"/>
          <w:color w:val="000000"/>
          <w:sz w:val="27"/>
        </w:rPr>
        <w:br/>
      </w:r>
      <w:r w:rsidR="00FB444B" w:rsidRPr="00FB444B">
        <w:rPr>
          <w:rFonts w:ascii="Times New Roman" w:hAnsi="Times New Roman"/>
          <w:color w:val="000000"/>
          <w:sz w:val="27"/>
        </w:rPr>
        <w:lastRenderedPageBreak/>
        <w:t>„</w:t>
      </w:r>
      <w:r>
        <w:rPr>
          <w:rFonts w:ascii="Times New Roman" w:hAnsi="Times New Roman"/>
          <w:color w:val="000000"/>
          <w:sz w:val="27"/>
        </w:rPr>
        <w:t>3. Kategorie produktów stanowiących szczególne ryzyko narażenia, o których mowa w art. L. 5232-5 ust. II, w odniesieniu do narażonych grup ludności, warunków stosowania i usuwania takich produktów oraz innych odpowiednich kryteriów.</w:t>
      </w:r>
    </w:p>
    <w:p w14:paraId="17BB2395" w14:textId="39F9783C"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FB444B" w:rsidRPr="00FB444B">
        <w:rPr>
          <w:rFonts w:ascii="Times New Roman" w:hAnsi="Times New Roman"/>
          <w:color w:val="000000"/>
          <w:sz w:val="27"/>
        </w:rPr>
        <w:t>„</w:t>
      </w:r>
      <w:r>
        <w:rPr>
          <w:rFonts w:ascii="Times New Roman" w:hAnsi="Times New Roman"/>
          <w:color w:val="000000"/>
          <w:sz w:val="27"/>
        </w:rPr>
        <w:t>Podsekcja 2</w:t>
      </w:r>
      <w:r>
        <w:rPr>
          <w:rFonts w:ascii="Times New Roman" w:hAnsi="Times New Roman"/>
          <w:color w:val="000000"/>
          <w:sz w:val="27"/>
        </w:rPr>
        <w:br/>
      </w:r>
      <w:r w:rsidR="00FB444B" w:rsidRPr="00FB444B">
        <w:rPr>
          <w:rFonts w:ascii="Times New Roman" w:hAnsi="Times New Roman"/>
          <w:color w:val="000000"/>
          <w:sz w:val="27"/>
        </w:rPr>
        <w:t>„</w:t>
      </w:r>
      <w:r>
        <w:rPr>
          <w:rFonts w:ascii="Times New Roman" w:hAnsi="Times New Roman"/>
          <w:color w:val="000000"/>
          <w:sz w:val="27"/>
        </w:rPr>
        <w:t>Podawanie informacji do wiadomości publicznej</w:t>
      </w:r>
    </w:p>
    <w:p w14:paraId="0150BE3C" w14:textId="14BA6EDB"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FB444B" w:rsidRPr="00FB444B">
        <w:rPr>
          <w:rFonts w:ascii="Times New Roman" w:hAnsi="Times New Roman"/>
          <w:color w:val="000000"/>
          <w:sz w:val="27"/>
        </w:rPr>
        <w:t>„</w:t>
      </w:r>
      <w:r>
        <w:rPr>
          <w:rFonts w:ascii="Times New Roman" w:hAnsi="Times New Roman"/>
          <w:color w:val="000000"/>
          <w:sz w:val="27"/>
        </w:rPr>
        <w:t>Art. R.5232-20. Informacje, o których mowa w art. L. 5232-5 ust. I i II, udostępnia się w wersji elektronicznej, nieodpłatnie i w sposób umożliwiający ponowne wykorzystanie do agregacji. W tym celu każda osoba wprowadzająca produkty do obrotu w rozumieniu art. L. 5232-5 udostępnia te informacje na specjalnej stronie internetowej zawierającej interfejs programowania aplikacji lub za pomocą wniosku określonego wspólnym rozporządzeniem ministrów odpowiedzialnych za zdrowie i środowisko.</w:t>
      </w:r>
      <w:r>
        <w:rPr>
          <w:rFonts w:ascii="Times New Roman" w:hAnsi="Times New Roman"/>
          <w:color w:val="000000"/>
          <w:sz w:val="27"/>
        </w:rPr>
        <w:br/>
      </w:r>
      <w:r w:rsidR="00FB444B" w:rsidRPr="00FB444B">
        <w:rPr>
          <w:rFonts w:ascii="Times New Roman" w:hAnsi="Times New Roman"/>
          <w:color w:val="000000"/>
          <w:sz w:val="27"/>
        </w:rPr>
        <w:t>„</w:t>
      </w:r>
      <w:r>
        <w:rPr>
          <w:rFonts w:ascii="Times New Roman" w:hAnsi="Times New Roman"/>
          <w:color w:val="000000"/>
          <w:sz w:val="27"/>
        </w:rPr>
        <w:t>Jeżeli dany produkt jest również przedmiotem obowiązku informowania konsumentów zgodnie z art. L. 541-9-1 kodeksu ochrony środowiska, informacje przewidziane w art. L. 5332-5 ust. I i II niniejszego kodeksu udostępnia się na tych samych nośnikach, które przewidziano do celów dostarczania informacji o charakterystyce i właściwościach środowiskowych tych produktów lub kategorii produktów określonych zgodnie z art. L. 541-9-1 kodeksu ochrony środowiska.</w:t>
      </w:r>
      <w:r>
        <w:rPr>
          <w:rFonts w:ascii="Times New Roman" w:hAnsi="Times New Roman"/>
          <w:color w:val="000000"/>
          <w:sz w:val="27"/>
        </w:rPr>
        <w:br/>
      </w:r>
      <w:r w:rsidR="00FB444B" w:rsidRPr="00FB444B">
        <w:rPr>
          <w:rFonts w:ascii="Times New Roman" w:hAnsi="Times New Roman"/>
          <w:color w:val="000000"/>
          <w:sz w:val="27"/>
        </w:rPr>
        <w:t>„</w:t>
      </w:r>
      <w:r>
        <w:rPr>
          <w:rFonts w:ascii="Times New Roman" w:hAnsi="Times New Roman"/>
          <w:color w:val="000000"/>
          <w:sz w:val="27"/>
        </w:rPr>
        <w:t>Procedury dotyczące treści i warunków prezentacji informacji, o których mowa w art. L. 5232-5 ust. I i II niniejszego kodeksu, określa się w drodze wspólnego rozporządzenia ministrów właściwych do spraw zdrowia i środowiska.</w:t>
      </w:r>
      <w:r>
        <w:rPr>
          <w:rFonts w:ascii="Times New Roman" w:hAnsi="Times New Roman"/>
          <w:color w:val="000000"/>
          <w:sz w:val="27"/>
        </w:rPr>
        <w:br/>
      </w:r>
      <w:r w:rsidR="00FB444B" w:rsidRPr="00FB444B">
        <w:rPr>
          <w:rFonts w:ascii="Times New Roman" w:hAnsi="Times New Roman"/>
          <w:color w:val="000000"/>
          <w:sz w:val="27"/>
        </w:rPr>
        <w:t>„</w:t>
      </w:r>
      <w:r>
        <w:rPr>
          <w:rFonts w:ascii="Times New Roman" w:hAnsi="Times New Roman"/>
          <w:color w:val="000000"/>
          <w:sz w:val="27"/>
        </w:rPr>
        <w:t>Podawanie do wiadomości publicznej informacji, o których mowa w art. L. 5232-5 ust. I i II, dotyczących każdego produktu odbywa się nie później niż sześć miesięcy po publikacji rozporządzenia, o którym mowa w art. R. 5232-19, na podstawie którego produkt umieszcza się w wykazie.</w:t>
      </w:r>
    </w:p>
    <w:p w14:paraId="119EB2A1" w14:textId="0F70E1D2"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FB444B" w:rsidRPr="00FB444B">
        <w:rPr>
          <w:rFonts w:ascii="Times New Roman" w:hAnsi="Times New Roman"/>
          <w:color w:val="000000"/>
          <w:sz w:val="27"/>
        </w:rPr>
        <w:t>„</w:t>
      </w:r>
      <w:r>
        <w:rPr>
          <w:rFonts w:ascii="Times New Roman" w:hAnsi="Times New Roman"/>
          <w:color w:val="000000"/>
          <w:sz w:val="27"/>
        </w:rPr>
        <w:t>Podsekcja 3</w:t>
      </w:r>
      <w:r>
        <w:rPr>
          <w:rFonts w:ascii="Times New Roman" w:hAnsi="Times New Roman"/>
          <w:color w:val="000000"/>
          <w:sz w:val="27"/>
        </w:rPr>
        <w:br/>
      </w:r>
      <w:r w:rsidR="00FB444B" w:rsidRPr="00FB444B">
        <w:rPr>
          <w:rFonts w:ascii="Times New Roman" w:hAnsi="Times New Roman"/>
          <w:color w:val="000000"/>
          <w:sz w:val="27"/>
        </w:rPr>
        <w:t>„</w:t>
      </w:r>
      <w:r>
        <w:rPr>
          <w:rFonts w:ascii="Times New Roman" w:hAnsi="Times New Roman"/>
          <w:color w:val="000000"/>
          <w:sz w:val="27"/>
        </w:rPr>
        <w:t>Kary</w:t>
      </w:r>
    </w:p>
    <w:p w14:paraId="10379220" w14:textId="33E88C3E"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FB444B" w:rsidRPr="00FB444B">
        <w:rPr>
          <w:rFonts w:ascii="Times New Roman" w:hAnsi="Times New Roman"/>
          <w:color w:val="000000"/>
          <w:sz w:val="27"/>
        </w:rPr>
        <w:t>„</w:t>
      </w:r>
      <w:r>
        <w:rPr>
          <w:rFonts w:ascii="Times New Roman" w:hAnsi="Times New Roman"/>
          <w:color w:val="000000"/>
          <w:sz w:val="27"/>
        </w:rPr>
        <w:t>Art. R. 5232-21. Kto nie podaje do wiadomości publicznej informacji, o których mowa w art. L. 5232-5 ust. I i II na warunkach określonych w art. R. 5232-20, podlega karze grzywny przewidzianej dla wykroczeń 5. stopnia.</w:t>
      </w:r>
      <w:r>
        <w:rPr>
          <w:rFonts w:ascii="Times New Roman" w:hAnsi="Times New Roman"/>
          <w:color w:val="000000"/>
          <w:sz w:val="27"/>
        </w:rPr>
        <w:br/>
      </w:r>
      <w:r w:rsidR="00FB444B" w:rsidRPr="00FB444B">
        <w:rPr>
          <w:rFonts w:ascii="Times New Roman" w:hAnsi="Times New Roman"/>
          <w:color w:val="000000"/>
          <w:sz w:val="27"/>
        </w:rPr>
        <w:t>„</w:t>
      </w:r>
      <w:r>
        <w:rPr>
          <w:rFonts w:ascii="Times New Roman" w:hAnsi="Times New Roman"/>
          <w:color w:val="000000"/>
          <w:sz w:val="27"/>
        </w:rPr>
        <w:t>Kto nie przestrzega terminu przewidzianego w art. R. 5232-20, podlega karze grzywny przewidzianej dla wykroczeń 5. stopnia.</w:t>
      </w:r>
    </w:p>
    <w:p w14:paraId="3EED871E" w14:textId="38A68FAC"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r>
      <w:r w:rsidR="00FB444B" w:rsidRPr="00FB444B">
        <w:rPr>
          <w:rFonts w:ascii="Times New Roman" w:hAnsi="Times New Roman"/>
          <w:color w:val="000000"/>
          <w:sz w:val="27"/>
        </w:rPr>
        <w:t>„</w:t>
      </w:r>
      <w:r>
        <w:rPr>
          <w:rFonts w:ascii="Times New Roman" w:hAnsi="Times New Roman"/>
          <w:color w:val="000000"/>
          <w:sz w:val="27"/>
        </w:rPr>
        <w:t>Art. R.5232-22 – Ponowne naruszenie przepisów art. R.5232-21 będzie karane zgodnie z art. 132-11 i 132-15 kodeksu karnego.”</w:t>
      </w:r>
    </w:p>
    <w:p w14:paraId="39654F8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2</w:t>
      </w:r>
    </w:p>
    <w:p w14:paraId="7EA96E25"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Niniejszy dekret wchodzi w życie z dniem 1 stycznia 2022 r.</w:t>
      </w:r>
    </w:p>
    <w:p w14:paraId="44F37BCD"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3</w:t>
      </w:r>
    </w:p>
    <w:p w14:paraId="4BE132C6"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Za wykonanie niniejszego dekretu, który zostanie opublikowany w Dzienniku Urzędowym Republiki Francuskiej, odpowiadają, każdy w zakresie swoich właściwości, Minister Transformacji Ekologicznej, Minister Sprawiedliwości oraz Minister Solidarności i Zdrowia.</w:t>
      </w:r>
    </w:p>
    <w:p w14:paraId="1965C4D4"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Sporządzono dnia 23 sierpnia 2021 r.</w:t>
      </w:r>
    </w:p>
    <w:p w14:paraId="703CA5E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Jean Castex</w:t>
      </w:r>
      <w:r>
        <w:rPr>
          <w:rFonts w:ascii="Times New Roman" w:hAnsi="Times New Roman"/>
          <w:color w:val="000000"/>
          <w:sz w:val="27"/>
        </w:rPr>
        <w:br/>
        <w:t>Z upoważnienia Premiera:</w:t>
      </w:r>
    </w:p>
    <w:p w14:paraId="61B53AD3" w14:textId="68E28024"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 Transformacji Ekologicznej</w:t>
      </w:r>
      <w:r w:rsidR="00FB444B">
        <w:rPr>
          <w:rFonts w:ascii="Times New Roman" w:hAnsi="Times New Roman"/>
          <w:color w:val="000000"/>
          <w:sz w:val="27"/>
        </w:rPr>
        <w:t>,</w:t>
      </w:r>
      <w:r>
        <w:rPr>
          <w:rFonts w:ascii="Times New Roman" w:hAnsi="Times New Roman"/>
          <w:color w:val="000000"/>
          <w:sz w:val="27"/>
        </w:rPr>
        <w:br/>
        <w:t>Barbara POMPILI</w:t>
      </w:r>
    </w:p>
    <w:p w14:paraId="009E9B94" w14:textId="545AC9EE"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 Sprawiedliwości</w:t>
      </w:r>
      <w:r w:rsidR="00FB444B">
        <w:rPr>
          <w:rFonts w:ascii="Times New Roman" w:hAnsi="Times New Roman"/>
          <w:color w:val="000000"/>
          <w:sz w:val="27"/>
        </w:rPr>
        <w:t>,</w:t>
      </w:r>
      <w:r>
        <w:rPr>
          <w:rFonts w:ascii="Times New Roman" w:hAnsi="Times New Roman"/>
          <w:color w:val="000000"/>
          <w:sz w:val="27"/>
        </w:rPr>
        <w:br/>
        <w:t>Éric Dupond-Moretti</w:t>
      </w:r>
    </w:p>
    <w:p w14:paraId="5FC337F5" w14:textId="3A019C08"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 Solidarności i Zdrowia</w:t>
      </w:r>
      <w:r w:rsidR="00FB444B">
        <w:rPr>
          <w:rFonts w:ascii="Times New Roman" w:hAnsi="Times New Roman"/>
          <w:color w:val="000000"/>
          <w:sz w:val="27"/>
        </w:rPr>
        <w:t>,</w:t>
      </w:r>
      <w:r>
        <w:rPr>
          <w:rFonts w:ascii="Times New Roman" w:hAnsi="Times New Roman"/>
          <w:color w:val="000000"/>
          <w:sz w:val="27"/>
        </w:rPr>
        <w:br/>
        <w:t>Olivier VERAN</w:t>
      </w:r>
    </w:p>
    <w:p w14:paraId="5F469EE0" w14:textId="77777777" w:rsidR="00B026BB" w:rsidRDefault="00B026BB"/>
    <w:sectPr w:rsidR="00B02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9D"/>
    <w:rsid w:val="00840AF1"/>
    <w:rsid w:val="00B026BB"/>
    <w:rsid w:val="00D8319D"/>
    <w:rsid w:val="00FB44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ADE9"/>
  <w15:chartTrackingRefBased/>
  <w15:docId w15:val="{43535567-19CF-442F-AF98-2A79B775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1363</Words>
  <Characters>9207</Characters>
  <Application>Microsoft Office Word</Application>
  <DocSecurity>0</DocSecurity>
  <Lines>191</Lines>
  <Paragraphs>25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2022-02-11T12:17:00Z</dcterms:created>
  <dcterms:modified xsi:type="dcterms:W3CDTF">2022-02-11T12:17:00Z</dcterms:modified>
</cp:coreProperties>
</file>