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82" w:type="dxa"/>
        <w:tblCellMar>
          <w:top w:w="57" w:type="dxa"/>
          <w:left w:w="57" w:type="dxa"/>
          <w:bottom w:w="57" w:type="dxa"/>
          <w:right w:w="57" w:type="dxa"/>
        </w:tblCellMar>
        <w:tblLook w:val="04A0" w:firstRow="1" w:lastRow="0" w:firstColumn="1" w:lastColumn="0" w:noHBand="0" w:noVBand="1"/>
      </w:tblPr>
      <w:tblGrid>
        <w:gridCol w:w="1527"/>
        <w:gridCol w:w="968"/>
        <w:gridCol w:w="1487"/>
      </w:tblGrid>
      <w:tr w:rsidR="00FB6E53" w14:paraId="5CD3FC2E" w14:textId="77777777" w:rsidTr="00FD3014">
        <w:trPr>
          <w:cantSplit/>
        </w:trPr>
        <w:tc>
          <w:tcPr>
            <w:tcW w:w="3982" w:type="dxa"/>
            <w:gridSpan w:val="3"/>
            <w:shd w:val="clear" w:color="auto" w:fill="auto"/>
          </w:tcPr>
          <w:p w14:paraId="2CE15DB0" w14:textId="77777777" w:rsidR="00FB6E53" w:rsidRDefault="00FB6E53" w:rsidP="00FD3014">
            <w:pPr>
              <w:pStyle w:val="SNREPUBLIQUE"/>
            </w:pPr>
            <w:r>
              <w:t xml:space="preserve">DEN FRANSKE REPUBLIK</w:t>
            </w:r>
          </w:p>
        </w:tc>
      </w:tr>
      <w:tr w:rsidR="00FB6E53" w14:paraId="539E9BB1" w14:textId="77777777" w:rsidTr="00FD3014">
        <w:trPr>
          <w:cantSplit/>
          <w:trHeight w:hRule="exact" w:val="113"/>
        </w:trPr>
        <w:tc>
          <w:tcPr>
            <w:tcW w:w="1527" w:type="dxa"/>
            <w:shd w:val="clear" w:color="auto" w:fill="auto"/>
          </w:tcPr>
          <w:p w14:paraId="4B7E6958" w14:textId="77777777" w:rsidR="00FB6E53" w:rsidRDefault="00FB6E53" w:rsidP="00FD3014">
            <w:pPr>
              <w:snapToGrid w:val="0"/>
              <w:rPr>
                <w:rFonts w:cs="Tahoma"/>
              </w:rPr>
            </w:pPr>
          </w:p>
        </w:tc>
        <w:tc>
          <w:tcPr>
            <w:tcW w:w="968" w:type="dxa"/>
            <w:tcBorders>
              <w:bottom w:val="single" w:sz="2" w:space="0" w:color="000000"/>
            </w:tcBorders>
            <w:shd w:val="clear" w:color="auto" w:fill="auto"/>
          </w:tcPr>
          <w:p w14:paraId="4B9C3FBE" w14:textId="77777777" w:rsidR="00FB6E53" w:rsidRDefault="00FB6E53" w:rsidP="00FD3014">
            <w:pPr>
              <w:snapToGrid w:val="0"/>
              <w:rPr>
                <w:rFonts w:cs="Tahoma"/>
              </w:rPr>
            </w:pPr>
          </w:p>
        </w:tc>
        <w:tc>
          <w:tcPr>
            <w:tcW w:w="1487" w:type="dxa"/>
            <w:shd w:val="clear" w:color="auto" w:fill="auto"/>
          </w:tcPr>
          <w:p w14:paraId="44462FA5" w14:textId="77777777" w:rsidR="00FB6E53" w:rsidRDefault="00FB6E53" w:rsidP="00FD3014">
            <w:pPr>
              <w:snapToGrid w:val="0"/>
              <w:rPr>
                <w:rFonts w:cs="Tahoma"/>
              </w:rPr>
            </w:pPr>
          </w:p>
        </w:tc>
      </w:tr>
      <w:tr w:rsidR="00FB6E53" w14:paraId="594C5F7F" w14:textId="77777777" w:rsidTr="00FD3014">
        <w:trPr>
          <w:cantSplit/>
        </w:trPr>
        <w:tc>
          <w:tcPr>
            <w:tcW w:w="3982" w:type="dxa"/>
            <w:gridSpan w:val="3"/>
            <w:shd w:val="clear" w:color="auto" w:fill="auto"/>
          </w:tcPr>
          <w:p w14:paraId="06C7AB79" w14:textId="77777777" w:rsidR="00FB6E53" w:rsidRDefault="00FB6E53" w:rsidP="00FD3014">
            <w:pPr>
              <w:pStyle w:val="SNTimbre"/>
            </w:pPr>
            <w:r>
              <w:t xml:space="preserve">Ministeriet for økologisk omstilling</w:t>
            </w:r>
          </w:p>
          <w:p w14:paraId="3509F017" w14:textId="77777777" w:rsidR="00FB6E53" w:rsidRDefault="00FB6E53" w:rsidP="00FD3014">
            <w:pPr>
              <w:pStyle w:val="SNTimbre"/>
            </w:pPr>
          </w:p>
        </w:tc>
      </w:tr>
      <w:tr w:rsidR="00FB6E53" w14:paraId="325B9B32" w14:textId="77777777" w:rsidTr="00FD3014">
        <w:trPr>
          <w:cantSplit/>
          <w:trHeight w:hRule="exact" w:val="227"/>
        </w:trPr>
        <w:tc>
          <w:tcPr>
            <w:tcW w:w="1527" w:type="dxa"/>
            <w:shd w:val="clear" w:color="auto" w:fill="auto"/>
          </w:tcPr>
          <w:p w14:paraId="61F86D5E" w14:textId="77777777" w:rsidR="00FB6E53" w:rsidRDefault="00FB6E53" w:rsidP="00FD3014">
            <w:pPr>
              <w:snapToGrid w:val="0"/>
            </w:pPr>
          </w:p>
        </w:tc>
        <w:tc>
          <w:tcPr>
            <w:tcW w:w="968" w:type="dxa"/>
            <w:tcBorders>
              <w:bottom w:val="single" w:sz="2" w:space="0" w:color="000000"/>
            </w:tcBorders>
            <w:shd w:val="clear" w:color="auto" w:fill="auto"/>
          </w:tcPr>
          <w:p w14:paraId="12888E03" w14:textId="77777777" w:rsidR="00FB6E53" w:rsidRDefault="00FB6E53" w:rsidP="00FD3014">
            <w:pPr>
              <w:snapToGrid w:val="0"/>
            </w:pPr>
          </w:p>
        </w:tc>
        <w:tc>
          <w:tcPr>
            <w:tcW w:w="1487" w:type="dxa"/>
            <w:shd w:val="clear" w:color="auto" w:fill="auto"/>
          </w:tcPr>
          <w:p w14:paraId="1BBCBAEB" w14:textId="77777777" w:rsidR="00FB6E53" w:rsidRDefault="00FB6E53" w:rsidP="00FD3014">
            <w:pPr>
              <w:snapToGrid w:val="0"/>
            </w:pPr>
          </w:p>
        </w:tc>
      </w:tr>
      <w:tr w:rsidR="00FB6E53" w14:paraId="685B030A" w14:textId="77777777" w:rsidTr="00FD3014">
        <w:trPr>
          <w:cantSplit/>
          <w:trHeight w:hRule="exact" w:val="227"/>
        </w:trPr>
        <w:tc>
          <w:tcPr>
            <w:tcW w:w="1527" w:type="dxa"/>
            <w:shd w:val="clear" w:color="auto" w:fill="auto"/>
          </w:tcPr>
          <w:p w14:paraId="7F5D8E20" w14:textId="77777777" w:rsidR="00FB6E53" w:rsidRDefault="00FB6E53" w:rsidP="00FD3014">
            <w:pPr>
              <w:snapToGrid w:val="0"/>
            </w:pPr>
          </w:p>
        </w:tc>
        <w:tc>
          <w:tcPr>
            <w:tcW w:w="968" w:type="dxa"/>
            <w:shd w:val="clear" w:color="auto" w:fill="auto"/>
          </w:tcPr>
          <w:p w14:paraId="43224DF9" w14:textId="77777777" w:rsidR="00FB6E53" w:rsidRDefault="00FB6E53" w:rsidP="00FD3014">
            <w:pPr>
              <w:snapToGrid w:val="0"/>
            </w:pPr>
          </w:p>
        </w:tc>
        <w:tc>
          <w:tcPr>
            <w:tcW w:w="1487" w:type="dxa"/>
            <w:shd w:val="clear" w:color="auto" w:fill="auto"/>
          </w:tcPr>
          <w:p w14:paraId="1616161D" w14:textId="77777777" w:rsidR="00FB6E53" w:rsidRDefault="00FB6E53" w:rsidP="00FD3014">
            <w:pPr>
              <w:snapToGrid w:val="0"/>
            </w:pPr>
          </w:p>
        </w:tc>
      </w:tr>
    </w:tbl>
    <w:p w14:paraId="069092CB" w14:textId="77777777" w:rsidR="00FB6E53" w:rsidRDefault="00FB6E53" w:rsidP="00FB6E53">
      <w:pPr>
        <w:pStyle w:val="SNNature"/>
      </w:pPr>
      <w:r>
        <w:t xml:space="preserve">Dekret nr. 2022-...</w:t>
      </w:r>
      <w:r>
        <w:t xml:space="preserve">                         </w:t>
      </w:r>
      <w:r>
        <w:t xml:space="preserve">af...</w:t>
      </w:r>
    </w:p>
    <w:p w14:paraId="735C2865" w14:textId="77777777" w:rsidR="00FB6E53" w:rsidRDefault="00902234" w:rsidP="00FB6E53">
      <w:pPr>
        <w:pStyle w:val="SNtitre"/>
      </w:pPr>
      <w:r>
        <w:t xml:space="preserve">om CO</w:t>
      </w:r>
      <w:r>
        <w:rPr>
          <w:vertAlign w:val="subscript"/>
        </w:rPr>
        <w:t xml:space="preserve">2</w:t>
      </w:r>
      <w:r>
        <w:t xml:space="preserve">-kompensation og påstande om kulstofneutralitet i reklamer</w:t>
      </w:r>
    </w:p>
    <w:p w14:paraId="3186A2CD" w14:textId="77777777" w:rsidR="00FB6E53" w:rsidRDefault="00FB6E53" w:rsidP="00FB6E53">
      <w:pPr>
        <w:pStyle w:val="SNNORCentr"/>
        <w:rPr>
          <w:i/>
        </w:rPr>
      </w:pPr>
      <w:r>
        <w:t xml:space="preserve">NOR:</w:t>
      </w:r>
      <w:r>
        <w:t xml:space="preserve"> </w:t>
      </w:r>
      <w:r>
        <w:t xml:space="preserve">[…]</w:t>
      </w:r>
    </w:p>
    <w:p w14:paraId="152072E9" w14:textId="77777777" w:rsidR="00FB6E53" w:rsidRPr="002808A7" w:rsidRDefault="00FB6E53" w:rsidP="00FB6E53">
      <w:pPr>
        <w:pStyle w:val="SNAutorit"/>
        <w:jc w:val="both"/>
        <w:rPr>
          <w:b w:val="0"/>
          <w:i/>
        </w:rPr>
      </w:pPr>
      <w:r>
        <w:rPr>
          <w:i/>
        </w:rPr>
        <w:t xml:space="preserve">Målgruppe:</w:t>
      </w:r>
      <w:r>
        <w:rPr>
          <w:i/>
          <w:b w:val="0"/>
        </w:rPr>
        <w:t xml:space="preserve"> </w:t>
      </w:r>
      <w:r>
        <w:rPr>
          <w:i/>
          <w:b w:val="0"/>
        </w:rPr>
        <w:t xml:space="preserve">Annoncører</w:t>
      </w:r>
      <w:r>
        <w:rPr>
          <w:i/>
          <w:b w:val="0"/>
        </w:rPr>
        <w:t xml:space="preserve"> </w:t>
      </w:r>
    </w:p>
    <w:p w14:paraId="18E4FF5B" w14:textId="77777777" w:rsidR="00FB6E53" w:rsidRPr="002808A7" w:rsidRDefault="00FB6E53" w:rsidP="00FB6E53">
      <w:pPr>
        <w:pStyle w:val="SNAutorit"/>
        <w:spacing w:before="120"/>
        <w:jc w:val="both"/>
        <w:rPr>
          <w:i/>
        </w:rPr>
      </w:pPr>
      <w:r>
        <w:rPr>
          <w:i/>
        </w:rPr>
        <w:t xml:space="preserve">Emne: </w:t>
      </w:r>
      <w:r>
        <w:rPr>
          <w:i/>
          <w:b w:val="0"/>
        </w:rPr>
        <w:t xml:space="preserve">anvendelse af artikel 12 i lov nr. 2021-1104 af 22. august 2021 om bekæmpelse af klimaændringer og styrkelse af modstandsdygtigheden over for virkningerne heraf.</w:t>
      </w:r>
    </w:p>
    <w:p w14:paraId="24250E11" w14:textId="77777777" w:rsidR="00FB6E53" w:rsidRPr="00AC1942" w:rsidRDefault="00FB6E53" w:rsidP="00FB6E53">
      <w:pPr>
        <w:pStyle w:val="SNAutorit"/>
        <w:spacing w:before="120"/>
        <w:jc w:val="both"/>
        <w:rPr>
          <w:i/>
        </w:rPr>
      </w:pPr>
      <w:r>
        <w:rPr>
          <w:i/>
        </w:rPr>
        <w:t xml:space="preserve">Ikrafttræden: </w:t>
      </w:r>
      <w:r>
        <w:rPr>
          <w:i/>
          <w:b w:val="0"/>
        </w:rPr>
        <w:t xml:space="preserve">Teksten træder i kraft dagen efter offentliggørelsen med undtagelse af artikel 2 og 3, som træder i kraft den 1. januar 2023.</w:t>
      </w:r>
    </w:p>
    <w:p w14:paraId="3C996B02" w14:textId="77777777" w:rsidR="00FB6E53" w:rsidRPr="009F1E9F" w:rsidRDefault="009F1E9F" w:rsidP="009F1E9F">
      <w:pPr>
        <w:pStyle w:val="SNAutorit"/>
        <w:spacing w:before="120"/>
        <w:jc w:val="both"/>
        <w:rPr>
          <w:b w:val="0"/>
          <w:i/>
        </w:rPr>
      </w:pPr>
      <w:r>
        <w:rPr>
          <w:i/>
        </w:rPr>
        <w:t xml:space="preserve">Meddelelse:</w:t>
      </w:r>
      <w:r>
        <w:rPr>
          <w:i/>
        </w:rPr>
        <w:t xml:space="preserve"> </w:t>
      </w:r>
      <w:r>
        <w:rPr>
          <w:i/>
          <w:b w:val="0"/>
        </w:rPr>
        <w:t xml:space="preserve">Dette dekret fastsætter procedurerne for annoncørernes kommunikation af de oplysninger, der er omhandlet i artikel 12 i ovennævnte lov nr. 2021-1104.</w:t>
      </w:r>
      <w:r>
        <w:rPr>
          <w:i/>
          <w:b w:val="0"/>
        </w:rPr>
        <w:t xml:space="preserve"> </w:t>
      </w:r>
      <w:r>
        <w:rPr>
          <w:i/>
          <w:b w:val="0"/>
        </w:rPr>
        <w:t xml:space="preserve">Det gælder for alle reklamer, der udsendes, efter at teksten er trådt i kraft.</w:t>
      </w:r>
      <w:r>
        <w:rPr>
          <w:i/>
        </w:rPr>
        <w:t xml:space="preserve"> </w:t>
      </w:r>
    </w:p>
    <w:p w14:paraId="64AAF47B" w14:textId="77777777" w:rsidR="00FB6E53" w:rsidRDefault="00FB6E53" w:rsidP="00FB6E53">
      <w:pPr>
        <w:pStyle w:val="SNAutorit"/>
        <w:spacing w:before="120"/>
        <w:jc w:val="both"/>
      </w:pPr>
      <w:r>
        <w:rPr>
          <w:i/>
        </w:rPr>
        <w:t xml:space="preserve">Henvisninger: </w:t>
      </w:r>
      <w:r>
        <w:rPr>
          <w:i/>
          <w:b w:val="0"/>
        </w:rPr>
        <w:t xml:space="preserve">Bestemmelserne i dekretet vedtages med henblik på anvendelse af artikel 12 i lov nr. 2021-1104 af 22. august 2021 om bekæmpelse af klimaændringer og styrkelse af modstandsdygtigheden over for virkningerne heraf.</w:t>
      </w:r>
      <w:r>
        <w:rPr>
          <w:i/>
          <w:b w:val="0"/>
        </w:rPr>
        <w:t xml:space="preserve"> </w:t>
      </w:r>
      <w:r>
        <w:rPr>
          <w:i/>
          <w:b w:val="0"/>
        </w:rPr>
        <w:t xml:space="preserve">Denne lov og dekret kan findes på Légifrances websted (http://www.legifrance.gouv.fr).</w:t>
      </w:r>
    </w:p>
    <w:p w14:paraId="0D71FAD6" w14:textId="77777777" w:rsidR="00FB6E53" w:rsidRDefault="00FB6E53" w:rsidP="00FB6E53">
      <w:pPr>
        <w:pStyle w:val="SNAutorit"/>
      </w:pPr>
      <w:r>
        <w:t xml:space="preserve">Premierministeren har,</w:t>
      </w:r>
    </w:p>
    <w:p w14:paraId="68B0A9A6" w14:textId="77777777" w:rsidR="00FB6E53" w:rsidRDefault="00FB6E53" w:rsidP="00FB6E53">
      <w:pPr>
        <w:pStyle w:val="SNRapport"/>
      </w:pPr>
      <w:r>
        <w:t xml:space="preserve">på grundlag af rapporten fra ministeren for økologisk omstilling,</w:t>
      </w:r>
    </w:p>
    <w:p w14:paraId="5C693133" w14:textId="77777777" w:rsidR="0099494E" w:rsidRPr="0099494E" w:rsidRDefault="0099494E" w:rsidP="001E3BBD">
      <w:pPr>
        <w:pStyle w:val="SNRapport"/>
        <w:ind w:left="708" w:firstLine="12"/>
      </w:pPr>
      <w:r>
        <w:t xml:space="preserve">under henvisning til Europa-Parlamentets og Rådets direktiv (EU) 2015/1535 af 9. september 2015 om en informationsprocedure med hensyn til tekniske forskrifter samt forskrifter for informationssamfundets tjenester (kodificeret tekst), navnlig meddelelse nr...,</w:t>
      </w:r>
    </w:p>
    <w:p w14:paraId="4A9160F2" w14:textId="77777777" w:rsidR="008C2EFB" w:rsidRDefault="008C2EFB" w:rsidP="00FB6E53">
      <w:pPr>
        <w:pStyle w:val="SNRapport"/>
      </w:pPr>
      <w:r>
        <w:t xml:space="preserve">under henvisning til miljøloven,</w:t>
      </w:r>
    </w:p>
    <w:p w14:paraId="46410193" w14:textId="77777777" w:rsidR="00FB6E53" w:rsidRDefault="00FB6E53" w:rsidP="00FB6E53">
      <w:pPr>
        <w:pStyle w:val="SNVisa"/>
        <w:ind w:left="708" w:firstLine="12"/>
      </w:pPr>
      <w:r>
        <w:t xml:space="preserve">under henvisning til lov nr. 2021-1104 af 22. august 2021 om bekæmpelse af klimaændringer og styrkelse af modstandsdygtigheden over for virkningerne heraf, særlig artikel 12 og 147,</w:t>
      </w:r>
    </w:p>
    <w:p w14:paraId="46E64030" w14:textId="77777777" w:rsidR="00DA728B" w:rsidRDefault="00DA728B" w:rsidP="00DA728B">
      <w:pPr>
        <w:pStyle w:val="SNVisa"/>
        <w:ind w:left="708" w:firstLine="12"/>
        <w:jc w:val="both"/>
      </w:pPr>
      <w:r>
        <w:t xml:space="preserve">under henvisning til dekret nr. 97-1198 af 19. december 1997 om gennemførelse af artikel 2, stk. 1, i dekret nr. 97-34 af 15. januar 1997 om dekoncentration af individuelle administrative afgørelser til ministrene med ansvar for økologisk og solidarisk omstilling, territorial samhørighed og forbindelserne med de lokale og regionale myndigheder,</w:t>
      </w:r>
    </w:p>
    <w:p w14:paraId="0A395ED6" w14:textId="77777777" w:rsidR="00FB6E53" w:rsidRPr="00FB6E53" w:rsidRDefault="00FB6E53" w:rsidP="00FB6E53">
      <w:pPr>
        <w:pStyle w:val="SNVisa"/>
        <w:ind w:left="708" w:firstLine="12"/>
      </w:pPr>
      <w:r>
        <w:t xml:space="preserve">under henvisning til dekret nr. 2020-457 af 21. april 2020 om nationale kulstofbudgetter og den nationale lavemissionsstrategi,</w:t>
      </w:r>
    </w:p>
    <w:p w14:paraId="55F7F2B6" w14:textId="77777777" w:rsidR="00FB6E53" w:rsidRDefault="00FB6E53" w:rsidP="00FB6E53">
      <w:pPr>
        <w:pStyle w:val="SNVisa"/>
        <w:ind w:left="708" w:firstLine="12"/>
      </w:pPr>
      <w:r>
        <w:t xml:space="preserve">under henvisning til de observationer, der blev fremsat under den offentlige høring, der blev gennemført mellem den ... og den ..., i henhold til miljølovens artikel L. 123-19-1,</w:t>
      </w:r>
    </w:p>
    <w:p w14:paraId="24270816" w14:textId="77777777" w:rsidR="007B2607" w:rsidRPr="00975B1D" w:rsidRDefault="007B2607" w:rsidP="007B2607">
      <w:pPr>
        <w:pStyle w:val="SNVisa"/>
        <w:ind w:left="708" w:firstLine="12"/>
      </w:pPr>
      <w:r>
        <w:t xml:space="preserve">efter at have hørt statsrådet,</w:t>
      </w:r>
    </w:p>
    <w:p w14:paraId="086DF0EA" w14:textId="77777777" w:rsidR="007B2607" w:rsidRDefault="007B2607" w:rsidP="00FB6E53">
      <w:pPr>
        <w:pStyle w:val="SNVisa"/>
        <w:ind w:left="708" w:firstLine="12"/>
        <w:rPr>
          <w:lang w:eastAsia="fr-FR"/>
        </w:rPr>
      </w:pPr>
    </w:p>
    <w:p w14:paraId="7CBFE7F8" w14:textId="77777777" w:rsidR="00E075D6" w:rsidRPr="00FB6E53" w:rsidRDefault="00E075D6" w:rsidP="00FB6E53">
      <w:pPr>
        <w:pStyle w:val="SNVisa"/>
        <w:ind w:left="708" w:firstLine="12"/>
        <w:rPr>
          <w:lang w:eastAsia="fr-FR"/>
        </w:rPr>
      </w:pPr>
    </w:p>
    <w:p w14:paraId="69330050" w14:textId="77777777" w:rsidR="00FB6E53" w:rsidRDefault="00FB6E53" w:rsidP="00FB6E53">
      <w:pPr>
        <w:pStyle w:val="SNActe"/>
      </w:pPr>
      <w:r>
        <w:t xml:space="preserve">udstedt følgende dekret:</w:t>
      </w:r>
    </w:p>
    <w:p w14:paraId="649FFA91" w14:textId="77777777" w:rsidR="00FB6E53" w:rsidRDefault="00FB6E53" w:rsidP="00FB6E53">
      <w:pPr>
        <w:jc w:val="both"/>
        <w:rPr>
          <w:color w:val="000000"/>
        </w:rPr>
      </w:pPr>
    </w:p>
    <w:p w14:paraId="685C7007" w14:textId="77777777" w:rsidR="007B2607" w:rsidRPr="007C21D8" w:rsidRDefault="007B2607" w:rsidP="007B2607">
      <w:pPr>
        <w:pStyle w:val="SNArticle"/>
      </w:pPr>
      <w:r>
        <w:t xml:space="preserve">Artikel 1</w:t>
      </w:r>
    </w:p>
    <w:p w14:paraId="3D42B733" w14:textId="77777777" w:rsidR="007B2607" w:rsidRPr="007C21D8" w:rsidRDefault="007B2607" w:rsidP="007B2607">
      <w:pPr>
        <w:jc w:val="both"/>
      </w:pPr>
      <w:r>
        <w:t xml:space="preserve">I miljølovens bog II, afsnit II, kapitel IX, indsættes følgende afdeling 7:</w:t>
      </w:r>
    </w:p>
    <w:p w14:paraId="437B06A1" w14:textId="77777777" w:rsidR="007B2607" w:rsidRPr="007C21D8" w:rsidRDefault="007B2607" w:rsidP="007B2607">
      <w:pPr>
        <w:jc w:val="both"/>
      </w:pPr>
    </w:p>
    <w:p w14:paraId="61BA25EE" w14:textId="77777777" w:rsidR="007B2607" w:rsidRPr="00175048" w:rsidRDefault="007B2607" w:rsidP="007B2607">
      <w:r>
        <w:t xml:space="preserve">”Afdeling 7</w:t>
      </w:r>
      <w:r>
        <w:t xml:space="preserve">:</w:t>
      </w:r>
      <w:r>
        <w:t xml:space="preserve"> </w:t>
      </w:r>
      <w:r>
        <w:t xml:space="preserve">Emissionsreduktioner fra kompensationsprojekter af drivhusgasemissioner</w:t>
      </w:r>
    </w:p>
    <w:p w14:paraId="3D4DF454" w14:textId="77777777" w:rsidR="007B2607" w:rsidRDefault="007B2607" w:rsidP="007B2607"/>
    <w:p w14:paraId="72A2FE53" w14:textId="77777777" w:rsidR="007B2607" w:rsidRDefault="007B2607" w:rsidP="007B2607">
      <w:pPr>
        <w:jc w:val="both"/>
      </w:pPr>
      <w:r>
        <w:t xml:space="preserve">Artikel R. 229-103.- Principperne i artikel L. 229-55 skal overholde følgende gennemførelsesbestemmelser:</w:t>
      </w:r>
    </w:p>
    <w:p w14:paraId="72039EC0" w14:textId="77777777" w:rsidR="007B2607" w:rsidRDefault="007B2607" w:rsidP="007B2607">
      <w:pPr>
        <w:jc w:val="both"/>
      </w:pPr>
    </w:p>
    <w:p w14:paraId="0FEE1B79" w14:textId="77777777" w:rsidR="007B2607" w:rsidRDefault="007B2607" w:rsidP="007B2607">
      <w:pPr>
        <w:spacing w:after="160" w:line="259" w:lineRule="auto"/>
        <w:jc w:val="both"/>
      </w:pPr>
      <w:r>
        <w:t xml:space="preserve">Målbar karakter: de drivhusgasemissioner, der undgås eller bindes gennem projekter, kvantificeres på grundlag af en gennemsigtig, offentligt tilgængelig metode.</w:t>
      </w:r>
      <w:r>
        <w:t xml:space="preserve"> </w:t>
      </w:r>
      <w:r>
        <w:t xml:space="preserve">Kvantificeringsmetoden er baseret på den seneste videnskabelige og tekniske viden.</w:t>
      </w:r>
      <w:r>
        <w:t xml:space="preserve"> </w:t>
      </w:r>
      <w:r>
        <w:t xml:space="preserve">Måledata er klart dokumenteret og kan verificeres.</w:t>
      </w:r>
      <w:r>
        <w:t xml:space="preserve"> </w:t>
      </w:r>
      <w:r>
        <w:t xml:space="preserve">Den metode, som kompensationsprojektet henviser til, definerer et basisscenario, som de emissionsreduktioner, der genereres af projektet, beregnes ud fra.</w:t>
      </w:r>
      <w:r>
        <w:t xml:space="preserve"> </w:t>
      </w:r>
      <w:r>
        <w:t xml:space="preserve">Basisscenariet skal være projektdækkende og afspejle en nylig tendens i drivhusgasemissionerne og anvendelsen af eksisterende bedste praksis.</w:t>
      </w:r>
    </w:p>
    <w:p w14:paraId="3CA09DD7" w14:textId="77777777" w:rsidR="007B2607" w:rsidRPr="00416C68" w:rsidRDefault="007B2607" w:rsidP="007B2607">
      <w:pPr>
        <w:spacing w:after="160" w:line="259" w:lineRule="auto"/>
        <w:jc w:val="both"/>
      </w:pPr>
      <w:r>
        <w:t xml:space="preserve">Verificerbar karakter: de undgåede eller bundne drivhusgasemissioner verificeres af en revisor, der er uafhængig af projektsponsoren.</w:t>
      </w:r>
      <w:r>
        <w:t xml:space="preserve"> </w:t>
      </w:r>
      <w:r>
        <w:t xml:space="preserve">På grundlag af dokumentkontrol eller in situ-kontrol validerer revisoren den reduktion af drivhusgasemissionerne, der kan opnås ved de foranstaltninger, der gennemføres i projektets løbetid.</w:t>
      </w:r>
    </w:p>
    <w:p w14:paraId="78D41360" w14:textId="77777777" w:rsidR="007B2607" w:rsidRPr="00416C68" w:rsidRDefault="007B2607" w:rsidP="007B2607">
      <w:pPr>
        <w:spacing w:after="160" w:line="259" w:lineRule="auto"/>
        <w:jc w:val="both"/>
      </w:pPr>
      <w:r>
        <w:t xml:space="preserve">Permanent karakter: de drivhusgasemissioner, der undgås eller bindes gennem kompensationsprojekter, undgås permanent.</w:t>
      </w:r>
      <w:r>
        <w:t xml:space="preserve"> </w:t>
      </w:r>
      <w:r>
        <w:t xml:space="preserve">Hvis det er relevant, tages der hensyn til risikoen for manglende vedligeholdelse ved hjælp af kvantificeringsmetoden.</w:t>
      </w:r>
    </w:p>
    <w:p w14:paraId="7AF834A5" w14:textId="77777777" w:rsidR="007B2607" w:rsidRDefault="007B2607" w:rsidP="007B2607">
      <w:pPr>
        <w:spacing w:after="160" w:line="259" w:lineRule="auto"/>
        <w:jc w:val="both"/>
      </w:pPr>
      <w:r>
        <w:t xml:space="preserve">Yderligere karakter: kompensationsprojekterne kunne ikke være blevet gennemført uden øremærket finansiering under hensyntagen til eksisterende økonomiske incitamenter, god praksis og de gældende forpligtelser.</w:t>
      </w:r>
    </w:p>
    <w:p w14:paraId="1F089800" w14:textId="77777777" w:rsidR="007B2607" w:rsidRDefault="007B2607" w:rsidP="007B2607">
      <w:pPr>
        <w:spacing w:after="160" w:line="259" w:lineRule="auto"/>
        <w:jc w:val="both"/>
      </w:pPr>
    </w:p>
    <w:p w14:paraId="27BC0DCB" w14:textId="77777777" w:rsidR="007B2607" w:rsidRPr="00416C68" w:rsidRDefault="007B2607" w:rsidP="007B2607">
      <w:pPr>
        <w:spacing w:after="160" w:line="259" w:lineRule="auto"/>
        <w:jc w:val="both"/>
      </w:pPr>
      <w:r>
        <w:t xml:space="preserve">Artikel R. 229-104.- Kompensationsprojekter skal overholde princippet om gennemsigtighed.</w:t>
      </w:r>
      <w:r>
        <w:t xml:space="preserve"> </w:t>
      </w:r>
      <w:r>
        <w:t xml:space="preserve">Den metode, som kompensationsprojektet henviser til, og projektets beskrivende elementer, navnlig med hensyn til identifikation, placering og opgørelse af reduktioner af drivhusgasemissioner, skal være offentligt tilgængelig og let tilgængelig."</w:t>
      </w:r>
    </w:p>
    <w:p w14:paraId="7469FDC2" w14:textId="77777777" w:rsidR="007B2607" w:rsidRDefault="007B2607" w:rsidP="00FB6E53">
      <w:pPr>
        <w:pStyle w:val="SNArticle"/>
        <w:rPr>
          <w:bCs/>
        </w:rPr>
      </w:pPr>
    </w:p>
    <w:p w14:paraId="2138F397" w14:textId="77777777" w:rsidR="00FB6E53" w:rsidRDefault="00FB6E53" w:rsidP="00FB6E53">
      <w:pPr>
        <w:pStyle w:val="SNArticle"/>
        <w:rPr>
          <w:bCs/>
        </w:rPr>
      </w:pPr>
      <w:r>
        <w:t xml:space="preserve">Artikel 2</w:t>
      </w:r>
    </w:p>
    <w:p w14:paraId="20E5A1ED" w14:textId="77777777" w:rsidR="002C342A" w:rsidRDefault="002C342A" w:rsidP="002C342A">
      <w:pPr>
        <w:pStyle w:val="BodyText"/>
      </w:pPr>
      <w:r>
        <w:t xml:space="preserve">Miljølovens bog II, afsnit II, kapitel IX, suppleres med afdeling 9 som følger:</w:t>
      </w:r>
    </w:p>
    <w:p w14:paraId="2481D22C" w14:textId="77777777" w:rsidR="002C342A" w:rsidRPr="00163F8A" w:rsidRDefault="002C342A" w:rsidP="002C342A">
      <w:pPr>
        <w:pStyle w:val="BodyText"/>
        <w:jc w:val="center"/>
        <w:rPr>
          <w:i/>
        </w:rPr>
      </w:pPr>
      <w:r>
        <w:rPr>
          <w:i/>
        </w:rPr>
        <w:t xml:space="preserve">”Afdeling 9</w:t>
      </w:r>
    </w:p>
    <w:p w14:paraId="2368A9FE" w14:textId="77777777" w:rsidR="002C342A" w:rsidRPr="00163F8A" w:rsidRDefault="002C342A" w:rsidP="002C342A">
      <w:pPr>
        <w:pStyle w:val="BodyText"/>
        <w:jc w:val="center"/>
        <w:rPr>
          <w:i/>
        </w:rPr>
      </w:pPr>
      <w:r>
        <w:rPr>
          <w:i/>
        </w:rPr>
        <w:t xml:space="preserve">"Miljøpåstande"</w:t>
      </w:r>
    </w:p>
    <w:p w14:paraId="014E3E1C" w14:textId="77777777" w:rsidR="002C342A" w:rsidRPr="007B2607" w:rsidRDefault="002C342A" w:rsidP="00FB6E53">
      <w:pPr>
        <w:pStyle w:val="BodyText"/>
        <w:spacing w:after="0"/>
        <w:rPr>
          <w:bCs/>
        </w:rPr>
      </w:pPr>
      <w:r>
        <w:t xml:space="preserve">Artikel D. 229-105.- En annoncør, der i en reklame hævder, at et produkt eller en tjeneste er kulstofneutralt eller anvender en ordlyd med tilsvarende betydning eller omfang, skal overholde bestemmelserne i denne afdeling.</w:t>
      </w:r>
    </w:p>
    <w:p w14:paraId="31B15A91" w14:textId="77777777" w:rsidR="00EC0B91" w:rsidRPr="007B2607" w:rsidRDefault="00EC0B91" w:rsidP="00FB6E53">
      <w:pPr>
        <w:pStyle w:val="BodyText"/>
        <w:spacing w:after="0"/>
        <w:rPr>
          <w:bCs/>
        </w:rPr>
      </w:pPr>
    </w:p>
    <w:p w14:paraId="7BEC2E76" w14:textId="77777777" w:rsidR="00EC0B91" w:rsidRPr="007B2607" w:rsidRDefault="008C2EFB" w:rsidP="00FB6E53">
      <w:pPr>
        <w:pStyle w:val="BodyText"/>
        <w:spacing w:after="0"/>
        <w:rPr>
          <w:bCs/>
        </w:rPr>
      </w:pPr>
      <w:r>
        <w:t xml:space="preserve">Denne afdeling finder anvendelse på reklamekorrespondance rettet mod enkeltpersoner, reklametryksager, der distribueres til offentligheden, reklameplakater, reklamer i pressepublikationer, reklamer, der udsendes i biografer, reklamer udsendt af fjernsyns- eller radiotjenester og ved hjælp af kommunikationstjenester til offentligheden online, samt på påstande, der anbringes på varernes emballage.</w:t>
      </w:r>
    </w:p>
    <w:p w14:paraId="2EBF5CA4" w14:textId="77777777" w:rsidR="002C342A" w:rsidRPr="007B2607" w:rsidRDefault="002C342A" w:rsidP="00FB6E53">
      <w:pPr>
        <w:pStyle w:val="BodyText"/>
        <w:spacing w:after="0"/>
        <w:rPr>
          <w:bCs/>
        </w:rPr>
      </w:pPr>
    </w:p>
    <w:p w14:paraId="7E51D3DE" w14:textId="77777777" w:rsidR="00BB26CE" w:rsidRPr="007B2607" w:rsidRDefault="002C342A" w:rsidP="00FB6E53">
      <w:pPr>
        <w:pStyle w:val="BodyText"/>
        <w:spacing w:after="0"/>
        <w:rPr>
          <w:bCs/>
        </w:rPr>
      </w:pPr>
      <w:r>
        <w:t xml:space="preserve">Artikel D. 229-106.- En annoncør som omhandlet i artikel D. 229-105 skal udarbejde en balance over drivhusgasemissioner for det pågældende produkt eller den pågældende tjeneste for hele dets livscyklus.</w:t>
      </w:r>
      <w:r>
        <w:t xml:space="preserve"> </w:t>
      </w:r>
      <w:r>
        <w:t xml:space="preserve">Denne balance ajourføres årligt.</w:t>
      </w:r>
      <w:r>
        <w:t xml:space="preserve"> </w:t>
      </w:r>
    </w:p>
    <w:p w14:paraId="2439F91D" w14:textId="77777777" w:rsidR="00BB26CE" w:rsidRPr="007B2607" w:rsidRDefault="00BB26CE" w:rsidP="00FB6E53">
      <w:pPr>
        <w:pStyle w:val="BodyText"/>
        <w:spacing w:after="0"/>
        <w:rPr>
          <w:bCs/>
        </w:rPr>
      </w:pPr>
    </w:p>
    <w:p w14:paraId="5F16A4FA" w14:textId="77777777" w:rsidR="000911C8" w:rsidRPr="007B2607" w:rsidRDefault="008C2EFB" w:rsidP="00FB6E53">
      <w:pPr>
        <w:pStyle w:val="BodyText"/>
        <w:spacing w:after="0"/>
        <w:rPr>
          <w:bCs/>
        </w:rPr>
      </w:pPr>
      <w:r>
        <w:t xml:space="preserve">Denne balance skal udarbejdes i overensstemmelse med kravene i standard NF EN ISO 14067 eller enhver anden standard, der er i overensstemmelse med kravene i den pågældende standard.</w:t>
      </w:r>
      <w:r>
        <w:t xml:space="preserve"> </w:t>
      </w:r>
      <w:r>
        <w:t xml:space="preserve">Miljøministeren kan supplere disse krav med henblik på at bringe metoden for balancen for emissioner i overensstemmelse med metoden for miljømærkning i henhold til denne lovs artikel L. 541-9-11.</w:t>
      </w:r>
      <w:r>
        <w:t xml:space="preserve"> </w:t>
      </w:r>
    </w:p>
    <w:p w14:paraId="02C3E3B0" w14:textId="77777777" w:rsidR="000911C8" w:rsidRPr="007B2607" w:rsidRDefault="000911C8" w:rsidP="00FB6E53">
      <w:pPr>
        <w:pStyle w:val="BodyText"/>
        <w:spacing w:after="0"/>
        <w:rPr>
          <w:bCs/>
        </w:rPr>
      </w:pPr>
    </w:p>
    <w:p w14:paraId="30029AC0" w14:textId="77777777" w:rsidR="000911C8" w:rsidRDefault="000911C8" w:rsidP="00FB6E53">
      <w:pPr>
        <w:pStyle w:val="BodyText"/>
        <w:spacing w:after="0"/>
        <w:rPr>
          <w:bCs/>
        </w:rPr>
      </w:pPr>
      <w:r>
        <w:t xml:space="preserve">Artikel D. 229-107.</w:t>
      </w:r>
      <w:r>
        <w:t xml:space="preserve"> </w:t>
      </w:r>
      <w:r>
        <w:t xml:space="preserve">– Annoncøren, der er omhandlet i artikel D. 229-105, offentliggør på sit websted for offentlig onlinekommunikation eller, hvis en sådan ikke findes, i sin mobilapp en sammenfattende rapport, der beskriver CO</w:t>
      </w:r>
      <w:r>
        <w:rPr>
          <w:vertAlign w:val="subscript"/>
        </w:rPr>
        <w:t xml:space="preserve">2</w:t>
      </w:r>
      <w:r>
        <w:t xml:space="preserve">-fodaftrykket for det produkt eller den tjeneste, der reklameres for, og hvordan disse drivhusgasemissioner primært undgås, derefter reduceres og i sidste ende kompenseres.</w:t>
      </w:r>
      <w:r>
        <w:t xml:space="preserve"> </w:t>
      </w:r>
      <w:r>
        <w:t xml:space="preserve">Denne rapport skal indeholde tre bilag, der beskriver dens indhold og præsenteres i følgende rækkefølge:</w:t>
      </w:r>
    </w:p>
    <w:p w14:paraId="6EF779FD" w14:textId="77777777" w:rsidR="007B2607" w:rsidRPr="007B2607" w:rsidRDefault="007B2607" w:rsidP="00FB6E53">
      <w:pPr>
        <w:pStyle w:val="BodyText"/>
        <w:spacing w:after="0"/>
        <w:rPr>
          <w:bCs/>
        </w:rPr>
      </w:pPr>
    </w:p>
    <w:p w14:paraId="270FBF45" w14:textId="77777777" w:rsidR="000911C8" w:rsidRDefault="008C2EFB" w:rsidP="00FB6E53">
      <w:pPr>
        <w:pStyle w:val="BodyText"/>
        <w:spacing w:after="0"/>
        <w:rPr>
          <w:bCs/>
        </w:rPr>
      </w:pPr>
      <w:r>
        <w:t xml:space="preserve">(1) et bilag med resultaterne af den i artikel D. 229-106 omhandlede balance samt en oversigt over den metode, der er anvendt ved opstillingen af denne balance.</w:t>
      </w:r>
      <w:r>
        <w:t xml:space="preserve"> </w:t>
      </w:r>
      <w:r>
        <w:t xml:space="preserve">Resuméet skal navnlig angive det anvendelsesområde, der er anvendt til at definere det pågældende produkt eller den pågældende tjeneste, de anvendte funktionelle eller deklarerede enheder, grænserne for det pågældende system, metoden til behandling af udtjente produkter og de emissionsdata, der tages i betragtning for elektricitet eller gas, der forbruges fra nettene.</w:t>
      </w:r>
      <w:r>
        <w:t xml:space="preserve"> </w:t>
      </w:r>
      <w:r>
        <w:t xml:space="preserve">Den skal angive det eller de lande eller geografiske områder, hvor emissioner fra international transport finder sted, i det omfang sådanne data foreligger.</w:t>
      </w:r>
    </w:p>
    <w:p w14:paraId="22298453" w14:textId="77777777" w:rsidR="007B2607" w:rsidRPr="007B2607" w:rsidRDefault="007B2607" w:rsidP="00FB6E53">
      <w:pPr>
        <w:pStyle w:val="BodyText"/>
        <w:spacing w:after="0"/>
        <w:rPr>
          <w:bCs/>
        </w:rPr>
      </w:pPr>
    </w:p>
    <w:p w14:paraId="2DC617DB" w14:textId="77777777" w:rsidR="000911C8" w:rsidRPr="007B2607" w:rsidRDefault="008C2EFB" w:rsidP="00FB6E53">
      <w:pPr>
        <w:pStyle w:val="BodyText"/>
        <w:spacing w:after="0"/>
        <w:rPr>
          <w:bCs/>
        </w:rPr>
      </w:pPr>
      <w:r>
        <w:t xml:space="preserve">(2) et bilag med en beskrivelse af målforløbet for reduktion af drivhusgasemissioner i forbindelse med det produkt eller den tjeneste, der er annonceret, med kvantificerede årlige fremskridtsmål, der dækker mindst ti år efter offentliggørelsen af rapporten;</w:t>
      </w:r>
    </w:p>
    <w:p w14:paraId="238DECC6" w14:textId="77777777" w:rsidR="006E7C91" w:rsidRPr="007B2607" w:rsidRDefault="008C2EFB" w:rsidP="00FB6E53">
      <w:pPr>
        <w:pStyle w:val="BodyText"/>
        <w:spacing w:after="0"/>
        <w:rPr>
          <w:bCs/>
        </w:rPr>
      </w:pPr>
      <w:r>
        <w:t xml:space="preserve">(3) et bilag med nærmere oplysninger om procedurerne for kompensation af restemissioner med særlig angivelse af arten og beskrivelsen af kompensationsprojekterne.</w:t>
      </w:r>
      <w:r>
        <w:t xml:space="preserve"> </w:t>
      </w:r>
      <w:r>
        <w:t xml:space="preserve">Dette bilag kan også frivilligt indeholde oplysninger om deres omkostninger (i alt og pr. ton CO</w:t>
      </w:r>
      <w:r>
        <w:rPr>
          <w:vertAlign w:val="subscript"/>
        </w:rPr>
        <w:t xml:space="preserve">2</w:t>
      </w:r>
      <w:r>
        <w:t xml:space="preserve">).</w:t>
      </w:r>
      <w:r>
        <w:t xml:space="preserve"> </w:t>
      </w:r>
      <w:r>
        <w:t xml:space="preserve">Dette bilag viser, at mængden af emissioner, der undgås eller reduceres gennem denne kompensation, svarer til restemissionerne fra alle de produkter eller tjenester, der sælges og påvirkes af reklamen.</w:t>
      </w:r>
      <w:r>
        <w:t xml:space="preserve">  </w:t>
      </w:r>
      <w:r>
        <w:t xml:space="preserve">Dette bilag indeholder også en beskrivelse af de midler, som annoncøren har iværksat for at sikre, at denne ikke tæller den kompensation, der er muliggjort af disse projekter, dobbelt.</w:t>
      </w:r>
      <w:r>
        <w:t xml:space="preserve"> </w:t>
      </w:r>
      <w:r>
        <w:t xml:space="preserve">Det fastsætter navnlig metoderne til at fjerne emissionsreduktioner fra markedet, når der anvendes kompensationskreditter.</w:t>
      </w:r>
      <w:r>
        <w:t xml:space="preserve"> </w:t>
      </w:r>
      <w:r>
        <w:t xml:space="preserve">Endelig beskriver dette bilag de bestræbelser, der er gjort for at sikre den bedst mulige sammenhæng mellem de geografiske områder, hvor projekterne gennemføres, og hvor emissionerne finder sted.</w:t>
      </w:r>
    </w:p>
    <w:p w14:paraId="16C134F5" w14:textId="77777777" w:rsidR="00E478EA" w:rsidRPr="007B2607" w:rsidRDefault="00E478EA" w:rsidP="00FB6E53">
      <w:pPr>
        <w:pStyle w:val="BodyText"/>
        <w:spacing w:after="0"/>
        <w:rPr>
          <w:bCs/>
        </w:rPr>
      </w:pPr>
    </w:p>
    <w:p w14:paraId="0D196A5B" w14:textId="77777777" w:rsidR="00865CE0" w:rsidRPr="007B2607" w:rsidRDefault="008C2EFB" w:rsidP="00FB6E53">
      <w:pPr>
        <w:pStyle w:val="BodyText"/>
        <w:spacing w:after="0"/>
        <w:rPr>
          <w:bCs/>
        </w:rPr>
      </w:pPr>
      <w:r>
        <w:t xml:space="preserve">Denne offentliggørelse opdateres årligt i hele produktets eller tjenestens markedsføringsperiode.</w:t>
      </w:r>
      <w:r>
        <w:t xml:space="preserve"> </w:t>
      </w:r>
      <w:r>
        <w:t xml:space="preserve">Opdateringen gør det navnlig muligt at overvåge udviklingen i emissionerne i forbindelse med produktet eller tjenesten i forhold til ovennævnte reduktionskurs.</w:t>
      </w:r>
      <w:r>
        <w:t xml:space="preserve"> </w:t>
      </w:r>
      <w:r>
        <w:t xml:space="preserve">Annoncøren skal trække den påstand, der er omhandlet i artikel D. 229-105, tilbage, hvis det viser sig, at enhedsemissioner i forbindelse med produktet eller tjenesten er steget i to på hinanden følgende år.</w:t>
      </w:r>
      <w:r>
        <w:t xml:space="preserve"> </w:t>
      </w:r>
    </w:p>
    <w:p w14:paraId="2311E640" w14:textId="77777777" w:rsidR="00865CE0" w:rsidRPr="007B2607" w:rsidRDefault="00865CE0" w:rsidP="00FB6E53">
      <w:pPr>
        <w:pStyle w:val="BodyText"/>
        <w:spacing w:after="0"/>
        <w:rPr>
          <w:bCs/>
        </w:rPr>
      </w:pPr>
    </w:p>
    <w:p w14:paraId="00BAD9C7" w14:textId="77777777" w:rsidR="00E478EA" w:rsidRPr="007B2607" w:rsidRDefault="008C2EFB" w:rsidP="00FB6E53">
      <w:pPr>
        <w:pStyle w:val="BodyText"/>
        <w:spacing w:after="0"/>
        <w:rPr>
          <w:bCs/>
        </w:rPr>
      </w:pPr>
      <w:r>
        <w:t xml:space="preserve">Weblinket eller QR-koden for at få adgang til denne publikation er angivet på annoncen eller emballagen med påstanden om kulstofneutralitet.</w:t>
      </w:r>
      <w:r>
        <w:t xml:space="preserve"> </w:t>
      </w:r>
    </w:p>
    <w:p w14:paraId="1B41676F" w14:textId="77777777" w:rsidR="000911C8" w:rsidRPr="007B2607" w:rsidRDefault="000911C8" w:rsidP="00FB6E53">
      <w:pPr>
        <w:pStyle w:val="BodyText"/>
        <w:spacing w:after="0"/>
        <w:rPr>
          <w:bCs/>
        </w:rPr>
      </w:pPr>
    </w:p>
    <w:p w14:paraId="3729D362" w14:textId="77777777" w:rsidR="00BE3757" w:rsidRDefault="00CE28B0" w:rsidP="00BE3757">
      <w:pPr>
        <w:jc w:val="both"/>
      </w:pPr>
      <w:r>
        <w:t xml:space="preserve">Artikel D. 229-108.</w:t>
      </w:r>
      <w:r>
        <w:t xml:space="preserve"> </w:t>
      </w:r>
      <w:r>
        <w:t xml:space="preserve">– De kompensationsprojekter, der anvendes af annoncøren, jf. artikel D. 229-105, skal opfylde betingelserne i artikel R. 229-103 og R. 229-104.</w:t>
      </w:r>
    </w:p>
    <w:p w14:paraId="5A9F3592" w14:textId="77777777" w:rsidR="0061349E" w:rsidRPr="007B2607" w:rsidRDefault="0061349E" w:rsidP="00BE3757">
      <w:pPr>
        <w:jc w:val="both"/>
      </w:pPr>
    </w:p>
    <w:p w14:paraId="28D717D4" w14:textId="77777777" w:rsidR="0061349E" w:rsidRDefault="0061349E" w:rsidP="0061349E">
      <w:pPr>
        <w:pStyle w:val="BodyText"/>
        <w:spacing w:after="0"/>
      </w:pPr>
      <w:r>
        <w:t xml:space="preserve">Kompensationsprojekter må ikke være til skade for bevarelsen og genopretningen af naturlige økosystemer og deres funktionaliteter.</w:t>
      </w:r>
    </w:p>
    <w:p w14:paraId="5EB9E82C" w14:textId="77777777" w:rsidR="00640D83" w:rsidRPr="007B2607" w:rsidRDefault="00640D83" w:rsidP="00FB6E53">
      <w:pPr>
        <w:pStyle w:val="BodyText"/>
        <w:spacing w:after="0"/>
      </w:pPr>
    </w:p>
    <w:p w14:paraId="1D0CB6C1" w14:textId="77777777" w:rsidR="00640D83" w:rsidRPr="007B2607" w:rsidRDefault="008C2EFB" w:rsidP="00640D83">
      <w:pPr>
        <w:pStyle w:val="BodyText"/>
        <w:spacing w:after="0"/>
      </w:pPr>
      <w:r>
        <w:t xml:space="preserve">De emissioner, der er forbundet med produkter eller tjenester, der forbruges i Frankrig, skal hovedsagelig kompenseres på fransk område.</w:t>
      </w:r>
    </w:p>
    <w:p w14:paraId="0BCBCAA1" w14:textId="77777777" w:rsidR="00640D83" w:rsidRPr="007B2607" w:rsidRDefault="00640D83" w:rsidP="00640D83">
      <w:pPr>
        <w:pStyle w:val="BodyText"/>
        <w:spacing w:after="0"/>
      </w:pPr>
    </w:p>
    <w:p w14:paraId="24294507" w14:textId="77777777" w:rsidR="0061349E" w:rsidRDefault="0061349E" w:rsidP="00640D83">
      <w:pPr>
        <w:pStyle w:val="BodyText"/>
        <w:spacing w:after="0"/>
      </w:pPr>
    </w:p>
    <w:p w14:paraId="5E49DC68" w14:textId="77777777" w:rsidR="0061349E" w:rsidRDefault="0061349E" w:rsidP="00640D83">
      <w:pPr>
        <w:pStyle w:val="BodyText"/>
        <w:spacing w:after="0"/>
      </w:pPr>
      <w:r>
        <w:t xml:space="preserve">De emissionsreduktioner, der er anerkendt i henhold til dekret nr. 2018-1043 af 28. november 2018 om indførelse af et "lav emission"-mærke, anses for at være i overensstemmelse med artikel R. 229-103.</w:t>
      </w:r>
    </w:p>
    <w:p w14:paraId="52996AD4" w14:textId="77777777" w:rsidR="0061349E" w:rsidRDefault="0061349E" w:rsidP="00640D83">
      <w:pPr>
        <w:pStyle w:val="BodyText"/>
        <w:spacing w:after="0"/>
      </w:pPr>
    </w:p>
    <w:p w14:paraId="62A43A2E" w14:textId="77777777" w:rsidR="00851850" w:rsidRPr="00851850" w:rsidRDefault="00851850" w:rsidP="00851850">
      <w:pPr>
        <w:pStyle w:val="BodyText"/>
        <w:rPr>
          <w:bCs/>
        </w:rPr>
      </w:pPr>
      <w:r>
        <w:t xml:space="preserve">Artikel R. 229-109.</w:t>
      </w:r>
      <w:r>
        <w:t xml:space="preserve"> </w:t>
      </w:r>
      <w:r>
        <w:t xml:space="preserve">– I henhold til artikel L. 229-69 kan miljøministeren på de betingelser, der er fastsat i denne artikel, pålægge sanktioner for tilsidesættelse af forpligtelsen i artikel L. 229-68.</w:t>
      </w:r>
    </w:p>
    <w:p w14:paraId="5158D784" w14:textId="77777777" w:rsidR="00851850" w:rsidRPr="00851850" w:rsidRDefault="00851850" w:rsidP="00851850">
      <w:pPr>
        <w:pStyle w:val="BodyText"/>
        <w:rPr>
          <w:bCs/>
        </w:rPr>
      </w:pPr>
      <w:r>
        <w:t xml:space="preserve">Manglende overholdelse af de forpligtelser, der er fastsat i artikel L. 229-68, fastslås af en embedsmand, der er bemyndiget hertil af miljøministeren.</w:t>
      </w:r>
    </w:p>
    <w:p w14:paraId="5850D6DE" w14:textId="77777777" w:rsidR="00851850" w:rsidRPr="00851850" w:rsidRDefault="00851850" w:rsidP="00851850">
      <w:pPr>
        <w:pStyle w:val="BodyText"/>
        <w:rPr>
          <w:bCs/>
        </w:rPr>
      </w:pPr>
      <w:r>
        <w:t xml:space="preserve">Efter at have givet annoncøren mulighed for at fremsætte skriftlige bemærkninger til de klager, der er fremsat over for denne, kan miljøministeren fremsætte påkrav om at denne skal overholde denne forpligtelse inden for en frist, der fastsættes af ministeren.</w:t>
      </w:r>
      <w:r>
        <w:t xml:space="preserve"> </w:t>
      </w:r>
      <w:r>
        <w:t xml:space="preserve">Ministeren kan offentliggøre denne åbningsskrivelse.</w:t>
      </w:r>
      <w:r>
        <w:t xml:space="preserve">  </w:t>
      </w:r>
    </w:p>
    <w:p w14:paraId="304FDC6A" w14:textId="77777777" w:rsidR="00851850" w:rsidRPr="007B2607" w:rsidRDefault="00851850" w:rsidP="00851850">
      <w:pPr>
        <w:pStyle w:val="BodyText"/>
        <w:spacing w:after="0"/>
        <w:rPr>
          <w:bCs/>
        </w:rPr>
      </w:pPr>
      <w:r>
        <w:t xml:space="preserve">Hvis annoncøren ikke efterkommer dette påkrav inden for den fastsatte frist, kan miljøministeren pålægge denne at betale den bøde, der er fastsat i miljølovens artikel L. 229-69."</w:t>
      </w:r>
    </w:p>
    <w:p w14:paraId="02C79937" w14:textId="77777777" w:rsidR="00FB6E53" w:rsidRPr="00FB6E53" w:rsidRDefault="00FB6E53" w:rsidP="00FB6E53">
      <w:pPr>
        <w:pStyle w:val="BodyText"/>
      </w:pPr>
    </w:p>
    <w:p w14:paraId="3E4D8A21" w14:textId="77777777" w:rsidR="00FB6E53" w:rsidRDefault="00FB6E53" w:rsidP="00FB6E53">
      <w:pPr>
        <w:pStyle w:val="SNArticle"/>
        <w:rPr>
          <w:bCs/>
        </w:rPr>
      </w:pPr>
      <w:r>
        <w:t xml:space="preserve">Artikel 3</w:t>
      </w:r>
    </w:p>
    <w:p w14:paraId="3FB8E1D7" w14:textId="77777777" w:rsidR="00851850" w:rsidRDefault="00851850" w:rsidP="00851850">
      <w:pPr>
        <w:pStyle w:val="SNArticle"/>
        <w:jc w:val="left"/>
        <w:rPr>
          <w:b w:val="0"/>
        </w:rPr>
      </w:pPr>
      <w:r>
        <w:rPr>
          <w:b w:val="0"/>
        </w:rPr>
        <w:t xml:space="preserve">I bilag 1 til ovennævnte dekret af 19. december 1997 suppleres overskriften "Energi og klima" således:</w:t>
      </w:r>
    </w:p>
    <w:tbl>
      <w:tblPr>
        <w:tblStyle w:val="TableGrid"/>
        <w:tblW w:w="0" w:type="auto"/>
        <w:tblLook w:val="04A0" w:firstRow="1" w:lastRow="0" w:firstColumn="1" w:lastColumn="0" w:noHBand="0" w:noVBand="1"/>
      </w:tblPr>
      <w:tblGrid>
        <w:gridCol w:w="704"/>
        <w:gridCol w:w="4253"/>
        <w:gridCol w:w="2051"/>
        <w:gridCol w:w="2336"/>
      </w:tblGrid>
      <w:tr w:rsidR="00851850" w14:paraId="0AECA584" w14:textId="77777777" w:rsidTr="003C32DD">
        <w:tc>
          <w:tcPr>
            <w:tcW w:w="704" w:type="dxa"/>
          </w:tcPr>
          <w:p w14:paraId="32BCDB62" w14:textId="77777777" w:rsidR="00851850" w:rsidRPr="001D0716" w:rsidRDefault="00851850" w:rsidP="003C32DD">
            <w:pPr>
              <w:pStyle w:val="SNArticle"/>
              <w:jc w:val="left"/>
              <w:rPr>
                <w:b w:val="0"/>
              </w:rPr>
            </w:pPr>
            <w:r>
              <w:rPr>
                <w:b w:val="0"/>
              </w:rPr>
              <w:t xml:space="preserve">[64]</w:t>
            </w:r>
          </w:p>
        </w:tc>
        <w:tc>
          <w:tcPr>
            <w:tcW w:w="4253" w:type="dxa"/>
          </w:tcPr>
          <w:p w14:paraId="1239161F" w14:textId="77777777" w:rsidR="00851850" w:rsidRPr="001D0716" w:rsidRDefault="00851850" w:rsidP="003C32DD">
            <w:pPr>
              <w:pStyle w:val="SNArticle"/>
              <w:jc w:val="left"/>
              <w:rPr>
                <w:b w:val="0"/>
              </w:rPr>
            </w:pPr>
            <w:r>
              <w:rPr>
                <w:b w:val="0"/>
              </w:rPr>
              <w:t xml:space="preserve">Påkrav og sanktioner vedrørende en reklames påstand om, at et produkt eller en tjeneste er kulstofneutralt</w:t>
            </w:r>
          </w:p>
        </w:tc>
        <w:tc>
          <w:tcPr>
            <w:tcW w:w="2051" w:type="dxa"/>
          </w:tcPr>
          <w:p w14:paraId="33125CBC" w14:textId="77777777" w:rsidR="00851850" w:rsidRPr="00851850" w:rsidRDefault="00851850" w:rsidP="003C32DD">
            <w:pPr>
              <w:pStyle w:val="SNArticle"/>
              <w:jc w:val="left"/>
              <w:rPr>
                <w:b w:val="0"/>
              </w:rPr>
            </w:pPr>
            <w:r>
              <w:rPr>
                <w:b w:val="0"/>
              </w:rPr>
              <w:t xml:space="preserve">Miljøloven</w:t>
            </w:r>
          </w:p>
          <w:p w14:paraId="627C57FC" w14:textId="77777777" w:rsidR="00851850" w:rsidRPr="001D0716" w:rsidRDefault="00851850" w:rsidP="003C32DD">
            <w:pPr>
              <w:pStyle w:val="BodyText"/>
            </w:pPr>
            <w:r>
              <w:t xml:space="preserve">Artikel R. 229-109</w:t>
            </w:r>
          </w:p>
        </w:tc>
        <w:tc>
          <w:tcPr>
            <w:tcW w:w="2336" w:type="dxa"/>
          </w:tcPr>
          <w:p w14:paraId="57484785" w14:textId="77777777" w:rsidR="00851850" w:rsidRPr="001D0716" w:rsidRDefault="00851850" w:rsidP="003C32DD">
            <w:pPr>
              <w:pStyle w:val="SNArticle"/>
              <w:jc w:val="left"/>
              <w:rPr>
                <w:b w:val="0"/>
              </w:rPr>
            </w:pPr>
            <w:r>
              <w:rPr>
                <w:b w:val="0"/>
              </w:rPr>
              <w:t xml:space="preserve">Miljøministeren</w:t>
            </w:r>
          </w:p>
        </w:tc>
      </w:tr>
    </w:tbl>
    <w:p w14:paraId="33967785" w14:textId="77777777" w:rsidR="00851850" w:rsidRDefault="00851850" w:rsidP="00BE3757">
      <w:pPr>
        <w:pStyle w:val="BodyText"/>
      </w:pPr>
    </w:p>
    <w:p w14:paraId="2E73F67E" w14:textId="77777777" w:rsidR="00851850" w:rsidRDefault="00851850" w:rsidP="00BE3757">
      <w:pPr>
        <w:pStyle w:val="BodyText"/>
      </w:pPr>
    </w:p>
    <w:p w14:paraId="31C41D0F" w14:textId="77777777" w:rsidR="00851850" w:rsidRPr="00851850" w:rsidRDefault="00851850" w:rsidP="00851850">
      <w:pPr>
        <w:pStyle w:val="SNArticle"/>
        <w:rPr>
          <w:bCs/>
        </w:rPr>
      </w:pPr>
      <w:r>
        <w:t xml:space="preserve">Artikel 4</w:t>
      </w:r>
    </w:p>
    <w:p w14:paraId="4B9BA7C2" w14:textId="77777777" w:rsidR="0061349E" w:rsidRDefault="00851850" w:rsidP="00BE3757">
      <w:pPr>
        <w:pStyle w:val="BodyText"/>
      </w:pPr>
      <w:r>
        <w:t xml:space="preserve">Bekendtgørelsen træder i kraft dagen efter offentliggørelsen, bortset fra artikel 2 og 3, der træder i kraft den 1. januar 2023.</w:t>
      </w:r>
    </w:p>
    <w:p w14:paraId="2D7F991E" w14:textId="77777777" w:rsidR="0061349E" w:rsidRDefault="0061349E" w:rsidP="00BE3757">
      <w:pPr>
        <w:pStyle w:val="BodyText"/>
      </w:pPr>
    </w:p>
    <w:p w14:paraId="1321CCFF" w14:textId="77777777" w:rsidR="00064968" w:rsidRDefault="0061349E" w:rsidP="00BE3757">
      <w:pPr>
        <w:pStyle w:val="BodyText"/>
      </w:pPr>
      <w:r>
        <w:t xml:space="preserve">Indtil den 31. december 2025 svarer finansieringen af projekter på fransk område til annoncørens tildeling af emissionsreduktioner i overensstemmelse med bestemmelserne i artikel D. 229-107, nr. 3, hvis annoncøren ved en kontrakt kan begrunde en eventuel anerkendelse af fordelene ved de verificerede emissionsreduktioner for dette projekt.</w:t>
      </w:r>
      <w:r>
        <w:t xml:space="preserve"> </w:t>
      </w:r>
      <w:r>
        <w:t xml:space="preserve">Annoncøren sikrer overholdelse af sine forpligtelser om kompensation af emissioner, eventuelt ved at erhverve yderligere CO</w:t>
      </w:r>
      <w:r>
        <w:rPr>
          <w:vertAlign w:val="subscript"/>
        </w:rPr>
        <w:t xml:space="preserve">2</w:t>
      </w:r>
      <w:r>
        <w:t xml:space="preserve">-kreditter svarende til forskellen mellem projektets verificerede emissionsreduktioner og de finansierede emissionsreduktioner.</w:t>
      </w:r>
    </w:p>
    <w:p w14:paraId="12C215DA" w14:textId="77777777" w:rsidR="00064968" w:rsidRDefault="00064968" w:rsidP="00BE3757">
      <w:pPr>
        <w:pStyle w:val="BodyText"/>
      </w:pPr>
    </w:p>
    <w:p w14:paraId="3ACCFD0D" w14:textId="77777777" w:rsidR="00064968" w:rsidRPr="00851850" w:rsidRDefault="00851850" w:rsidP="00851850">
      <w:pPr>
        <w:pStyle w:val="SNArticle"/>
        <w:rPr>
          <w:bCs/>
        </w:rPr>
      </w:pPr>
      <w:r>
        <w:t xml:space="preserve">Artikel 5</w:t>
      </w:r>
    </w:p>
    <w:p w14:paraId="65149FAE" w14:textId="77777777" w:rsidR="00FB6E53" w:rsidRDefault="00FB6E53" w:rsidP="00FB6E53">
      <w:pPr>
        <w:pStyle w:val="BodyText"/>
      </w:pPr>
      <w:r>
        <w:t xml:space="preserve">Den franske minister for økologisk omstilling er ansvarlig for gennemførelsen af dette dekret, som offentliggøres i Den Franske Republiks </w:t>
      </w:r>
      <w:r>
        <w:rPr>
          <w:i/>
          <w:iCs/>
        </w:rPr>
        <w:t xml:space="preserve">Officielle Tidende</w:t>
      </w:r>
      <w:r>
        <w:t xml:space="preserve">.</w:t>
      </w:r>
    </w:p>
    <w:p w14:paraId="633ECCBF" w14:textId="77777777" w:rsidR="00FB6E53" w:rsidRDefault="00FB6E53" w:rsidP="00FB6E53">
      <w:pPr>
        <w:pStyle w:val="SNDate"/>
      </w:pPr>
      <w:r>
        <w:t xml:space="preserve">Udfærdiget den [dato].</w:t>
      </w:r>
    </w:p>
    <w:p w14:paraId="7B41A2DC" w14:textId="77777777" w:rsidR="00FB6E53" w:rsidRDefault="00FB6E53" w:rsidP="00FB6E53">
      <w:pPr>
        <w:ind w:left="567"/>
      </w:pPr>
      <w:r>
        <w:t xml:space="preserve">Af premierministeren:</w:t>
      </w:r>
    </w:p>
    <w:p w14:paraId="2011CC35" w14:textId="77777777" w:rsidR="00FB6E53" w:rsidRDefault="00FB6E53" w:rsidP="00FB6E53">
      <w:pPr>
        <w:pStyle w:val="SNSignatureGauche"/>
        <w:ind w:left="567" w:right="5669"/>
      </w:pPr>
      <w:r>
        <w:t xml:space="preserve">Ministeren for den økologiske omstilling,</w:t>
      </w:r>
    </w:p>
    <w:p w14:paraId="65D3D183" w14:textId="77777777" w:rsidR="00FD3014" w:rsidRDefault="00FB6E53" w:rsidP="003E7D77">
      <w:pPr>
        <w:pStyle w:val="SNSignatureprnomnomGauche"/>
        <w:spacing w:after="240"/>
        <w:ind w:left="567" w:right="4535"/>
      </w:pPr>
      <w:r>
        <w:t xml:space="preserve">Barbara POMPILI</w:t>
      </w:r>
    </w:p>
    <w:sectPr w:rsidR="00FD3014" w:rsidSect="00FD3014">
      <w:pgSz w:w="11906" w:h="16838"/>
      <w:pgMar w:top="1134" w:right="1418" w:bottom="1418"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34AC9"/>
    <w:multiLevelType w:val="hybridMultilevel"/>
    <w:tmpl w:val="8348C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C1498F"/>
    <w:multiLevelType w:val="hybridMultilevel"/>
    <w:tmpl w:val="4C107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4710C2"/>
    <w:multiLevelType w:val="hybridMultilevel"/>
    <w:tmpl w:val="16CAB3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E53"/>
    <w:rsid w:val="00001B01"/>
    <w:rsid w:val="00020A46"/>
    <w:rsid w:val="00021079"/>
    <w:rsid w:val="00064968"/>
    <w:rsid w:val="0007470F"/>
    <w:rsid w:val="00076F37"/>
    <w:rsid w:val="00081C95"/>
    <w:rsid w:val="000911C8"/>
    <w:rsid w:val="000A1D6B"/>
    <w:rsid w:val="000D72B2"/>
    <w:rsid w:val="000F0B84"/>
    <w:rsid w:val="000F1712"/>
    <w:rsid w:val="000F4D8E"/>
    <w:rsid w:val="001202A5"/>
    <w:rsid w:val="001253C6"/>
    <w:rsid w:val="001360BB"/>
    <w:rsid w:val="00156FB4"/>
    <w:rsid w:val="00163F8A"/>
    <w:rsid w:val="0018653A"/>
    <w:rsid w:val="001C4F5C"/>
    <w:rsid w:val="001D31A0"/>
    <w:rsid w:val="001E3BBD"/>
    <w:rsid w:val="001F6CAF"/>
    <w:rsid w:val="002259E9"/>
    <w:rsid w:val="00227921"/>
    <w:rsid w:val="002808A7"/>
    <w:rsid w:val="002C342A"/>
    <w:rsid w:val="002D6CC2"/>
    <w:rsid w:val="00324CBF"/>
    <w:rsid w:val="0033279F"/>
    <w:rsid w:val="00336098"/>
    <w:rsid w:val="003600B7"/>
    <w:rsid w:val="0036429E"/>
    <w:rsid w:val="00373B40"/>
    <w:rsid w:val="00392934"/>
    <w:rsid w:val="003953A5"/>
    <w:rsid w:val="003D56F4"/>
    <w:rsid w:val="003E531C"/>
    <w:rsid w:val="003E7D77"/>
    <w:rsid w:val="00417F87"/>
    <w:rsid w:val="004248A4"/>
    <w:rsid w:val="004500CC"/>
    <w:rsid w:val="00451717"/>
    <w:rsid w:val="00452322"/>
    <w:rsid w:val="004B1160"/>
    <w:rsid w:val="004C6705"/>
    <w:rsid w:val="00501509"/>
    <w:rsid w:val="00512792"/>
    <w:rsid w:val="00520B5A"/>
    <w:rsid w:val="005B5D1A"/>
    <w:rsid w:val="00600E69"/>
    <w:rsid w:val="0061349E"/>
    <w:rsid w:val="00640BDF"/>
    <w:rsid w:val="00640D83"/>
    <w:rsid w:val="00643B83"/>
    <w:rsid w:val="006525C1"/>
    <w:rsid w:val="00685933"/>
    <w:rsid w:val="00693019"/>
    <w:rsid w:val="006C22BA"/>
    <w:rsid w:val="006E7C91"/>
    <w:rsid w:val="00702E13"/>
    <w:rsid w:val="007112FA"/>
    <w:rsid w:val="00791B47"/>
    <w:rsid w:val="007A3FFB"/>
    <w:rsid w:val="007B2607"/>
    <w:rsid w:val="007B3186"/>
    <w:rsid w:val="007B5E58"/>
    <w:rsid w:val="007C3419"/>
    <w:rsid w:val="007E19E0"/>
    <w:rsid w:val="008065A8"/>
    <w:rsid w:val="00822045"/>
    <w:rsid w:val="00831FD0"/>
    <w:rsid w:val="00851850"/>
    <w:rsid w:val="00865CE0"/>
    <w:rsid w:val="00884E8B"/>
    <w:rsid w:val="00890740"/>
    <w:rsid w:val="008A0170"/>
    <w:rsid w:val="008B57D4"/>
    <w:rsid w:val="008C2EFB"/>
    <w:rsid w:val="008D746C"/>
    <w:rsid w:val="008E30D0"/>
    <w:rsid w:val="00902234"/>
    <w:rsid w:val="00932796"/>
    <w:rsid w:val="0099494E"/>
    <w:rsid w:val="009A39A4"/>
    <w:rsid w:val="009C4BBD"/>
    <w:rsid w:val="009F1E9F"/>
    <w:rsid w:val="009F2DC3"/>
    <w:rsid w:val="00A26CD3"/>
    <w:rsid w:val="00A364CF"/>
    <w:rsid w:val="00A36FBB"/>
    <w:rsid w:val="00A51457"/>
    <w:rsid w:val="00A852F3"/>
    <w:rsid w:val="00A9018C"/>
    <w:rsid w:val="00AA1CBA"/>
    <w:rsid w:val="00AA35C5"/>
    <w:rsid w:val="00AC0DE4"/>
    <w:rsid w:val="00AC1942"/>
    <w:rsid w:val="00AC27E9"/>
    <w:rsid w:val="00AE0098"/>
    <w:rsid w:val="00B0118D"/>
    <w:rsid w:val="00B60325"/>
    <w:rsid w:val="00B73691"/>
    <w:rsid w:val="00B76A4A"/>
    <w:rsid w:val="00BB26CE"/>
    <w:rsid w:val="00BB66DF"/>
    <w:rsid w:val="00BE3757"/>
    <w:rsid w:val="00C26E13"/>
    <w:rsid w:val="00C35314"/>
    <w:rsid w:val="00C50902"/>
    <w:rsid w:val="00C8186B"/>
    <w:rsid w:val="00C85D8C"/>
    <w:rsid w:val="00CE28B0"/>
    <w:rsid w:val="00CF4307"/>
    <w:rsid w:val="00D066A6"/>
    <w:rsid w:val="00D35BD8"/>
    <w:rsid w:val="00D411B1"/>
    <w:rsid w:val="00D507C6"/>
    <w:rsid w:val="00DA728B"/>
    <w:rsid w:val="00DB0386"/>
    <w:rsid w:val="00DC6664"/>
    <w:rsid w:val="00E075D6"/>
    <w:rsid w:val="00E22AA3"/>
    <w:rsid w:val="00E23DDB"/>
    <w:rsid w:val="00E26347"/>
    <w:rsid w:val="00E3390A"/>
    <w:rsid w:val="00E478EA"/>
    <w:rsid w:val="00E47B26"/>
    <w:rsid w:val="00E971FC"/>
    <w:rsid w:val="00EC0B91"/>
    <w:rsid w:val="00F0638A"/>
    <w:rsid w:val="00F064E7"/>
    <w:rsid w:val="00F16F71"/>
    <w:rsid w:val="00F3475D"/>
    <w:rsid w:val="00F538E4"/>
    <w:rsid w:val="00F820F9"/>
    <w:rsid w:val="00F94097"/>
    <w:rsid w:val="00FA5F21"/>
    <w:rsid w:val="00FB3B22"/>
    <w:rsid w:val="00FB6E53"/>
    <w:rsid w:val="00FC0F7A"/>
    <w:rsid w:val="00FD3014"/>
    <w:rsid w:val="00FD78B7"/>
    <w:rsid w:val="00FF74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44AC"/>
  <w15:docId w15:val="{26CE345B-8D68-4F83-B087-BD4010F0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E53"/>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sid w:val="00FB6E53"/>
    <w:rPr>
      <w:sz w:val="16"/>
      <w:szCs w:val="16"/>
    </w:rPr>
  </w:style>
  <w:style w:type="paragraph" w:styleId="BodyText">
    <w:name w:val="Body Text"/>
    <w:basedOn w:val="Normal"/>
    <w:link w:val="BodyTextChar"/>
    <w:rsid w:val="00FB6E53"/>
    <w:pPr>
      <w:spacing w:after="120"/>
      <w:jc w:val="both"/>
    </w:pPr>
  </w:style>
  <w:style w:type="character" w:customStyle="1" w:styleId="BodyTextChar">
    <w:name w:val="Body Text Char"/>
    <w:basedOn w:val="DefaultParagraphFont"/>
    <w:link w:val="BodyText"/>
    <w:rsid w:val="00FB6E53"/>
    <w:rPr>
      <w:rFonts w:ascii="Times New Roman" w:eastAsia="Times New Roman" w:hAnsi="Times New Roman" w:cs="Times New Roman"/>
      <w:sz w:val="24"/>
      <w:szCs w:val="24"/>
      <w:lang w:eastAsia="zh-CN"/>
    </w:rPr>
  </w:style>
  <w:style w:type="paragraph" w:customStyle="1" w:styleId="SNREPUBLIQUE">
    <w:name w:val="SNREPUBLIQUE"/>
    <w:basedOn w:val="Normal"/>
    <w:qFormat/>
    <w:rsid w:val="00FB6E53"/>
    <w:pPr>
      <w:jc w:val="center"/>
    </w:pPr>
    <w:rPr>
      <w:b/>
      <w:bCs/>
      <w:szCs w:val="20"/>
    </w:rPr>
  </w:style>
  <w:style w:type="paragraph" w:customStyle="1" w:styleId="SNNature">
    <w:name w:val="SNNature"/>
    <w:basedOn w:val="Normal"/>
    <w:next w:val="SNtitre"/>
    <w:qFormat/>
    <w:rsid w:val="00FB6E53"/>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rsid w:val="00FB6E53"/>
    <w:pPr>
      <w:widowControl w:val="0"/>
      <w:suppressLineNumbers/>
      <w:spacing w:after="360"/>
      <w:jc w:val="center"/>
    </w:pPr>
    <w:rPr>
      <w:rFonts w:eastAsia="Lucida Sans Unicode"/>
      <w:b/>
    </w:rPr>
  </w:style>
  <w:style w:type="paragraph" w:customStyle="1" w:styleId="SNNORCentr">
    <w:name w:val="SNNOR+Centré"/>
    <w:next w:val="SNAutorit"/>
    <w:qFormat/>
    <w:rsid w:val="00FB6E53"/>
    <w:pPr>
      <w:suppressAutoHyphens/>
      <w:spacing w:after="0" w:line="240" w:lineRule="auto"/>
      <w:jc w:val="center"/>
    </w:pPr>
    <w:rPr>
      <w:rFonts w:ascii="Times New Roman" w:eastAsia="Times New Roman" w:hAnsi="Times New Roman" w:cs="Times New Roman"/>
      <w:bCs/>
      <w:sz w:val="24"/>
      <w:szCs w:val="20"/>
      <w:lang w:eastAsia="zh-CN"/>
    </w:rPr>
  </w:style>
  <w:style w:type="paragraph" w:customStyle="1" w:styleId="SNAutorit">
    <w:name w:val="SNAutorité"/>
    <w:basedOn w:val="Normal"/>
    <w:qFormat/>
    <w:rsid w:val="00FB6E53"/>
    <w:pPr>
      <w:spacing w:before="720" w:after="240"/>
      <w:ind w:firstLine="720"/>
    </w:pPr>
    <w:rPr>
      <w:b/>
    </w:rPr>
  </w:style>
  <w:style w:type="paragraph" w:customStyle="1" w:styleId="SNSignatureprnomnomDroite">
    <w:name w:val="SNSignature prénom+nom Droite"/>
    <w:basedOn w:val="Normal"/>
    <w:next w:val="SNSignatureGauche"/>
    <w:qFormat/>
    <w:rsid w:val="00FB6E53"/>
    <w:pPr>
      <w:spacing w:before="120" w:after="120"/>
      <w:ind w:left="5041"/>
      <w:jc w:val="right"/>
    </w:pPr>
    <w:rPr>
      <w:color w:val="000000"/>
    </w:rPr>
  </w:style>
  <w:style w:type="paragraph" w:customStyle="1" w:styleId="SNSignatureGauche">
    <w:name w:val="SNSignatureGauche"/>
    <w:basedOn w:val="Normal"/>
    <w:next w:val="SNSignatureprnomnomGauche"/>
    <w:qFormat/>
    <w:rsid w:val="00FB6E53"/>
    <w:pPr>
      <w:spacing w:before="120" w:after="1680"/>
      <w:ind w:left="720" w:right="4494"/>
    </w:pPr>
  </w:style>
  <w:style w:type="paragraph" w:customStyle="1" w:styleId="SNSignatureprnomnomGauche">
    <w:name w:val="SNSignature prénom+nom Gauche"/>
    <w:basedOn w:val="SNSignatureGauche"/>
    <w:next w:val="Normal"/>
    <w:qFormat/>
    <w:rsid w:val="00FB6E53"/>
    <w:pPr>
      <w:spacing w:after="120"/>
    </w:pPr>
    <w:rPr>
      <w:color w:val="000000"/>
    </w:rPr>
  </w:style>
  <w:style w:type="paragraph" w:customStyle="1" w:styleId="SNTimbre">
    <w:name w:val="SNTimbre"/>
    <w:basedOn w:val="Normal"/>
    <w:qFormat/>
    <w:rsid w:val="00FB6E53"/>
    <w:pPr>
      <w:widowControl w:val="0"/>
      <w:snapToGrid w:val="0"/>
      <w:spacing w:before="120"/>
      <w:jc w:val="center"/>
    </w:pPr>
    <w:rPr>
      <w:rFonts w:eastAsia="Lucida Sans Unicode"/>
    </w:rPr>
  </w:style>
  <w:style w:type="paragraph" w:customStyle="1" w:styleId="SNRapport">
    <w:name w:val="SNRapport"/>
    <w:basedOn w:val="Normal"/>
    <w:qFormat/>
    <w:rsid w:val="00FB6E53"/>
    <w:pPr>
      <w:spacing w:before="240" w:after="120"/>
      <w:ind w:firstLine="720"/>
    </w:pPr>
  </w:style>
  <w:style w:type="paragraph" w:customStyle="1" w:styleId="SNVisa">
    <w:name w:val="SNVisa"/>
    <w:basedOn w:val="Normal"/>
    <w:qFormat/>
    <w:rsid w:val="00FB6E53"/>
    <w:pPr>
      <w:spacing w:before="120" w:after="120"/>
      <w:ind w:firstLine="720"/>
    </w:pPr>
  </w:style>
  <w:style w:type="paragraph" w:customStyle="1" w:styleId="SNDate">
    <w:name w:val="SNDate"/>
    <w:basedOn w:val="Normal"/>
    <w:next w:val="Normal"/>
    <w:qFormat/>
    <w:rsid w:val="00FB6E53"/>
    <w:pPr>
      <w:spacing w:before="480" w:after="2760"/>
      <w:ind w:firstLine="720"/>
    </w:pPr>
  </w:style>
  <w:style w:type="paragraph" w:customStyle="1" w:styleId="SNActe">
    <w:name w:val="SNActe"/>
    <w:basedOn w:val="Normal"/>
    <w:qFormat/>
    <w:rsid w:val="00FB6E53"/>
    <w:pPr>
      <w:spacing w:before="480" w:after="360"/>
      <w:jc w:val="center"/>
    </w:pPr>
    <w:rPr>
      <w:b/>
    </w:rPr>
  </w:style>
  <w:style w:type="paragraph" w:customStyle="1" w:styleId="SNArticle">
    <w:name w:val="SNArticle"/>
    <w:basedOn w:val="Normal"/>
    <w:next w:val="BodyText"/>
    <w:qFormat/>
    <w:rsid w:val="00FB6E53"/>
    <w:pPr>
      <w:spacing w:before="240" w:after="240"/>
      <w:jc w:val="center"/>
    </w:pPr>
    <w:rPr>
      <w:b/>
    </w:rPr>
  </w:style>
  <w:style w:type="paragraph" w:styleId="CommentText">
    <w:name w:val="annotation text"/>
    <w:basedOn w:val="Normal"/>
    <w:link w:val="CommentTextChar"/>
    <w:uiPriority w:val="99"/>
    <w:qFormat/>
    <w:rsid w:val="00FB6E53"/>
    <w:rPr>
      <w:sz w:val="20"/>
      <w:szCs w:val="20"/>
    </w:rPr>
  </w:style>
  <w:style w:type="character" w:customStyle="1" w:styleId="CommentTextChar">
    <w:name w:val="Comment Text Char"/>
    <w:basedOn w:val="DefaultParagraphFont"/>
    <w:link w:val="CommentText"/>
    <w:uiPriority w:val="99"/>
    <w:qFormat/>
    <w:rsid w:val="00FB6E53"/>
    <w:rPr>
      <w:rFonts w:ascii="Times New Roman" w:eastAsia="Times New Roman" w:hAnsi="Times New Roman" w:cs="Times New Roman"/>
      <w:sz w:val="20"/>
      <w:szCs w:val="20"/>
      <w:lang w:eastAsia="zh-CN"/>
    </w:rPr>
  </w:style>
  <w:style w:type="character" w:styleId="Hyperlink">
    <w:name w:val="Hyperlink"/>
    <w:basedOn w:val="DefaultParagraphFont"/>
    <w:uiPriority w:val="99"/>
    <w:unhideWhenUsed/>
    <w:rsid w:val="00FB6E53"/>
    <w:rPr>
      <w:color w:val="0563C1" w:themeColor="hyperlink"/>
      <w:u w:val="single"/>
    </w:rPr>
  </w:style>
  <w:style w:type="paragraph" w:styleId="BalloonText">
    <w:name w:val="Balloon Text"/>
    <w:basedOn w:val="Normal"/>
    <w:link w:val="BalloonTextChar"/>
    <w:uiPriority w:val="99"/>
    <w:semiHidden/>
    <w:unhideWhenUsed/>
    <w:rsid w:val="00FB6E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E53"/>
    <w:rPr>
      <w:rFonts w:ascii="Segoe UI" w:eastAsia="Times New Roman" w:hAnsi="Segoe UI" w:cs="Segoe UI"/>
      <w:sz w:val="18"/>
      <w:szCs w:val="18"/>
      <w:lang w:eastAsia="zh-CN"/>
    </w:rPr>
  </w:style>
  <w:style w:type="paragraph" w:styleId="ListParagraph">
    <w:name w:val="List Paragraph"/>
    <w:basedOn w:val="Normal"/>
    <w:uiPriority w:val="34"/>
    <w:qFormat/>
    <w:rsid w:val="00FB6E53"/>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FB6E53"/>
    <w:rPr>
      <w:b/>
      <w:bCs/>
    </w:rPr>
  </w:style>
  <w:style w:type="character" w:customStyle="1" w:styleId="CommentSubjectChar">
    <w:name w:val="Comment Subject Char"/>
    <w:basedOn w:val="CommentTextChar"/>
    <w:link w:val="CommentSubject"/>
    <w:uiPriority w:val="99"/>
    <w:semiHidden/>
    <w:rsid w:val="00FB6E53"/>
    <w:rPr>
      <w:rFonts w:ascii="Times New Roman" w:eastAsia="Times New Roman" w:hAnsi="Times New Roman" w:cs="Times New Roman"/>
      <w:b/>
      <w:bCs/>
      <w:sz w:val="20"/>
      <w:szCs w:val="20"/>
      <w:lang w:eastAsia="zh-CN"/>
    </w:rPr>
  </w:style>
  <w:style w:type="paragraph" w:styleId="Revision">
    <w:name w:val="Revision"/>
    <w:hidden/>
    <w:uiPriority w:val="99"/>
    <w:semiHidden/>
    <w:rsid w:val="001202A5"/>
    <w:pPr>
      <w:spacing w:after="0"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39"/>
    <w:rsid w:val="0085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2707">
      <w:bodyDiv w:val="1"/>
      <w:marLeft w:val="0"/>
      <w:marRight w:val="0"/>
      <w:marTop w:val="0"/>
      <w:marBottom w:val="0"/>
      <w:divBdr>
        <w:top w:val="none" w:sz="0" w:space="0" w:color="auto"/>
        <w:left w:val="none" w:sz="0" w:space="0" w:color="auto"/>
        <w:bottom w:val="none" w:sz="0" w:space="0" w:color="auto"/>
        <w:right w:val="none" w:sz="0" w:space="0" w:color="auto"/>
      </w:divBdr>
    </w:div>
    <w:div w:id="1144465301">
      <w:bodyDiv w:val="1"/>
      <w:marLeft w:val="0"/>
      <w:marRight w:val="0"/>
      <w:marTop w:val="0"/>
      <w:marBottom w:val="0"/>
      <w:divBdr>
        <w:top w:val="none" w:sz="0" w:space="0" w:color="auto"/>
        <w:left w:val="none" w:sz="0" w:space="0" w:color="auto"/>
        <w:bottom w:val="none" w:sz="0" w:space="0" w:color="auto"/>
        <w:right w:val="none" w:sz="0" w:space="0" w:color="auto"/>
      </w:divBdr>
    </w:div>
    <w:div w:id="16818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B3072-2097-4A35-92E6-3A32BF9B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1749</Words>
  <Characters>9972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DICANOT Anthony</dc:creator>
  <cp:lastModifiedBy>Dimitris Dimitriadis</cp:lastModifiedBy>
  <cp:revision>4</cp:revision>
  <dcterms:created xsi:type="dcterms:W3CDTF">2021-12-28T12:10:00Z</dcterms:created>
  <dcterms:modified xsi:type="dcterms:W3CDTF">2022-01-07T07:42:00Z</dcterms:modified>
</cp:coreProperties>
</file>