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ES- ------ 20190729 --- --- PROJET</w:t>
      </w:r>
    </w:p>
    <w:p w:rsidR="00E4313A" w:rsidRPr="003136B9" w:rsidRDefault="00E4313A" w:rsidP="00624C2A">
      <w:pPr>
        <w:pStyle w:val="OZNPROJEKTUwskazaniedatylubwersjiprojektu"/>
      </w:pPr>
      <w:r>
        <w:t>Proyecto</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LEY</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de [día] de [mes] de [año]</w:t>
      </w:r>
    </w:p>
    <w:p w:rsidR="00E4313A" w:rsidRPr="00C12D18" w:rsidRDefault="00E4313A" w:rsidP="00624C2A">
      <w:pPr>
        <w:pStyle w:val="TYTDZPRZEDMprzedmiotregulacjitytuulubdziau"/>
        <w:keepNext w:val="0"/>
        <w:rPr>
          <w:rStyle w:val="IGindeksgrny"/>
        </w:rPr>
      </w:pPr>
      <w:r>
        <w:rPr>
          <w:rFonts w:ascii="Times New Roman" w:hAnsi="Times New Roman"/>
        </w:rPr>
        <w:t>por la que se modifica la Ley de organización de determinados mercados agrícolas y la Ley de prevención del uso desleal de la ventaja contractual en el comercio de productos agrícolas y alimentarios</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Artículo 1.</w:t>
      </w:r>
      <w:r>
        <w:rPr>
          <w:rFonts w:ascii="Times New Roman" w:hAnsi="Times New Roman"/>
        </w:rPr>
        <w:t xml:space="preserve"> La Ley de 11 de marzo de 2004 sobre la organización de determinados mercados agrícolas (Boletín Oficial 2018, punto 945) queda modificada como sigue:</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 xml:space="preserve">en el artículo 38 </w:t>
      </w:r>
      <w:r>
        <w:rPr>
          <w:rFonts w:ascii="Times New Roman" w:hAnsi="Times New Roman"/>
          <w:i/>
        </w:rPr>
        <w:t>octodecies</w:t>
      </w:r>
      <w:r>
        <w:rPr>
          <w:rFonts w:ascii="Times New Roman" w:hAnsi="Times New Roman"/>
        </w:rPr>
        <w:t>:</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el apartado 1 se sustituye por lo siguiente:</w:t>
      </w:r>
    </w:p>
    <w:p w:rsidR="00FD19C8" w:rsidRDefault="00FD19C8" w:rsidP="00624C2A">
      <w:pPr>
        <w:pStyle w:val="ZLITUSTzmustliter"/>
        <w:rPr>
          <w:rFonts w:ascii="Times New Roman" w:hAnsi="Times New Roman" w:cs="Times New Roman"/>
          <w:szCs w:val="24"/>
        </w:rPr>
      </w:pPr>
      <w:r>
        <w:rPr>
          <w:rFonts w:ascii="Times New Roman" w:hAnsi="Times New Roman"/>
        </w:rPr>
        <w:t>«1. Cada una de las entregas de productos agrícolas pertenecientes a los sectores contemplados en el artículo 1, apartado 2, letra a), del Reglamento n.º 1308/2013, la letra c) de dicho Reglamento, exclusivamente en lo que respecta a la remolacha azucarera, las letras f), h), i), n) y o) de dicho Reglamento y la letra p) de dicho Reglamento, exclusivamente en lo que respecta a la leche cruda, las letras q), r), s) y t) de dicho Reglamento, y la letra x) de dicho Reglamento exclusivamente en lo que respecta a la patata, la colza y la nabina, con excepción del suministro directo y la venta al por menor de productos agrícolas en el sentido de la Ley, de 25 de agosto de 2006, sobre seguridad de los alimentos y los piensos (Boletín Oficial de 2018, punto1541, en su versión modificada</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y las ventas directas en el sentido de la Ley, de 16 de diciembre de 2005, relativa a los productos de origen animal (Boletín Oficial de 2019, punto 824) por un productor que sea agricultor en el sentido del artículo 4, apartado 1, letra a), del Reglamento (UE) n.º 1307/2013 del Parlamento Europeo y del Consejo, de 17 de diciembre de 2013, por el que se establecen normas aplicables a los pagos directos a los agricultores en virtud de los regímenes de ayuda incluidos </w:t>
      </w:r>
      <w:r>
        <w:rPr>
          <w:rFonts w:ascii="Times New Roman" w:hAnsi="Times New Roman"/>
        </w:rPr>
        <w:lastRenderedPageBreak/>
        <w:t>en el marco de la Política Agrícola Común y por el que se derogan los Reglamentos (CE) n.º 637/2008 y (CE) n.º 73/2009 del Consejo [DO L 347 de 20.12.2013, p. 608, en su versión modificada</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cuya explotación está situada en el territorio de la República de Polonia, al primer comprador que sea un transformador o distribuidor que no venda directamente estos productos agrícolas a los consumidores finales (en adelante, "distribuidor") o a un intermediario que no venda estos productos agrícolas directamente a los consumidores finales (en adelante, "intermediario") requerirá la celebración de un contrato que cubra una o varias entregas que cumplan los requisitos establecidos en:</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el artículo 125 y en el anexo X del Reglamento n.º 1308/2013: para los productos agrícolas pertenecientes al sector a que se refiere el artículo 1, apartado 2, letra c), del Reglamento n.º 1308/2013, exclusivamente en lo que respecta a la remolacha azucarera;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el artículo 148, apartado 2, del Reglamento n.º 1308/2013: para los productos agrícolas pertenecientes al sector a que se refiere el artículo 1, apartado 2, letra p), del Reglamento n.º 1308/2013, exclusivamente en lo que respecta a la leche cruda;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el artículo 168, apartados 4 y 6, del Reglamento n.º 1308/2013: para los productos agrícolas pertenecientes a los sectores a que se refiere el artículo 1, apartado 2, letras a), f), h), i), n), o), q), r), s) y t), del Reglamento n.º 1308/2013 y la letra x) del Reglamento n.º 1308/2013, exclusivamente en lo que respecta a las patatas, la colza y la nabina.»;</w:t>
      </w:r>
    </w:p>
    <w:p w:rsidR="00E4313A" w:rsidRPr="00072863" w:rsidRDefault="003B48AC" w:rsidP="00624C2A">
      <w:pPr>
        <w:pStyle w:val="LITlitera"/>
      </w:pPr>
      <w:r>
        <w:t>b)</w:t>
      </w:r>
      <w:r>
        <w:tab/>
        <w:t xml:space="preserve">en el apartado 1 </w:t>
      </w:r>
      <w:r>
        <w:rPr>
          <w:i/>
        </w:rPr>
        <w:t>bis</w:t>
      </w:r>
      <w:r>
        <w:t>, se sustituyen las palabras «de los anexos X y XI» por las palabras «del anexo» X;</w:t>
      </w:r>
    </w:p>
    <w:p w:rsidR="00EF6289" w:rsidRDefault="009809DC" w:rsidP="00624C2A">
      <w:pPr>
        <w:pStyle w:val="LITlitera"/>
        <w:keepNext/>
        <w:keepLines/>
      </w:pPr>
      <w:r>
        <w:t>c)</w:t>
      </w:r>
      <w:r>
        <w:tab/>
        <w:t xml:space="preserve">en el apartado 1 </w:t>
      </w:r>
      <w:r>
        <w:rPr>
          <w:i/>
        </w:rPr>
        <w:t>ter</w:t>
      </w:r>
      <w:r>
        <w:t>:</w:t>
      </w:r>
    </w:p>
    <w:p w:rsidR="00B01B0A" w:rsidRPr="00072863" w:rsidRDefault="00B01B0A" w:rsidP="00624C2A">
      <w:pPr>
        <w:pStyle w:val="TIRtiret"/>
      </w:pPr>
      <w:r>
        <w:t>–</w:t>
      </w:r>
      <w:r>
        <w:tab/>
        <w:t>el punto 2 queda derogado,</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 xml:space="preserve">en la parte común de la enumeración, se sustituyen las palabras «artículo 125 o 127 del Reglamento 1308/2013 y, respectivamente, en el anexo X o en el anexo </w:t>
      </w:r>
      <w:r>
        <w:rPr>
          <w:rFonts w:ascii="Times New Roman" w:hAnsi="Times New Roman"/>
        </w:rPr>
        <w:lastRenderedPageBreak/>
        <w:t>XI» por las palabras «artículo 125 del Reglamento 1308/2013 y, respectivamente, en el anexo X»</w:t>
      </w:r>
      <w:r>
        <w:t>;</w:t>
      </w:r>
    </w:p>
    <w:p w:rsidR="00BF55CF" w:rsidRPr="00072863" w:rsidRDefault="00B01B0A" w:rsidP="00624C2A">
      <w:pPr>
        <w:pStyle w:val="LITlitera"/>
        <w:keepNext/>
        <w:keepLines/>
      </w:pPr>
      <w:r>
        <w:t>d)</w:t>
      </w:r>
      <w:r>
        <w:tab/>
        <w:t xml:space="preserve">después del apartado 1 </w:t>
      </w:r>
      <w:r>
        <w:rPr>
          <w:i/>
        </w:rPr>
        <w:t>ter</w:t>
      </w:r>
      <w:r>
        <w:t>, se añade el siguiente apartado 1</w:t>
      </w:r>
      <w:r>
        <w:rPr>
          <w:i/>
        </w:rPr>
        <w:t xml:space="preserve"> ter bis:</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 </w:t>
      </w:r>
      <w:r>
        <w:rPr>
          <w:rFonts w:ascii="Times New Roman" w:hAnsi="Times New Roman"/>
          <w:i/>
        </w:rPr>
        <w:t>ter bis</w:t>
      </w:r>
      <w:r>
        <w:rPr>
          <w:rFonts w:ascii="Times New Roman" w:hAnsi="Times New Roman"/>
        </w:rPr>
        <w:t>. Las disposiciones del apartado 1 no se aplicarán cuando el productor a que se refiere el apartado 1 venda productos agrícolas a través de una bolsa de mercancías en el sentido de las disposiciones relativas a la bolsa de mercancías, a través de un sistema de negociación de instrumentos financieros en el sentido de las disposiciones relativas al comercio de instrumentos financieros, o en los locales de los mercados mayoristas agroalimentarios gestionados por sociedades comerciales cuya actividad principal consista en el alquiler de propiedades para la venta al por mayor de productos agroalimentarios y en la gestión de dichas propiedades.»;</w:t>
      </w:r>
    </w:p>
    <w:p w:rsidR="003B0EDD" w:rsidRDefault="00C95BB7" w:rsidP="0072659A">
      <w:pPr>
        <w:pStyle w:val="LITlitera"/>
        <w:keepNext/>
        <w:keepLines/>
      </w:pPr>
      <w:r>
        <w:t>e)</w:t>
      </w:r>
      <w:r>
        <w:tab/>
        <w:t xml:space="preserve">el apartado 1 </w:t>
      </w:r>
      <w:r>
        <w:rPr>
          <w:i/>
        </w:rPr>
        <w:t>quater</w:t>
      </w:r>
      <w:r>
        <w:t xml:space="preserve"> se sustituye por lo siguiente:</w:t>
      </w:r>
    </w:p>
    <w:p w:rsidR="00E4313A" w:rsidRPr="00072863" w:rsidRDefault="003B0EDD" w:rsidP="00624C2A">
      <w:pPr>
        <w:pStyle w:val="ZLITUSTzmustliter"/>
      </w:pPr>
      <w:r>
        <w:t xml:space="preserve">«1 </w:t>
      </w:r>
      <w:r>
        <w:rPr>
          <w:i/>
        </w:rPr>
        <w:t>quater</w:t>
      </w:r>
      <w:r>
        <w:t>. El contrato a que se refiere el apartado 1 será conservado por el productor y el comprador a que se refiere el apartado 1 durante dos años a partir del final del año en que se haya efectuado la última entrega incluida en dicho contrato.»;</w:t>
      </w:r>
    </w:p>
    <w:p w:rsidR="00CB5759" w:rsidRPr="00072863" w:rsidRDefault="00B91D09" w:rsidP="00624C2A">
      <w:pPr>
        <w:pStyle w:val="LITlitera"/>
        <w:keepNext/>
        <w:keepLines/>
      </w:pPr>
      <w:r>
        <w:t>f)</w:t>
      </w:r>
      <w:r>
        <w:tab/>
        <w:t>el apartado 4 se sustituye por lo siguiente:</w:t>
      </w:r>
    </w:p>
    <w:p w:rsidR="00CB5759" w:rsidRPr="00072863" w:rsidRDefault="00CB5759" w:rsidP="00624C2A">
      <w:pPr>
        <w:pStyle w:val="ZLITUSTzmustliter"/>
      </w:pPr>
      <w:r>
        <w:t>«4. El Ministro responsable de los mercados agrícolas definirá, por medio de un reglamento:</w:t>
      </w:r>
    </w:p>
    <w:p w:rsidR="00137BB1" w:rsidRPr="00072863" w:rsidRDefault="00137BB1" w:rsidP="00624C2A">
      <w:pPr>
        <w:pStyle w:val="ZLITPKTzmpktliter"/>
      </w:pPr>
      <w:r>
        <w:t>1)</w:t>
      </w:r>
      <w:r>
        <w:tab/>
        <w:t>la duración mínima del contrato mencionada en el apartado 1; o</w:t>
      </w:r>
    </w:p>
    <w:p w:rsidR="0035086C" w:rsidRPr="00924BC2" w:rsidRDefault="00137BB1" w:rsidP="00624C2A">
      <w:pPr>
        <w:pStyle w:val="ZLITPKTzmpktliter"/>
      </w:pPr>
      <w:r>
        <w:t>2)</w:t>
      </w:r>
      <w:r>
        <w:tab/>
        <w:t>el período mínimo entre la celebración del contrato mencionado en el apartado 1 y el suministro de productos agrícolas; o</w:t>
      </w:r>
    </w:p>
    <w:p w:rsidR="00774693" w:rsidRPr="00924BC2" w:rsidRDefault="00774693" w:rsidP="00624C2A">
      <w:pPr>
        <w:pStyle w:val="ZLITPKTzmpktliter"/>
      </w:pPr>
      <w:r>
        <w:t>3)</w:t>
      </w:r>
      <w:r>
        <w:tab/>
        <w:t>la fecha de la celebración del contrato según el apartado 1,</w:t>
      </w:r>
    </w:p>
    <w:p w:rsidR="00137BB1" w:rsidRPr="00072863" w:rsidRDefault="00942A4A" w:rsidP="00624C2A">
      <w:pPr>
        <w:pStyle w:val="ZLITCZWSPPKTzmczciwsppktliter"/>
      </w:pPr>
      <w:r>
        <w:t>por lo que respecta a los productos agrícolas seleccionados de la lista de productos agrícolas pertenecientes a los sectores contemplados en la artículo 1, apartado 2, letra a), del Reglamento n.º 1308/2013, la letra c) de dicho Reglamento, exclusivamente en lo que respecta a la remolacha azucarera, las letras f), h), i), n) y o) de dicho Reglamento, la letra p) de dicho Reglamento, exclusivamente en lo que respecta a la leche cruda, las letras q), r), s) y t) de dicho Reglamento, y la letra x) de dicho Reglamento, exclusivamente en lo que respecta a la patata, la colza y la nabina, teniendo en cuenta la necesidad de garantizar el correcto funcionamiento del mercado único en estos sectores.»;</w:t>
      </w:r>
    </w:p>
    <w:p w:rsidR="00996DE9" w:rsidRPr="00072863" w:rsidRDefault="00D11CF7" w:rsidP="00624C2A">
      <w:pPr>
        <w:pStyle w:val="LITlitera"/>
        <w:keepNext/>
        <w:keepLines/>
      </w:pPr>
      <w:r>
        <w:lastRenderedPageBreak/>
        <w:t>g)</w:t>
      </w:r>
      <w:r>
        <w:tab/>
        <w:t>se añade el siguiente apartado 5:</w:t>
      </w:r>
    </w:p>
    <w:p w:rsidR="00E4313A" w:rsidRPr="00072863" w:rsidRDefault="00996DE9" w:rsidP="00624C2A">
      <w:pPr>
        <w:pStyle w:val="ZLITUSTzmustliter"/>
      </w:pPr>
      <w:r>
        <w:t>«5. Cuando, de conformidad con el apartado 4, el Ministro responsable de los mercados agrícolas establezca disposiciones que fijen el período mínimo entre la celebración del contrato mencionado en el apartado 1 y el suministro de productos pertenecientes a los sectores contemplados en la artículo 1, apartado 2, letra a), del Reglamento n.º 1308/2013, la letra c) de dicho Reglamento, exclusivamente en lo que respecta a la remolacha azucarera, las letras f), h), i), n) y o) de dicho Reglamento, la letra p) de dicho Reglamento, exclusivamente en lo que respecta a la leche cruda, las letras q), r), s) y t) de dicho Reglamento, y la letra x) de dicho Reglamento, exclusivamente en lo que respecta a la patata, la colza y la nabina, o la fecha de celebración del contrato a que se refiere el apartado 1, no se aplicarán las disposiciones adoptadas en virtud del apartado 4 si se ha aplicado, respectivamente, el artículo 148, apartado 4, párrafo tercero, o el artículo 168, apartado 6, párrafo tercero, del Reglamento n.º 1308/2013.»;</w:t>
      </w:r>
    </w:p>
    <w:p w:rsidR="00E4313A" w:rsidRPr="00072863" w:rsidRDefault="00241148" w:rsidP="00624C2A">
      <w:pPr>
        <w:pStyle w:val="PKTpunkt"/>
        <w:keepNext/>
        <w:keepLines/>
      </w:pPr>
      <w:r>
        <w:t>2)</w:t>
      </w:r>
      <w:r>
        <w:tab/>
        <w:t xml:space="preserve">en el artículo 40 </w:t>
      </w:r>
      <w:r>
        <w:rPr>
          <w:i/>
        </w:rPr>
        <w:t>decies</w:t>
      </w:r>
      <w:r>
        <w:t xml:space="preserve">: </w:t>
      </w:r>
    </w:p>
    <w:p w:rsidR="00E4313A" w:rsidRPr="00072863" w:rsidRDefault="00241148" w:rsidP="00624C2A">
      <w:pPr>
        <w:pStyle w:val="LITlitera"/>
      </w:pPr>
      <w:r>
        <w:t>a)</w:t>
      </w:r>
      <w:r>
        <w:tab/>
        <w:t>en el apartado 1, se sustituye la palabra «distribuidor» por las palabras «distribuidor o intermediario»;</w:t>
      </w:r>
    </w:p>
    <w:p w:rsidR="00480DDC" w:rsidRDefault="008A5910" w:rsidP="00624C2A">
      <w:pPr>
        <w:pStyle w:val="LITlitera"/>
      </w:pPr>
      <w:r>
        <w:t>b)</w:t>
      </w:r>
      <w:r>
        <w:tab/>
        <w:t xml:space="preserve">en el apartado 1 </w:t>
      </w:r>
      <w:r>
        <w:rPr>
          <w:i/>
        </w:rPr>
        <w:t>bis</w:t>
      </w:r>
      <w:r>
        <w:t xml:space="preserve">, se sustituyen las palabras «las compras del distribuidor, en contra de lo dispuesto en el artículo 38 </w:t>
      </w:r>
      <w:r>
        <w:rPr>
          <w:i/>
        </w:rPr>
        <w:t>octodecies</w:t>
      </w:r>
      <w:r>
        <w:t xml:space="preserve">, apartado 1 o 1 </w:t>
      </w:r>
      <w:r>
        <w:rPr>
          <w:i/>
        </w:rPr>
        <w:t>bis</w:t>
      </w:r>
      <w:r>
        <w:t xml:space="preserve">» por las palabras «las compras del distribuidor o intermediario, en contra de lo dispuesto en el artículo 38 </w:t>
      </w:r>
      <w:r>
        <w:rPr>
          <w:i/>
        </w:rPr>
        <w:t>octodecies</w:t>
      </w:r>
      <w:r>
        <w:t>, apartado 1»;</w:t>
      </w:r>
    </w:p>
    <w:p w:rsidR="00F847AB" w:rsidRPr="00072863" w:rsidRDefault="00480DDC" w:rsidP="00624C2A">
      <w:pPr>
        <w:pStyle w:val="LITlitera"/>
        <w:keepNext/>
        <w:keepLines/>
      </w:pPr>
      <w:r>
        <w:t>c)</w:t>
      </w:r>
      <w:r>
        <w:tab/>
        <w:t xml:space="preserve">los apartados 1 </w:t>
      </w:r>
      <w:r>
        <w:rPr>
          <w:i/>
        </w:rPr>
        <w:t>ter</w:t>
      </w:r>
      <w:r>
        <w:t xml:space="preserve"> y 1 </w:t>
      </w:r>
      <w:r>
        <w:rPr>
          <w:i/>
        </w:rPr>
        <w:t>quater</w:t>
      </w:r>
      <w:r>
        <w:t xml:space="preserve"> se sustituyen por lo siguiente:</w:t>
      </w:r>
    </w:p>
    <w:p w:rsidR="002A571F" w:rsidRPr="002A571F" w:rsidRDefault="00F847AB" w:rsidP="00624C2A">
      <w:pPr>
        <w:pStyle w:val="ZLITUSTzmustliter"/>
      </w:pPr>
      <w:r>
        <w:t xml:space="preserve">«1 </w:t>
      </w:r>
      <w:r>
        <w:rPr>
          <w:i/>
        </w:rPr>
        <w:t>ter</w:t>
      </w:r>
      <w:r>
        <w:t xml:space="preserve">. El primer transformador, distribuidor o intermediario que, en contra de lo dispuesto en el artículo 38 </w:t>
      </w:r>
      <w:r>
        <w:rPr>
          <w:i/>
        </w:rPr>
        <w:t>octodecies</w:t>
      </w:r>
      <w:r>
        <w:t xml:space="preserve">, apartado 1, adquiera productos agrícolas pertenecientes a los sectores mencionados en el artículo 38 </w:t>
      </w:r>
      <w:r>
        <w:rPr>
          <w:i/>
        </w:rPr>
        <w:t>octodecies</w:t>
      </w:r>
      <w:r>
        <w:t>, apartado 1, en virtud de un contrato que no cumpla los requisitos establecidos en:</w:t>
      </w:r>
    </w:p>
    <w:p w:rsidR="002A571F" w:rsidRPr="002A571F" w:rsidRDefault="002A571F" w:rsidP="00624C2A">
      <w:pPr>
        <w:pStyle w:val="ZLITPKTzmpktliter"/>
      </w:pPr>
      <w:r>
        <w:t>1)</w:t>
      </w:r>
      <w:r>
        <w:tab/>
        <w:t>el artículo 148, apartado 2, letras a) y c), inciso i), del Reglamento n.º 1308/2013: para los productos agrícolas pertenecientes al sector a que se refiere el artículo 1, apartado 2, letra p), del Reglamento n.º 1308/2013, exclusivamente en lo que respecta a la leche cruda;</w:t>
      </w:r>
    </w:p>
    <w:p w:rsidR="002A571F" w:rsidRPr="002A571F" w:rsidRDefault="002A571F" w:rsidP="00624C2A">
      <w:pPr>
        <w:pStyle w:val="ZLITPKTzmpktliter"/>
      </w:pPr>
      <w:r>
        <w:t>2)</w:t>
      </w:r>
      <w:r>
        <w:tab/>
        <w:t xml:space="preserve">el artículo 168, apartado 4, letras c), inciso i), del Reglamento n.º 1308/2013: para los productos agrícolas pertenecientes a los sectores a que se refiere el artículo 1, apartado 2, letras a), f), h), i), n), o), q), r), s) y t), del Reglamento </w:t>
      </w:r>
      <w:r>
        <w:lastRenderedPageBreak/>
        <w:t xml:space="preserve">n.º 1308/2013 y la letra x) del Reglamento n.º 1308/2013, exclusivamente en lo que respecta a las patatas, la colza y la nabina, </w:t>
      </w:r>
    </w:p>
    <w:p w:rsidR="002A571F" w:rsidRPr="00B44A77" w:rsidRDefault="002A571F" w:rsidP="00624C2A">
      <w:pPr>
        <w:pStyle w:val="ZLITCZWSPPKTzmczciwsppktliter"/>
      </w:pPr>
      <w:r>
        <w:t xml:space="preserve">estará sujeto a una sanción financiera del 4 % del pago en el sentido del artículo 29 </w:t>
      </w:r>
      <w:r>
        <w:rPr>
          <w:i/>
        </w:rPr>
        <w:t>bis</w:t>
      </w:r>
      <w:r>
        <w:t>, apartado 1, de la Ley de 11 de marzo de 2004 relativa al impuesto sobre el valor añadido para los productos adquiridos como resultado de dicho contrato, por cada requisito no cumplido.</w:t>
      </w:r>
    </w:p>
    <w:p w:rsidR="00955DCD" w:rsidRDefault="00AC7836" w:rsidP="00624C2A">
      <w:pPr>
        <w:pStyle w:val="ZLITUSTzmustliter"/>
      </w:pPr>
      <w:r>
        <w:t xml:space="preserve">1 </w:t>
      </w:r>
      <w:r>
        <w:rPr>
          <w:i/>
        </w:rPr>
        <w:t>quater</w:t>
      </w:r>
      <w:r>
        <w:t xml:space="preserve">. El primer transformador, distribuidor o intermediario que, en contra de lo dispuesto en el artículo 38 </w:t>
      </w:r>
      <w:r>
        <w:rPr>
          <w:i/>
        </w:rPr>
        <w:t>octodecies</w:t>
      </w:r>
      <w:r>
        <w:t xml:space="preserve">, apartado 1, adquiera productos agrícolas pertenecientes a los sectores mencionados en el artículo 38 </w:t>
      </w:r>
      <w:r>
        <w:rPr>
          <w:i/>
        </w:rPr>
        <w:t>octodecies</w:t>
      </w:r>
      <w:r>
        <w:t xml:space="preserve">, apartado 1, en virtud de un contrato que no cumpla los requisitos establecidos en el artículo 125 del Reglamento n.º 1308/2013 y en el anexo X del Reglamento n.º 1308/2013, con excepción del requisito establecido en el punto I, apartado 1, de dicho anexo, para los productos agrícolas pertenecientes al sector mencionado en el artículo 1, apartado 2, letra c), del Reglamento n.º 1308/2013, exclusivamente en lo que respecta a la remolacha azucarera, estarán sujetos a una sanción financiera del 8 % del pago en el sentido del artículo 29 </w:t>
      </w:r>
      <w:r>
        <w:rPr>
          <w:i/>
        </w:rPr>
        <w:t>bis</w:t>
      </w:r>
      <w:r>
        <w:t>, apartado 1, de la Ley de 11 de marzo de 2004 relativa al impuesto sobre el valor añadido para los productos comprados como consecuencia de dicho contrato.»;</w:t>
      </w:r>
    </w:p>
    <w:p w:rsidR="00694E98" w:rsidRPr="00072863" w:rsidRDefault="00480DDC" w:rsidP="00624C2A">
      <w:pPr>
        <w:pStyle w:val="LITlitera"/>
        <w:keepNext/>
        <w:keepLines/>
        <w:rPr>
          <w:rFonts w:ascii="Times New Roman" w:hAnsi="Times New Roman" w:cs="Times New Roman"/>
          <w:szCs w:val="24"/>
        </w:rPr>
      </w:pPr>
      <w:r>
        <w:t>d)</w:t>
      </w:r>
      <w:r>
        <w:tab/>
      </w:r>
      <w:r>
        <w:rPr>
          <w:rFonts w:ascii="Times New Roman" w:hAnsi="Times New Roman"/>
        </w:rPr>
        <w:t xml:space="preserve">después del apartado 1 </w:t>
      </w:r>
      <w:r>
        <w:rPr>
          <w:rFonts w:ascii="Times New Roman" w:hAnsi="Times New Roman"/>
          <w:i/>
        </w:rPr>
        <w:t>quater</w:t>
      </w:r>
      <w:r>
        <w:rPr>
          <w:rFonts w:ascii="Times New Roman" w:hAnsi="Times New Roman"/>
        </w:rPr>
        <w:t xml:space="preserve">, se añaden los siguientes apartados 1 </w:t>
      </w:r>
      <w:r>
        <w:rPr>
          <w:rFonts w:ascii="Times New Roman" w:hAnsi="Times New Roman"/>
          <w:i/>
        </w:rPr>
        <w:t>quater bis</w:t>
      </w:r>
      <w:r>
        <w:rPr>
          <w:rFonts w:ascii="Times New Roman" w:hAnsi="Times New Roman"/>
        </w:rPr>
        <w:t xml:space="preserve"> a 1 </w:t>
      </w:r>
      <w:r>
        <w:rPr>
          <w:rFonts w:ascii="Times New Roman" w:hAnsi="Times New Roman"/>
          <w:i/>
        </w:rPr>
        <w:t>quater quater:</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 xml:space="preserve">«1 </w:t>
      </w:r>
      <w:r>
        <w:rPr>
          <w:rFonts w:ascii="Times New Roman" w:hAnsi="Times New Roman"/>
          <w:i/>
        </w:rPr>
        <w:t>quater bis</w:t>
      </w:r>
      <w:r>
        <w:rPr>
          <w:rFonts w:ascii="Times New Roman" w:hAnsi="Times New Roman"/>
        </w:rPr>
        <w:t xml:space="preserve">. Todo productor que sea agricultor en el sentido del artículo 4, apartado 1, letra a), del Reglamento (CE) n.º 1307/2013 del Parlamento Europeo y del Consejo, de 17 de diciembre de 2013, por el que se establecen normas aplicables a los pagos directos a los agricultores en virtud de los regímenes de ayuda incluidos en el marco de la Política Agrícola Común y por el que se derogan los Reglamentos (CE) n.º 637/2008 y (CE) n.º 73/2009 del Consejo, que disponga de productos agrícolas pertenecientes a los sectores mencionados en el artículo 38 </w:t>
      </w:r>
      <w:r>
        <w:rPr>
          <w:rFonts w:ascii="Times New Roman" w:hAnsi="Times New Roman"/>
          <w:i/>
        </w:rPr>
        <w:t>octodecies</w:t>
      </w:r>
      <w:r>
        <w:rPr>
          <w:rFonts w:ascii="Times New Roman" w:hAnsi="Times New Roman"/>
        </w:rPr>
        <w:t xml:space="preserve">, apartado 1, en contra de lo dispuesto en el artículo 38 </w:t>
      </w:r>
      <w:r>
        <w:rPr>
          <w:rFonts w:ascii="Times New Roman" w:hAnsi="Times New Roman"/>
          <w:i/>
        </w:rPr>
        <w:t>octodecies</w:t>
      </w:r>
      <w:r>
        <w:rPr>
          <w:rFonts w:ascii="Times New Roman" w:hAnsi="Times New Roman"/>
        </w:rPr>
        <w:t xml:space="preserve">, apartado 1 o apartado 1 </w:t>
      </w:r>
      <w:r>
        <w:rPr>
          <w:rFonts w:ascii="Times New Roman" w:hAnsi="Times New Roman"/>
          <w:i/>
        </w:rPr>
        <w:t>bis</w:t>
      </w:r>
      <w:r>
        <w:rPr>
          <w:rFonts w:ascii="Times New Roman" w:hAnsi="Times New Roman"/>
        </w:rPr>
        <w:t xml:space="preserve">, sin contrato escrito o sin contrato en forma de documento o en versión electrónica, será objeto de una sanción financiera del 10 % del pago en el sentido del artículo 29 </w:t>
      </w:r>
      <w:r>
        <w:rPr>
          <w:rFonts w:ascii="Times New Roman" w:hAnsi="Times New Roman"/>
          <w:i/>
        </w:rPr>
        <w:t>bis</w:t>
      </w:r>
      <w:r>
        <w:rPr>
          <w:rFonts w:ascii="Times New Roman" w:hAnsi="Times New Roman"/>
        </w:rPr>
        <w:t>, apartado 1, de la Ley de 11 de marzo de 2004 relativa al impuesto sobre el valor añadido para los productos vendidos sin contrato escrito o sin contrato en forma de documento o en versión electrónica.</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lastRenderedPageBreak/>
        <w:t xml:space="preserve">1 </w:t>
      </w:r>
      <w:r>
        <w:rPr>
          <w:rFonts w:ascii="Times New Roman" w:hAnsi="Times New Roman"/>
          <w:i/>
        </w:rPr>
        <w:t>quater ter</w:t>
      </w:r>
      <w:r>
        <w:rPr>
          <w:rFonts w:ascii="Times New Roman" w:hAnsi="Times New Roman"/>
        </w:rPr>
        <w:t xml:space="preserve">. Toda persona que no respete la duración mínima del contrato contemplada en el artículo 38 </w:t>
      </w:r>
      <w:r>
        <w:rPr>
          <w:rFonts w:ascii="Times New Roman" w:hAnsi="Times New Roman"/>
          <w:i/>
        </w:rPr>
        <w:t>octodecies</w:t>
      </w:r>
      <w:r>
        <w:rPr>
          <w:rFonts w:ascii="Times New Roman" w:hAnsi="Times New Roman"/>
        </w:rPr>
        <w:t xml:space="preserve">, apartado 1, o el período mínimo entre la celebración del contrato y la entrega de los productos agrícolas, si dichos períodos se establecen en las disposiciones de conformidad con el artículo 38 </w:t>
      </w:r>
      <w:r>
        <w:rPr>
          <w:rFonts w:ascii="Times New Roman" w:hAnsi="Times New Roman"/>
          <w:i/>
        </w:rPr>
        <w:t>octodecies</w:t>
      </w:r>
      <w:r>
        <w:rPr>
          <w:rFonts w:ascii="Times New Roman" w:hAnsi="Times New Roman"/>
        </w:rPr>
        <w:t xml:space="preserve">, apartado 4, puntos 1 o 2, estará sujeta a una sanción financiera del 10 % del pago en el sentido del artículo 29 </w:t>
      </w:r>
      <w:r>
        <w:rPr>
          <w:rFonts w:ascii="Times New Roman" w:hAnsi="Times New Roman"/>
          <w:i/>
        </w:rPr>
        <w:t>bis</w:t>
      </w:r>
      <w:r>
        <w:rPr>
          <w:rFonts w:ascii="Times New Roman" w:hAnsi="Times New Roman"/>
        </w:rPr>
        <w:t>, apartado 1, de la Ley de 11 de marzo de 2004 relativa al impuesto sobre el valor añadido para los productos vendidos o comprados sobre la base de dicho contrato, por no haber respetado cada uno de estos períodos.</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w:t>
      </w:r>
      <w:r>
        <w:rPr>
          <w:rFonts w:ascii="Times New Roman" w:hAnsi="Times New Roman"/>
          <w:i/>
        </w:rPr>
        <w:t xml:space="preserve"> quater quater</w:t>
      </w:r>
      <w:r>
        <w:rPr>
          <w:rFonts w:ascii="Times New Roman" w:hAnsi="Times New Roman"/>
        </w:rPr>
        <w:t xml:space="preserve">. Toda persona que no respete el plazo contemplado en el artículo 38 </w:t>
      </w:r>
      <w:r>
        <w:rPr>
          <w:rFonts w:ascii="Times New Roman" w:hAnsi="Times New Roman"/>
          <w:i/>
        </w:rPr>
        <w:t>octodecies</w:t>
      </w:r>
      <w:r>
        <w:rPr>
          <w:rFonts w:ascii="Times New Roman" w:hAnsi="Times New Roman"/>
        </w:rPr>
        <w:t xml:space="preserve">, apartado 3, o la fecha de celebración del contrato contemplado en el artículo 38 </w:t>
      </w:r>
      <w:r>
        <w:rPr>
          <w:rFonts w:ascii="Times New Roman" w:hAnsi="Times New Roman"/>
          <w:i/>
        </w:rPr>
        <w:t>octodecies</w:t>
      </w:r>
      <w:r>
        <w:rPr>
          <w:rFonts w:ascii="Times New Roman" w:hAnsi="Times New Roman"/>
        </w:rPr>
        <w:t xml:space="preserve">, apartado 1, si dicho plazo está previsto en las disposiciones del artículo 38 </w:t>
      </w:r>
      <w:r>
        <w:rPr>
          <w:rFonts w:ascii="Times New Roman" w:hAnsi="Times New Roman"/>
          <w:i/>
        </w:rPr>
        <w:t>octodecies</w:t>
      </w:r>
      <w:r>
        <w:rPr>
          <w:rFonts w:ascii="Times New Roman" w:hAnsi="Times New Roman"/>
        </w:rPr>
        <w:t xml:space="preserve">, apartado 4, punto 3, estará sujeta a una sanción financiera del 0,5 % del pago en el sentido del artículo 29 </w:t>
      </w:r>
      <w:r>
        <w:rPr>
          <w:rFonts w:ascii="Times New Roman" w:hAnsi="Times New Roman"/>
          <w:i/>
        </w:rPr>
        <w:t>bis</w:t>
      </w:r>
      <w:r>
        <w:rPr>
          <w:rFonts w:ascii="Times New Roman" w:hAnsi="Times New Roman"/>
        </w:rPr>
        <w:t>, apartado 1, de la Ley del impuesto sobre el valor añadido, de 11 de marzo de 2004, relativa al impuesto sobre el valor añadido aplicable a los productos vendidos o comprados sobre la base de dicho contrato, por cada uno de los días en que se haya incumplido el plazo, sin que se rebase el 15 % de dicho pago»;</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 xml:space="preserve">el apartado 1 </w:t>
      </w:r>
      <w:r>
        <w:rPr>
          <w:rFonts w:ascii="Times New Roman" w:hAnsi="Times New Roman"/>
          <w:i/>
        </w:rPr>
        <w:t>quinquies</w:t>
      </w:r>
      <w:r>
        <w:rPr>
          <w:rFonts w:ascii="Times New Roman" w:hAnsi="Times New Roman"/>
        </w:rPr>
        <w:t xml:space="preserve"> se sustituye por lo siguiente:</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 xml:space="preserve">«1 </w:t>
      </w:r>
      <w:r>
        <w:rPr>
          <w:rFonts w:ascii="Times New Roman" w:hAnsi="Times New Roman"/>
          <w:i/>
        </w:rPr>
        <w:t>quinquies</w:t>
      </w:r>
      <w:r>
        <w:rPr>
          <w:rFonts w:ascii="Times New Roman" w:hAnsi="Times New Roman"/>
        </w:rPr>
        <w:t xml:space="preserve">. Cuando un contrato contemplado en el artículo 38 </w:t>
      </w:r>
      <w:r>
        <w:rPr>
          <w:rFonts w:ascii="Times New Roman" w:hAnsi="Times New Roman"/>
          <w:i/>
        </w:rPr>
        <w:t>octodecies</w:t>
      </w:r>
      <w:r>
        <w:rPr>
          <w:rFonts w:ascii="Times New Roman" w:hAnsi="Times New Roman"/>
        </w:rPr>
        <w:t xml:space="preserve">, apartado 1, no cumpla más de una de las condiciones enumeradas en los apartados 1 </w:t>
      </w:r>
      <w:r>
        <w:rPr>
          <w:rFonts w:ascii="Times New Roman" w:hAnsi="Times New Roman"/>
          <w:i/>
        </w:rPr>
        <w:t>bis</w:t>
      </w:r>
      <w:r>
        <w:rPr>
          <w:rFonts w:ascii="Times New Roman" w:hAnsi="Times New Roman"/>
        </w:rPr>
        <w:t xml:space="preserve"> y 1 </w:t>
      </w:r>
      <w:r>
        <w:rPr>
          <w:rFonts w:ascii="Times New Roman" w:hAnsi="Times New Roman"/>
          <w:i/>
        </w:rPr>
        <w:t>ter</w:t>
      </w:r>
      <w:r>
        <w:rPr>
          <w:rFonts w:ascii="Times New Roman" w:hAnsi="Times New Roman"/>
        </w:rPr>
        <w:t xml:space="preserve">, las sanciones financieras serán acumulativas; no obstante, la sanción total no podrá exceder del 8 % del pago en el sentido del artículo 29 </w:t>
      </w:r>
      <w:r>
        <w:rPr>
          <w:rFonts w:ascii="Times New Roman" w:hAnsi="Times New Roman"/>
          <w:i/>
        </w:rPr>
        <w:t>bis</w:t>
      </w:r>
      <w:r>
        <w:rPr>
          <w:rFonts w:ascii="Times New Roman" w:hAnsi="Times New Roman"/>
        </w:rPr>
        <w:t>, apartado 1, de la Ley de 11 de marzo de 2004 relativa al impuesto sobre el valor añadido para los productos comprados como resultado de dicho contrato»;</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 xml:space="preserve">después del apartado 40 </w:t>
      </w:r>
      <w:r>
        <w:rPr>
          <w:rFonts w:ascii="Times New Roman" w:hAnsi="Times New Roman"/>
          <w:i/>
        </w:rPr>
        <w:t>decies</w:t>
      </w:r>
      <w:r>
        <w:rPr>
          <w:rFonts w:ascii="Times New Roman" w:hAnsi="Times New Roman"/>
        </w:rPr>
        <w:t xml:space="preserve">, se añade el siguiente artículo 40 </w:t>
      </w:r>
      <w:r>
        <w:rPr>
          <w:rFonts w:ascii="Times New Roman" w:hAnsi="Times New Roman"/>
          <w:i/>
        </w:rPr>
        <w:t>decies bis:</w:t>
      </w:r>
    </w:p>
    <w:p w:rsidR="00F02D45" w:rsidRDefault="00F02D45" w:rsidP="00624C2A">
      <w:pPr>
        <w:pStyle w:val="ZARTzmartartykuempunktem"/>
      </w:pPr>
      <w:r>
        <w:t xml:space="preserve">«Artículo 40 </w:t>
      </w:r>
      <w:r>
        <w:rPr>
          <w:i/>
        </w:rPr>
        <w:t>decies bis</w:t>
      </w:r>
      <w:r>
        <w:t xml:space="preserve">. Toda persona que no respete los acuerdos, decisiones o prácticas acordados en una organización interprofesional reconocida, cuando tales acuerdos, decisiones o prácticas se hayan incorporado a las disposiciones establecidas de conformidad con el artículo 38 </w:t>
      </w:r>
      <w:r>
        <w:rPr>
          <w:i/>
        </w:rPr>
        <w:t>sexdecies</w:t>
      </w:r>
      <w:r>
        <w:t xml:space="preserve">, apartado 3, estará sujeta a una sanción financiera de 5 000 PLN; no obstante, si no se respetan tales acuerdos, decisiones o prácticas en relación con la elaboración de los contratos tipo a que se refiere el artículo 164, apartado 4, letra c), del Reglamento n.º 1308/2013, la sanción financiera ascenderá al 8 % del pago en el sentido del artículo 29 </w:t>
      </w:r>
      <w:r>
        <w:rPr>
          <w:i/>
        </w:rPr>
        <w:t>bis</w:t>
      </w:r>
      <w:r>
        <w:t xml:space="preserve">, apartado 1, de la Ley de 11 de marzo de 2004 relativa al </w:t>
      </w:r>
      <w:r>
        <w:lastRenderedPageBreak/>
        <w:t>impuesto sobre el valor añadido para los productos vendidos o comprados sobre la base de un contrato determinado.»;</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sidR="0072659A">
        <w:rPr>
          <w:rFonts w:ascii="Times New Roman" w:hAnsi="Times New Roman"/>
        </w:rPr>
        <w:tab/>
      </w:r>
      <w:r>
        <w:rPr>
          <w:rFonts w:ascii="Times New Roman" w:hAnsi="Times New Roman"/>
        </w:rPr>
        <w:t xml:space="preserve">en el artículo 40 </w:t>
      </w:r>
      <w:proofErr w:type="spellStart"/>
      <w:r>
        <w:rPr>
          <w:rFonts w:ascii="Times New Roman" w:hAnsi="Times New Roman"/>
          <w:i/>
        </w:rPr>
        <w:t>undecies</w:t>
      </w:r>
      <w:proofErr w:type="spellEnd"/>
      <w:r>
        <w:rPr>
          <w:rFonts w:ascii="Times New Roman" w:hAnsi="Times New Roman"/>
        </w:rPr>
        <w:t>, el apartado 1 se sustituye por lo siguiente:</w:t>
      </w:r>
    </w:p>
    <w:p w:rsidR="000E419B" w:rsidRPr="000E419B" w:rsidRDefault="00284E0D" w:rsidP="00624C2A">
      <w:pPr>
        <w:pStyle w:val="ZUSTzmustartykuempunktem"/>
        <w:keepNext/>
        <w:keepLines/>
      </w:pPr>
      <w:r>
        <w:t>«1. Las sanciones financieras a que se refieren:</w:t>
      </w:r>
    </w:p>
    <w:p w:rsidR="000E419B" w:rsidRPr="000E419B" w:rsidRDefault="000E419B" w:rsidP="00624C2A">
      <w:pPr>
        <w:pStyle w:val="ZPKTzmpktartykuempunktem"/>
      </w:pPr>
      <w:r>
        <w:t>1)</w:t>
      </w:r>
      <w:r>
        <w:tab/>
        <w:t xml:space="preserve">el artículo 40 </w:t>
      </w:r>
      <w:r>
        <w:rPr>
          <w:i/>
        </w:rPr>
        <w:t>decies</w:t>
      </w:r>
      <w:r>
        <w:t xml:space="preserve">, apartados 1 a 1 </w:t>
      </w:r>
      <w:r>
        <w:rPr>
          <w:i/>
        </w:rPr>
        <w:t>quater quater</w:t>
      </w:r>
      <w:r>
        <w:t xml:space="preserve">, y el artículo 40 </w:t>
      </w:r>
      <w:r>
        <w:rPr>
          <w:i/>
        </w:rPr>
        <w:t>decies bis</w:t>
      </w:r>
      <w:r>
        <w:t>;</w:t>
      </w:r>
    </w:p>
    <w:p w:rsidR="000E419B" w:rsidRPr="000E419B" w:rsidRDefault="000E419B" w:rsidP="00624C2A">
      <w:pPr>
        <w:pStyle w:val="ZPKTzmpktartykuempunktem"/>
      </w:pPr>
      <w:r>
        <w:t>2)</w:t>
      </w:r>
      <w:r>
        <w:tab/>
        <w:t xml:space="preserve">el artículo 8 del Reglamento 2017/40 con respecto a la ayuda mencionada en el artículo 38 </w:t>
      </w:r>
      <w:r>
        <w:rPr>
          <w:i/>
        </w:rPr>
        <w:t>duovicies</w:t>
      </w:r>
      <w:r>
        <w:t>, apartado 1, punto 2,</w:t>
      </w:r>
    </w:p>
    <w:p w:rsidR="000E419B" w:rsidRDefault="000E419B" w:rsidP="00624C2A">
      <w:pPr>
        <w:pStyle w:val="ZCZWSPPKTzmczciwsppktartykuempunktem"/>
      </w:pPr>
      <w:r>
        <w:t>serán impuestas, mediante decisión administrativa, por el director de un departamento regional del Centro nacional competente en relación con la ubicación de la sede o domicilio del productor, comprador o solicitante».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Artículo 2.</w:t>
      </w:r>
      <w:r>
        <w:rPr>
          <w:rFonts w:ascii="Times New Roman" w:hAnsi="Times New Roman"/>
        </w:rPr>
        <w:t xml:space="preserve"> La Ley, de 15 de diciembre de 2016, relativa a la prevención del uso desleal de la ventaja contractual en el comercio de productos agrícolas y alimentarios (Boletín Oficial 2019, punto 517) se modifica como sigue:</w:t>
      </w:r>
    </w:p>
    <w:p w:rsidR="001E1984" w:rsidRPr="00072863" w:rsidRDefault="001E1984" w:rsidP="00624C2A">
      <w:pPr>
        <w:pStyle w:val="PKTpunkt"/>
        <w:keepNext/>
        <w:keepLines/>
      </w:pPr>
      <w:r>
        <w:t>1)</w:t>
      </w:r>
      <w:r>
        <w:tab/>
        <w:t>el artículo 2 se sustituye por lo siguiente:</w:t>
      </w:r>
    </w:p>
    <w:p w:rsidR="001E1984" w:rsidRPr="00072863" w:rsidRDefault="001E1984" w:rsidP="00624C2A">
      <w:pPr>
        <w:pStyle w:val="ZARTzmartartykuempunktem"/>
      </w:pPr>
      <w:r>
        <w:t>«Artículo 2. La Ley se aplicará a los contratos de compra de productos agrícolas o alimentarios (en adelante, "contratos") con excepción del suministro directo y de la venta al por menor de productos agrícolas en el sentido de la Ley, de 25 de agosto de 2006, sobre la seguridad de los alimentos y los piensos (Boletín Oficial 2018, punto 1541, en su versión modificada</w:t>
      </w:r>
      <w:r>
        <w:rPr>
          <w:vertAlign w:val="superscript"/>
        </w:rPr>
        <w:t>2)</w:t>
      </w:r>
      <w:r>
        <w:t>) y de las ventas directas en el sentido de la Ley, de 16 de diciembre de 2005, sobre los productos de origen animal (Boletín Oficial 2019, punto 824), celebrados entre los compradores de dichos productos y los proveedores de estos.»;</w:t>
      </w:r>
    </w:p>
    <w:p w:rsidR="00F91F6E" w:rsidRPr="001B4D4B" w:rsidRDefault="001E1984" w:rsidP="00624C2A">
      <w:pPr>
        <w:pStyle w:val="PKTpunkt"/>
        <w:keepNext/>
        <w:keepLines/>
      </w:pPr>
      <w:r>
        <w:t>2)</w:t>
      </w:r>
      <w:r>
        <w:tab/>
        <w:t>en el artículo 3, apartado 2:</w:t>
      </w:r>
    </w:p>
    <w:p w:rsidR="00F91F6E" w:rsidRDefault="00F91F6E" w:rsidP="00624C2A">
      <w:pPr>
        <w:pStyle w:val="LITlitera"/>
      </w:pPr>
      <w:r>
        <w:t>a)</w:t>
      </w:r>
      <w:r>
        <w:tab/>
        <w:t>la letra b) queda derogada;</w:t>
      </w:r>
    </w:p>
    <w:p w:rsidR="00930905" w:rsidRDefault="00930905" w:rsidP="00624C2A">
      <w:pPr>
        <w:pStyle w:val="LITlitera"/>
      </w:pPr>
      <w:r>
        <w:t>b)</w:t>
      </w:r>
      <w:r>
        <w:tab/>
        <w:t>en la letra c), el punto final se sustituye por una coma, y se añaden las siguientes letras d) y e):</w:t>
      </w:r>
    </w:p>
    <w:p w:rsidR="00930905" w:rsidRPr="00BE3D19" w:rsidRDefault="00930905" w:rsidP="00624C2A">
      <w:pPr>
        <w:pStyle w:val="ZLITLITzmlitliter"/>
      </w:pPr>
      <w:r>
        <w:t>«d)</w:t>
      </w:r>
      <w:r>
        <w:tab/>
        <w:t>de una organización de productores reconocida en el sentido de las disposiciones relativas a la organización de determinados mercados agrícolas de venta de productos agrícolas o alimenticios a una organización de la que sean miembros;</w:t>
      </w:r>
    </w:p>
    <w:p w:rsidR="00930905" w:rsidRPr="00BE3D19" w:rsidRDefault="00930905" w:rsidP="00624C2A">
      <w:pPr>
        <w:pStyle w:val="ZLITLITzmlitliter"/>
      </w:pPr>
      <w:r>
        <w:t>e)</w:t>
      </w:r>
      <w:r>
        <w:tab/>
        <w:t>de una organización de productores reconocida en el sentido de las disposiciones relativas a la organización del mercado de la leche y de los productos lácteos que vendan productos agrícolas o alimenticios a una organización de la que sean miembros;»;</w:t>
      </w:r>
    </w:p>
    <w:p w:rsidR="001E1984" w:rsidRPr="00072863" w:rsidRDefault="00930905" w:rsidP="00624C2A">
      <w:pPr>
        <w:pStyle w:val="LITlitera"/>
        <w:keepNext/>
        <w:keepLines/>
      </w:pPr>
      <w:r>
        <w:lastRenderedPageBreak/>
        <w:t>c)</w:t>
      </w:r>
      <w:r>
        <w:tab/>
        <w:t>se añade el siguiente punto 3:</w:t>
      </w:r>
    </w:p>
    <w:p w:rsidR="001E1984" w:rsidRDefault="001E1984" w:rsidP="00624C2A">
      <w:pPr>
        <w:pStyle w:val="ZLITPKTzmpktliter"/>
      </w:pPr>
      <w:r>
        <w:t>«3)</w:t>
      </w:r>
      <w:r>
        <w:tab/>
        <w:t>el proveedor vende productos agrícolas o alimenticios a través de una bolsa de mercancías en el sentido de las disposiciones relativas a las bolsas de mercancías o a través de un sistema de negociación de instrumentos financieros en el sentido de las disposiciones relativas al comercio de instrumentos financieros.»;</w:t>
      </w:r>
    </w:p>
    <w:p w:rsidR="00F65C42" w:rsidRDefault="00F65C42" w:rsidP="00624C2A">
      <w:pPr>
        <w:pStyle w:val="PKTpunkt"/>
        <w:keepNext/>
        <w:keepLines/>
      </w:pPr>
      <w:r>
        <w:t>3)</w:t>
      </w:r>
      <w:r>
        <w:tab/>
        <w:t>el artículo 5, punto 3, se sustituye por lo siguiente:</w:t>
      </w:r>
    </w:p>
    <w:p w:rsidR="00F65C42" w:rsidRDefault="00F65C42" w:rsidP="00624C2A">
      <w:pPr>
        <w:pStyle w:val="ZPKTzmpktartykuempunktem"/>
      </w:pPr>
      <w:r>
        <w:t>«3)</w:t>
      </w:r>
      <w:r>
        <w:tab/>
      </w:r>
      <w:r>
        <w:rPr>
          <w:i/>
        </w:rPr>
        <w:t>productos agrícolas o alimenticio</w:t>
      </w:r>
      <w:r>
        <w:t>s: productos enumerados en el anexo I del Tratado de Funcionamiento de la Unión Europea, o productos no enumerados en dicho anexo pero transformados para el consumo con la utilización de los productos enumerados en este;»;</w:t>
      </w:r>
    </w:p>
    <w:p w:rsidR="000F1029" w:rsidRDefault="00F121DD" w:rsidP="00624C2A">
      <w:pPr>
        <w:pStyle w:val="PKTpunkt"/>
        <w:keepNext/>
        <w:keepLines/>
      </w:pPr>
      <w:r>
        <w:t>4)</w:t>
      </w:r>
      <w:r>
        <w:tab/>
        <w:t>en el artículo 7:</w:t>
      </w:r>
    </w:p>
    <w:p w:rsidR="00F121DD" w:rsidRDefault="000F1029" w:rsidP="00624C2A">
      <w:pPr>
        <w:pStyle w:val="LITlitera"/>
      </w:pPr>
      <w:r>
        <w:t>a)</w:t>
      </w:r>
      <w:r>
        <w:tab/>
        <w:t>en el apartado 2, después de las palabras «en contra de», se añaden las palabras «las disposiciones relativas a la prevención del uso desleal de la ventaja contractual en el comercio de productos agrícolas y alimenticios o»;</w:t>
      </w:r>
    </w:p>
    <w:p w:rsidR="001E1984" w:rsidRPr="00072863" w:rsidRDefault="000F1029" w:rsidP="00624C2A">
      <w:pPr>
        <w:pStyle w:val="LITlitera"/>
        <w:keepNext/>
        <w:keepLines/>
      </w:pPr>
      <w:r>
        <w:t>b)</w:t>
      </w:r>
      <w:r>
        <w:tab/>
        <w:t>en el apartado 3, punto 4, el punto final se sustituye por una coma, y se añade el siguiente punto 5:</w:t>
      </w:r>
    </w:p>
    <w:p w:rsidR="0059066D" w:rsidRPr="008509D8" w:rsidRDefault="001E1984" w:rsidP="00624C2A">
      <w:pPr>
        <w:pStyle w:val="ZLITPKTzmpktliter"/>
      </w:pPr>
      <w:r>
        <w:t>«5)</w:t>
      </w:r>
      <w:r>
        <w:tab/>
        <w:t>la compra de un producto agrícola o alimenticio producido en el territorio de la República de Polonia que sea un producto enumerado en el anexo I del Tratado de Funcionamiento de la Unión Europea (en adelante, "producto") o una subcategoría de productos, para los que haya sido establecido un precio de referencia inferior a dicho precio, por parte de un comprador que compre dicho producto o subcategoría de producto directamente al proveedor que haya producido dicho producto o subcategoría de productos, o a:</w:t>
      </w:r>
    </w:p>
    <w:p w:rsidR="0059066D" w:rsidRPr="0059066D" w:rsidRDefault="002A68BF" w:rsidP="00624C2A">
      <w:pPr>
        <w:pStyle w:val="ZLITLITwPKTzmlitwpktliter"/>
      </w:pPr>
      <w:r>
        <w:t>a)</w:t>
      </w:r>
      <w:r>
        <w:tab/>
        <w:t>cooperativas dichos proveedores;</w:t>
      </w:r>
    </w:p>
    <w:p w:rsidR="0059066D" w:rsidRPr="008509D8" w:rsidRDefault="002A68BF" w:rsidP="00624C2A">
      <w:pPr>
        <w:pStyle w:val="ZLITLITwPKTzmlitwpktliter"/>
      </w:pPr>
      <w:r>
        <w:t>b)</w:t>
      </w:r>
      <w:r>
        <w:tab/>
        <w:t>agrupaciones de productores agrícolas en el sentido de las disposiciones relativas a las agrupaciones de productores agrícolas y sus asociaciones;</w:t>
      </w:r>
    </w:p>
    <w:p w:rsidR="0059066D" w:rsidRPr="008509D8" w:rsidRDefault="002A68BF" w:rsidP="00624C2A">
      <w:pPr>
        <w:pStyle w:val="ZLITLITwPKTzmlitwpktliter"/>
      </w:pPr>
      <w:r>
        <w:t>c)</w:t>
      </w:r>
      <w:r>
        <w:tab/>
        <w:t>una organización de productores de frutas y hortalizas reconocida en el sentido de las disposiciones relativas a la organización de los mercados de frutas y hortalizas y del mercado del lúpulo;</w:t>
      </w:r>
    </w:p>
    <w:p w:rsidR="0059066D" w:rsidRPr="008509D8" w:rsidRDefault="002A68BF" w:rsidP="00624C2A">
      <w:pPr>
        <w:pStyle w:val="ZLITLITwPKTzmlitwpktliter"/>
      </w:pPr>
      <w:r>
        <w:t>d)</w:t>
      </w:r>
      <w:r>
        <w:tab/>
        <w:t>una organización de productores reconocida en el sentido de las disposiciones relativas a la organización de determinados mercados agrícolas;</w:t>
      </w:r>
    </w:p>
    <w:p w:rsidR="001E1984" w:rsidRPr="008509D8" w:rsidRDefault="003C344E" w:rsidP="00624C2A">
      <w:pPr>
        <w:pStyle w:val="ZLITLITwPKTzmlitwpktliter"/>
      </w:pPr>
      <w:r>
        <w:lastRenderedPageBreak/>
        <w:t>e)</w:t>
      </w:r>
      <w:r>
        <w:tab/>
        <w:t>una organización de productores reconocida en el sentido de las disposiciones relativas a la organización de determinados mercados de la leche y de los productos lácteos.»;</w:t>
      </w:r>
    </w:p>
    <w:p w:rsidR="001E1984" w:rsidRPr="008509D8" w:rsidRDefault="00294536" w:rsidP="00624C2A">
      <w:pPr>
        <w:pStyle w:val="PKTpunkt"/>
        <w:keepNext/>
        <w:keepLines/>
      </w:pPr>
      <w:r>
        <w:t>5)</w:t>
      </w:r>
      <w:r>
        <w:tab/>
        <w:t xml:space="preserve">después del artículo 7, se añade el siguiente artículo 7 </w:t>
      </w:r>
      <w:r>
        <w:rPr>
          <w:i/>
        </w:rPr>
        <w:t>bis:</w:t>
      </w:r>
    </w:p>
    <w:p w:rsidR="007B149B" w:rsidRDefault="007B149B" w:rsidP="00624C2A">
      <w:pPr>
        <w:pStyle w:val="ZARTzmartartykuempunktem"/>
        <w:rPr>
          <w:rFonts w:eastAsia="Times New Roman"/>
        </w:rPr>
      </w:pPr>
      <w:r>
        <w:t xml:space="preserve">«Artículo 7 </w:t>
      </w:r>
      <w:r>
        <w:rPr>
          <w:i/>
        </w:rPr>
        <w:t>bis.</w:t>
      </w:r>
      <w:r>
        <w:t xml:space="preserve"> 1. El Ministro responsable de los mercados agrícolas fijará el precio de referencia de un determinado producto y categoría de productos hasta el 31 de marzo de cada año para el período comprendido entre el 1 de abril de ese año y el 31 de marzo del año siguiente con arreglo a la siguiente fórmula:</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donde:</w:t>
      </w:r>
    </w:p>
    <w:p w:rsidR="007B149B" w:rsidRPr="007B149B" w:rsidRDefault="007B149B" w:rsidP="00624C2A">
      <w:pPr>
        <w:pStyle w:val="ZLEGWMATFIZCHEMzmlegendywzorumatfizlubchemartykuempunktem"/>
        <w:rPr>
          <w:rFonts w:eastAsia="Times New Roman"/>
        </w:rPr>
      </w:pPr>
      <w:r>
        <w:t>C —</w:t>
      </w:r>
      <w:r>
        <w:tab/>
        <w:t>es el precio de referencia del producto o de la subcategoría de productos, en PLN por kilogramo, respectivamente,</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representa los costes medios de producción, respectivamente, del producto o de la subcategoría de productos de una explotación comercial, excluidos los costes de mano de obra contraídos durante el año anterior, en PLN por hectárea,</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representa los costes medios de producción, respectivamente, del producto o de la subcategoría de productos de una explotación comercial, excluidos los costes de mano de obra contraídos durante el segundo año anterior, en PLN por hectárea,</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representa los costes medios de producción, respectivamente, del producto o de la subcategoría de productos de una explotación comercial, excluidos los costes de mano de obra contraídos durante el tercer año anterior, en PLN por hectárea,</w:t>
      </w:r>
    </w:p>
    <w:p w:rsidR="007B149B" w:rsidRPr="007B149B" w:rsidRDefault="007B149B" w:rsidP="00624C2A">
      <w:pPr>
        <w:pStyle w:val="ZLEGWMATFIZCHEMzmlegendywzorumatfizlubchemartykuempunktem"/>
        <w:rPr>
          <w:rFonts w:eastAsia="Times New Roman"/>
        </w:rPr>
      </w:pPr>
      <w:r>
        <w:t>P</w:t>
      </w:r>
      <w:r>
        <w:rPr>
          <w:vertAlign w:val="subscript"/>
        </w:rPr>
        <w:t>n-1</w:t>
      </w:r>
      <w:r>
        <w:t xml:space="preserve"> —</w:t>
      </w:r>
      <w:r>
        <w:tab/>
        <w:t>representa el rendimiento medio de producción, respectivamente, del producto o de la subcategoría de productos de una explotación comercial en el año anterior, en kilogramos por hectárea,</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representa el rendimiento medio de producción, respectivamente, del producto o de la subcategoría de productos de una explotación comercial del segundo año anterior, en kilogramos por hectárea,</w:t>
      </w:r>
    </w:p>
    <w:p w:rsidR="007B149B" w:rsidRPr="007B149B" w:rsidRDefault="007B149B" w:rsidP="00624C2A">
      <w:pPr>
        <w:pStyle w:val="ZLEGWMATFIZCHEMzmlegendywzorumatfizlubchemartykuempunktem"/>
        <w:rPr>
          <w:rFonts w:eastAsia="Times New Roman"/>
        </w:rPr>
      </w:pPr>
      <w:r>
        <w:lastRenderedPageBreak/>
        <w:t>P</w:t>
      </w:r>
      <w:r>
        <w:rPr>
          <w:vertAlign w:val="subscript"/>
        </w:rPr>
        <w:t xml:space="preserve">n-3 </w:t>
      </w:r>
      <w:r>
        <w:t>—</w:t>
      </w:r>
      <w:r>
        <w:tab/>
        <w:t>representa el rendimiento medio de producción, respectivamente, del producto o de la subcategoría de productos de una explotación comercial del tercer año anterior, en kilogramos por hectárea,</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representa el tiempo medio de trabajo dedicado a la producción, respectivamente, del producto o de la subcategoría de productos de una explotación comercial en el año anterior, en horas por hectárea,</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representa el tiempo medio de trabajo dedicado a la producción, respectivamente, del producto o de la subcategoría de productos de una explotación comercial en el segundo año anterior, en horas por hectárea,</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representa el tiempo medio de trabajo dedicado a la producción, respectivamente, del producto o de la subcategoría de productos de una explotación comercial en el tercer año anterior, en horas por hectárea,</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representa los costes laborales del segundo año anterior, en PLN por hectárea,</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es el índice que refleja los cambios salariales en el sector de la transformación industrial del año anterior en relación con el segundo año anterior.</w:t>
      </w:r>
    </w:p>
    <w:p w:rsidR="007B149B" w:rsidRPr="007B149B" w:rsidRDefault="007B149B" w:rsidP="00900942">
      <w:pPr>
        <w:pStyle w:val="ZUSTzmustartykuempunktem"/>
        <w:keepNext/>
        <w:keepLines/>
        <w:rPr>
          <w:rFonts w:eastAsia="Times New Roman"/>
        </w:rPr>
      </w:pPr>
      <w:r>
        <w:t>2. Al establecer un precio de referencia:</w:t>
      </w:r>
    </w:p>
    <w:p w:rsidR="007B149B" w:rsidRPr="007B149B" w:rsidRDefault="007B149B" w:rsidP="00624C2A">
      <w:pPr>
        <w:pStyle w:val="ZPKTzmpktartykuempunktem"/>
        <w:rPr>
          <w:rFonts w:eastAsia="Times New Roman"/>
        </w:rPr>
      </w:pPr>
      <w:r>
        <w:t>1)</w:t>
      </w:r>
      <w:r>
        <w:tab/>
        <w:t xml:space="preserve">por </w:t>
      </w:r>
      <w:r>
        <w:rPr>
          <w:i/>
        </w:rPr>
        <w:t>explotación comercial</w:t>
      </w:r>
      <w:r>
        <w:t xml:space="preserve"> se entenderá la explotación contemplada en el artículo 5, apartado 1, párrafo primero, del Reglamento (CE) n.º 1217/2009 del Consejo, de 30 de noviembre de 2009, por el que se crea una red de información contable agrícola sobre las rentas y la economía de las explotaciones agrícolas en la Unión Europea [DO L 328 de 15.12.2009, p. 27, en su versión modificada</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rsidR="0072659A">
        <w:tab/>
      </w:r>
      <w:r>
        <w:t xml:space="preserve">por </w:t>
      </w:r>
      <w:r>
        <w:rPr>
          <w:i/>
        </w:rPr>
        <w:t>costes de mano de obra</w:t>
      </w:r>
      <w:r>
        <w:t xml:space="preserve"> se entenderá la remuneración media del trabajo en explotaciones comerciales.</w:t>
      </w:r>
    </w:p>
    <w:p w:rsidR="007B149B" w:rsidRPr="007B149B" w:rsidRDefault="007B149B" w:rsidP="00624C2A">
      <w:pPr>
        <w:pStyle w:val="ZUSTzmustartykuempunktem"/>
        <w:rPr>
          <w:rFonts w:eastAsia="Times New Roman"/>
        </w:rPr>
      </w:pPr>
      <w:r>
        <w:t xml:space="preserve">3. El precio de referencia de un producto determinado y de una subcategoría de productos se establecerá sobre la base de los datos obtenidos como resultado de la investigación realizada por el Instituto de economía agrícola y alimentaria — Instituto nacional de investigación, mientras que el índice que refleja la evolución de los salarios en el sector de la transformación industrial durante el año anterior en relación con el </w:t>
      </w:r>
      <w:r>
        <w:lastRenderedPageBreak/>
        <w:t>segundo año anterior se determinará sobre la base de los resultados estadísticos publicados, puestos a disposición o distribuidos de conformidad con las disposiciones sobre estadísticas oficiales.</w:t>
      </w:r>
    </w:p>
    <w:p w:rsidR="00225E1D" w:rsidRDefault="007B149B" w:rsidP="00624C2A">
      <w:pPr>
        <w:pStyle w:val="ZUSTzmustartykuempunktem"/>
      </w:pPr>
      <w:r>
        <w:t>4. El Instituto de economía agrícola y alimentaria — Instituto nacional de investigación publicará los datos mencionados en el apartado 3 en su página web en el Boletín de Información Pública a más tardar el 10 de marzo de cada año.</w:t>
      </w:r>
    </w:p>
    <w:p w:rsidR="001E1984" w:rsidRPr="002016C0" w:rsidRDefault="003B7577" w:rsidP="00624C2A">
      <w:pPr>
        <w:pStyle w:val="ZUSTzmustartykuempunktem"/>
      </w:pPr>
      <w:r>
        <w:t>5. El Ministro responsable de los mercados agrícolas definirá, mediante reglamento, la lista de productos o subcategorías de productos para los que se establezcan precios de referencia, teniendo en cuenta la producción agrícola nacional de determinados productos y subcategorías de productos, así como la forma en que se gestionan y el riesgo del uso desleal fraudulenta de la ventaja contractual.</w:t>
      </w:r>
    </w:p>
    <w:p w:rsidR="00CB4B38" w:rsidRPr="00721BB9" w:rsidRDefault="003B7577" w:rsidP="00624C2A">
      <w:pPr>
        <w:pStyle w:val="ZUSTzmustartykuempunktem"/>
      </w:pPr>
      <w:r>
        <w:t>6. El Ministro responsable de los mercados agrícolas comunicará, mediante un anuncio, el precio de referencia de los productos y subcategorías de productos incluidos en la lista mencionada en el apartado 5 a más tardar el 31 de marzo de cada año.».</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Artículo 3.</w:t>
      </w:r>
      <w:r>
        <w:rPr>
          <w:rFonts w:ascii="Times New Roman" w:hAnsi="Times New Roman"/>
        </w:rPr>
        <w:t xml:space="preserve"> Los contratos de suministro de productos agrícolas pertenecientes a los sectores contemplados en el artículo 1, apartado 2, Reglamento (UE) n.º 1308/2013 del Parlamento Europeo y del Consejo, de 17 de diciembre de 2013, por el que se crea la organización común de mercados de los productos agrarios y por el que se derogan los Reglamentos (CEE) n.º 922/72, (CEE) n.º 234/79, (CE) n.º 1037/2001 y (CE) n.º 1234/2007 [DO L 347 de 20.12.2013, p. 671, en su versión modificada</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celebrados antes de la fecha de entrada en vigor de la presente Ley, estarán sujetos a las disposiciones de la Ley modificada en el artículo 1, en su redacción actual.</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Artículo 4.</w:t>
      </w:r>
      <w:r>
        <w:rPr>
          <w:rFonts w:ascii="Times New Roman" w:hAnsi="Times New Roman"/>
        </w:rPr>
        <w:t xml:space="preserve"> En el caso de los procedimientos relativos a la imposición de sanciones financieras iniciados de conformidad con la Ley modificada en el artículo 1 y no concluidos mediante una decisión definitiva antes de la entrada en vigor de la presente Ley, se aplicarán las disposiciones de la Ley modificada en el artículo 1 en su redacción actual.</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lastRenderedPageBreak/>
        <w:t>Artículo 5.</w:t>
      </w:r>
      <w:r>
        <w:rPr>
          <w:rFonts w:ascii="Times New Roman" w:hAnsi="Times New Roman"/>
        </w:rPr>
        <w:t xml:space="preserve"> En el caso de los contratos de compra de productos agrícolas o alimentarios celebrados antes de la fecha de publicación del anuncio a que se refiere el artículo 6, se aplicarán las disposiciones de la Ley modificada en el artículo 2 en su redacción actual.</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Artículo 6.</w:t>
      </w:r>
      <w:r>
        <w:rPr>
          <w:rFonts w:ascii="Times New Roman" w:hAnsi="Times New Roman"/>
        </w:rPr>
        <w:t xml:space="preserve"> En 2019, el Ministro responsable de los mercados agrícolas comunicará, mediante un anuncio, los precios de referencia de los productos y subcategorías de productos incluidos en la lista mencionada en el artículo 7 </w:t>
      </w:r>
      <w:r>
        <w:rPr>
          <w:rFonts w:ascii="Times New Roman" w:hAnsi="Times New Roman"/>
          <w:i/>
        </w:rPr>
        <w:t>bis</w:t>
      </w:r>
      <w:r>
        <w:rPr>
          <w:rFonts w:ascii="Times New Roman" w:hAnsi="Times New Roman"/>
        </w:rPr>
        <w:t>, apartado 5, de la Ley modificada en el artículo 2, en la redacción introducida por la presente Ley, para el período comprendido entre la fecha del anuncio de dicha notificación y el 31 de marzo de 2020, en un plazo de 14 días a partir de la fecha de entrada en vigor de la Ley.</w:t>
      </w:r>
      <w:bookmarkStart w:id="0" w:name="_GoBack"/>
      <w:bookmarkEnd w:id="0"/>
    </w:p>
    <w:p w:rsidR="00062717" w:rsidRDefault="00C418F0" w:rsidP="00624C2A">
      <w:pPr>
        <w:pStyle w:val="ARTartustawynprozporzdzenia"/>
      </w:pPr>
      <w:r>
        <w:rPr>
          <w:rStyle w:val="Ppogrubienie"/>
          <w:rFonts w:ascii="Times New Roman" w:hAnsi="Times New Roman"/>
        </w:rPr>
        <w:t>Artículo 7.</w:t>
      </w:r>
      <w:r>
        <w:t xml:space="preserve"> La presente Ley entrará en vigor 14 días después de su publicación.</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F1" w:rsidRDefault="007602F1">
      <w:r>
        <w:separator/>
      </w:r>
    </w:p>
  </w:endnote>
  <w:endnote w:type="continuationSeparator" w:id="0">
    <w:p w:rsidR="007602F1" w:rsidRDefault="0076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F1" w:rsidRDefault="007602F1">
      <w:r>
        <w:separator/>
      </w:r>
    </w:p>
  </w:footnote>
  <w:footnote w:type="continuationSeparator" w:id="0">
    <w:p w:rsidR="007602F1" w:rsidRDefault="007602F1">
      <w:r>
        <w:continuationSeparator/>
      </w:r>
    </w:p>
  </w:footnote>
  <w:footnote w:id="1">
    <w:p w:rsidR="00717F00" w:rsidRDefault="00717F00" w:rsidP="00B44A77">
      <w:pPr>
        <w:pStyle w:val="ODNONIKtreodnonika"/>
      </w:pPr>
      <w:r>
        <w:rPr>
          <w:rStyle w:val="FootnoteReference"/>
        </w:rPr>
        <w:footnoteRef/>
      </w:r>
      <w:r>
        <w:rPr>
          <w:rStyle w:val="IGindeksgrny"/>
        </w:rPr>
        <w:t>)</w:t>
      </w:r>
      <w:r>
        <w:tab/>
        <w:t>Este Reglamento se notificó a la Comisión Europea el ..., con el n.º ..., de conformidad con el artículo 4 del Reglamento del Consejo de Ministros, de 23 de diciembre de 2002, relativo al modo de funcionamiento del sistema nacional de notificación de normas y actos legislativos (Boletín Oficial n.º 2039, y de 2004, n.º 597), por el que se aplican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 w:id="2">
    <w:p w:rsidR="006E575F" w:rsidRDefault="006E575F" w:rsidP="006E575F">
      <w:pPr>
        <w:pStyle w:val="ODNONIKtreodnonika"/>
      </w:pPr>
      <w:r>
        <w:rPr>
          <w:rStyle w:val="FootnoteReference"/>
        </w:rPr>
        <w:footnoteRef/>
      </w:r>
      <w:r>
        <w:rPr>
          <w:rStyle w:val="IGindeksgrny"/>
        </w:rPr>
        <w:t>)</w:t>
      </w:r>
      <w:r>
        <w:tab/>
        <w:t>Las modificaciones del texto consolidado de la Ley mencionada se notificaron en el Boletín Oficial de 2018 puntos 1669, 2136, 2227, 2242, 2244 y 2245.</w:t>
      </w:r>
    </w:p>
  </w:footnote>
  <w:footnote w:id="3">
    <w:p w:rsidR="00753937" w:rsidRDefault="00753937" w:rsidP="00924BC2">
      <w:pPr>
        <w:pStyle w:val="ODNONIKtreodnonika"/>
      </w:pPr>
      <w:r>
        <w:rPr>
          <w:rStyle w:val="FootnoteReference"/>
        </w:rPr>
        <w:footnoteRef/>
      </w:r>
      <w:r>
        <w:rPr>
          <w:vertAlign w:val="superscript"/>
        </w:rPr>
        <w:t>)</w:t>
      </w:r>
      <w:r>
        <w:tab/>
        <w:t>Las modificaciones al Reglamento se notificaron en el DO L 347 de 20.12.2013, p. 865, DO L 181 de 20.6.2014, p. 1, DO L 280 de 24.9.2014, p. 1, DO L 281 de 25.9.2014, p. 1, DO L 367 de 23.12.2014, p. 16, DO L 135 de 2.6.2015, p. 8, DO L 28 de 4.2.2016, p. 8, DO L 130 de 19.5.2016, p. 16, DO L 167 de 30.6.2017, p. 1, DO L 350 de 29.12.2017, p. 15, DO L 30 de 2.2.2018, p. 6, DO L 16 de 18.1.2019, p. 1, y DO L 53 de 22.2.2019, p. 14.</w:t>
      </w:r>
    </w:p>
  </w:footnote>
  <w:footnote w:id="4">
    <w:p w:rsidR="00264817" w:rsidRDefault="00264817" w:rsidP="00FF7049">
      <w:pPr>
        <w:pStyle w:val="ODNONIKtreodnonika"/>
      </w:pPr>
      <w:r>
        <w:rPr>
          <w:rStyle w:val="FootnoteReference"/>
        </w:rPr>
        <w:footnoteRef/>
      </w:r>
      <w:r>
        <w:rPr>
          <w:rStyle w:val="IGindeksgrny"/>
        </w:rPr>
        <w:t>)</w:t>
      </w:r>
      <w:r>
        <w:tab/>
        <w:t>Las modificaciones al Reglamento se notificaron en el DO L 195 de 27.7.2011, p. 42, DO L 158 de 10.6.2013, p. 1, DO L 340 de 17.12.2013, p. 1, y DO L 328 de 12.12.2017, p.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Las modificaciones al Reglamento se notificaron en el DO L 347 de 20.12.2013, p. 865, DO L 189 de 27.6.2014, p. 261, DO L 130 de 19.5.2016, p. 20, DO L 135 de 24.5.2016, p. 1, DO L 193 de 19.7.2016, p. 17, DO L 202 de 28.7.2016, p. 5, DO L 91 de 5.4.2017, p. 44, DO L 350 de 29.12.2017, p. 15, y DO L 114 de 4.5.2018,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72659A">
      <w:rPr>
        <w:noProof/>
      </w:rPr>
      <w:t>12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2659A"/>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02F1"/>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es-ES" w:eastAsia="es-ES" w:bidi="es-ES"/>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s-ES"/>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s-ES"/>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s-E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s-ES"/>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1FCF54-A46E-445B-ABDE-6E482644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12</Pages>
  <Words>3695</Words>
  <Characters>21065</Characters>
  <Application>Microsoft Office Word</Application>
  <DocSecurity>0</DocSecurity>
  <Lines>175</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7</cp:revision>
  <cp:lastPrinted>2019-07-03T09:10:00Z</cp:lastPrinted>
  <dcterms:created xsi:type="dcterms:W3CDTF">2019-07-15T12:36:00Z</dcterms:created>
  <dcterms:modified xsi:type="dcterms:W3CDTF">2019-07-30T01:40:00Z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