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72" w:type="dxa"/>
        <w:tblLayout w:type="fixed"/>
        <w:tblCellMar>
          <w:left w:w="70" w:type="dxa"/>
          <w:right w:w="70" w:type="dxa"/>
        </w:tblCellMar>
        <w:tblLook w:val="0000" w:firstRow="0" w:lastRow="0" w:firstColumn="0" w:lastColumn="0" w:noHBand="0" w:noVBand="0"/>
      </w:tblPr>
      <w:tblGrid>
        <w:gridCol w:w="9781"/>
      </w:tblGrid>
      <w:tr w:rsidR="00E57B69" w:rsidRPr="00332032" w14:paraId="0E49789C" w14:textId="77777777" w:rsidTr="00FC7C3F">
        <w:tc>
          <w:tcPr>
            <w:tcW w:w="4660" w:type="dxa"/>
            <w:shd w:val="clear" w:color="auto" w:fill="auto"/>
          </w:tcPr>
          <w:p w14:paraId="05F7CB93" w14:textId="77777777" w:rsidR="00E57B69" w:rsidRPr="00332032" w:rsidRDefault="00E57B69" w:rsidP="00FC7C3F">
            <w:pPr>
              <w:tabs>
                <w:tab w:val="left" w:pos="356"/>
                <w:tab w:val="left" w:pos="2268"/>
              </w:tabs>
              <w:jc w:val="center"/>
              <w:rPr>
                <w:b/>
                <w:sz w:val="22"/>
                <w:rFonts w:ascii="Garamond" w:hAnsi="Garamond"/>
              </w:rPr>
            </w:pPr>
            <w:r>
              <w:rPr>
                <w:b/>
                <w:sz w:val="22"/>
                <w:rFonts w:ascii="Garamond" w:hAnsi="Garamond"/>
              </w:rPr>
              <w:t xml:space="preserve">2045 Regatul Belgiei</w:t>
            </w:r>
          </w:p>
        </w:tc>
      </w:tr>
      <w:tr w:rsidR="00E57B69" w14:paraId="4DB25364" w14:textId="77777777" w:rsidTr="00FC7C3F">
        <w:tc>
          <w:tcPr>
            <w:tcW w:w="4660" w:type="dxa"/>
            <w:shd w:val="clear" w:color="auto" w:fill="auto"/>
          </w:tcPr>
          <w:p w14:paraId="33A4A09C"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_________</w:t>
            </w:r>
          </w:p>
        </w:tc>
      </w:tr>
      <w:tr w:rsidR="00E57B69" w14:paraId="2E4C091E" w14:textId="77777777" w:rsidTr="00FC7C3F">
        <w:tc>
          <w:tcPr>
            <w:tcW w:w="4660" w:type="dxa"/>
            <w:shd w:val="clear" w:color="auto" w:fill="auto"/>
          </w:tcPr>
          <w:p w14:paraId="4D36118C" w14:textId="77777777" w:rsidR="00E57B69" w:rsidRDefault="00E57B69" w:rsidP="00FC7C3F">
            <w:pPr>
              <w:tabs>
                <w:tab w:val="left" w:pos="356"/>
                <w:tab w:val="left" w:pos="2268"/>
              </w:tabs>
              <w:jc w:val="center"/>
              <w:rPr>
                <w:rFonts w:ascii="Garamond" w:hAnsi="Garamond"/>
                <w:sz w:val="22"/>
              </w:rPr>
            </w:pPr>
          </w:p>
        </w:tc>
      </w:tr>
      <w:tr w:rsidR="00E57B69" w:rsidRPr="00332032" w14:paraId="358AFC98" w14:textId="77777777" w:rsidTr="00FC7C3F">
        <w:tc>
          <w:tcPr>
            <w:tcW w:w="4660" w:type="dxa"/>
            <w:shd w:val="clear" w:color="auto" w:fill="auto"/>
          </w:tcPr>
          <w:p w14:paraId="360694E6" w14:textId="77777777" w:rsidR="00E57B69" w:rsidRPr="00332032" w:rsidRDefault="00E57B69" w:rsidP="00FC7C3F">
            <w:pPr>
              <w:tabs>
                <w:tab w:val="left" w:pos="356"/>
                <w:tab w:val="left" w:pos="2268"/>
              </w:tabs>
              <w:jc w:val="center"/>
              <w:rPr>
                <w:sz w:val="22"/>
                <w:rFonts w:ascii="Garamond" w:hAnsi="Garamond"/>
              </w:rPr>
            </w:pPr>
            <w:r>
              <w:rPr>
                <w:b/>
                <w:sz w:val="22"/>
                <w:rFonts w:ascii="Garamond" w:hAnsi="Garamond"/>
              </w:rPr>
              <w:t xml:space="preserve">SERVICIUL PUBLIC FEDERAL PENTRU SĂNĂTATE PUBLICĂ, SIGURANȚA LANȚULUI ALIMENTAR ȘI MEDIU</w:t>
            </w:r>
          </w:p>
        </w:tc>
      </w:tr>
      <w:tr w:rsidR="00E57B69" w:rsidRPr="002F1661" w14:paraId="6924005D" w14:textId="77777777" w:rsidTr="00FC7C3F">
        <w:tc>
          <w:tcPr>
            <w:tcW w:w="4660" w:type="dxa"/>
            <w:shd w:val="clear" w:color="auto" w:fill="auto"/>
          </w:tcPr>
          <w:p w14:paraId="3009202C" w14:textId="77777777" w:rsidR="00E57B69" w:rsidRPr="002F1661" w:rsidRDefault="00E57B69" w:rsidP="00FC7C3F">
            <w:pPr>
              <w:tabs>
                <w:tab w:val="left" w:pos="356"/>
                <w:tab w:val="left" w:pos="2268"/>
              </w:tabs>
              <w:jc w:val="center"/>
              <w:rPr>
                <w:b/>
                <w:bCs/>
                <w:sz w:val="22"/>
                <w:rFonts w:ascii="Garamond" w:hAnsi="Garamond"/>
              </w:rPr>
            </w:pPr>
            <w:r>
              <w:rPr>
                <w:sz w:val="22"/>
                <w:rFonts w:ascii="Garamond" w:hAnsi="Garamond"/>
              </w:rPr>
              <w:t xml:space="preserve">________________________</w:t>
            </w:r>
          </w:p>
        </w:tc>
      </w:tr>
      <w:tr w:rsidR="00E57B69" w:rsidRPr="002F1661" w14:paraId="11A5F205" w14:textId="77777777" w:rsidTr="00FC7C3F">
        <w:tc>
          <w:tcPr>
            <w:tcW w:w="4660" w:type="dxa"/>
            <w:shd w:val="clear" w:color="auto" w:fill="auto"/>
          </w:tcPr>
          <w:p w14:paraId="252EDB76" w14:textId="77777777" w:rsidR="00E57B69" w:rsidRPr="002F1661" w:rsidRDefault="00E57B69" w:rsidP="00FC7C3F">
            <w:pPr>
              <w:tabs>
                <w:tab w:val="left" w:pos="356"/>
                <w:tab w:val="left" w:pos="2268"/>
              </w:tabs>
              <w:jc w:val="both"/>
              <w:rPr>
                <w:rFonts w:ascii="Garamond" w:hAnsi="Garamond"/>
                <w:b/>
                <w:bCs/>
                <w:sz w:val="22"/>
                <w:lang w:val="nl-NL"/>
              </w:rPr>
            </w:pPr>
          </w:p>
        </w:tc>
      </w:tr>
      <w:tr w:rsidR="00E57B69" w:rsidRPr="007623AC" w14:paraId="5D6EBBFB" w14:textId="77777777" w:rsidTr="00FC7C3F">
        <w:tc>
          <w:tcPr>
            <w:tcW w:w="4660" w:type="dxa"/>
            <w:shd w:val="clear" w:color="auto" w:fill="auto"/>
          </w:tcPr>
          <w:p w14:paraId="26426D7B" w14:textId="77777777" w:rsidR="00E57B69" w:rsidRPr="007623AC" w:rsidRDefault="00E57B69" w:rsidP="00FC7C3F">
            <w:pPr>
              <w:tabs>
                <w:tab w:val="left" w:pos="356"/>
                <w:tab w:val="left" w:pos="2268"/>
              </w:tabs>
              <w:jc w:val="both"/>
              <w:rPr>
                <w:b/>
                <w:bCs/>
                <w:sz w:val="22"/>
                <w:rFonts w:ascii="Garamond" w:hAnsi="Garamond"/>
              </w:rPr>
            </w:pPr>
            <w:r>
              <w:rPr>
                <w:b/>
                <w:sz w:val="24"/>
              </w:rPr>
              <w:t xml:space="preserve">Decret ministerial de stabilire a condițiilor privind</w:t>
            </w:r>
            <w:r>
              <w:t xml:space="preserve"> </w:t>
            </w:r>
            <w:r>
              <w:rPr>
                <w:b/>
                <w:sz w:val="24"/>
              </w:rPr>
              <w:t xml:space="preserve">vânzarea și/sau livrarea către utilizatorul final a alimentelor destinate unor scopuri medicale speciale</w:t>
            </w:r>
          </w:p>
        </w:tc>
      </w:tr>
      <w:tr w:rsidR="00E57B69" w:rsidRPr="00E57B69" w14:paraId="1F9051DD" w14:textId="77777777" w:rsidTr="00FC7C3F">
        <w:tc>
          <w:tcPr>
            <w:tcW w:w="4660" w:type="dxa"/>
            <w:shd w:val="clear" w:color="auto" w:fill="auto"/>
          </w:tcPr>
          <w:p w14:paraId="7C2E8424"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633632" w14:paraId="0F91DB3C" w14:textId="77777777" w:rsidTr="00FC7C3F">
        <w:tc>
          <w:tcPr>
            <w:tcW w:w="4660" w:type="dxa"/>
            <w:shd w:val="clear" w:color="auto" w:fill="auto"/>
          </w:tcPr>
          <w:p w14:paraId="7EA15DA1" w14:textId="77777777" w:rsidR="00E57B69" w:rsidRPr="00633632" w:rsidRDefault="00E57B69" w:rsidP="00FC7C3F">
            <w:pPr>
              <w:tabs>
                <w:tab w:val="left" w:pos="356"/>
                <w:tab w:val="left" w:pos="2268"/>
              </w:tabs>
              <w:jc w:val="center"/>
              <w:rPr>
                <w:b/>
                <w:sz w:val="22"/>
                <w:rFonts w:ascii="Garamond" w:hAnsi="Garamond"/>
              </w:rPr>
            </w:pPr>
            <w:r>
              <w:rPr>
                <w:b/>
                <w:sz w:val="22"/>
                <w:rFonts w:ascii="Garamond" w:hAnsi="Garamond"/>
              </w:rPr>
              <w:t xml:space="preserve">Ministrul Sănătății Publice și Ministrul Agriculturii,</w:t>
            </w:r>
            <w:r>
              <w:rPr>
                <w:b/>
                <w:sz w:val="22"/>
                <w:rFonts w:ascii="Garamond" w:hAnsi="Garamond"/>
              </w:rPr>
              <w:t xml:space="preserve">  </w:t>
            </w:r>
          </w:p>
        </w:tc>
      </w:tr>
      <w:tr w:rsidR="00E57B69" w:rsidRPr="00E57B69" w14:paraId="75EBA0B0" w14:textId="77777777" w:rsidTr="00FC7C3F">
        <w:tc>
          <w:tcPr>
            <w:tcW w:w="4660" w:type="dxa"/>
            <w:shd w:val="clear" w:color="auto" w:fill="auto"/>
          </w:tcPr>
          <w:p w14:paraId="69943615"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4D3641" w14:paraId="68589C4B" w14:textId="77777777" w:rsidTr="00FC7C3F">
        <w:tc>
          <w:tcPr>
            <w:tcW w:w="4660" w:type="dxa"/>
            <w:shd w:val="clear" w:color="auto" w:fill="auto"/>
          </w:tcPr>
          <w:p w14:paraId="6B8070B4" w14:textId="77777777" w:rsidR="00E57B69"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Având în vedere Legea din 24 ianuarie 1977 privind protecția sănătății consumatorilor în ceea ce privește produsele alimentare și alte produse, astfel cum a fost modificată prin Legea din 22 martie 1989, în special articolul 2,</w:t>
            </w:r>
          </w:p>
          <w:p w14:paraId="39709177" w14:textId="77777777" w:rsidR="00E57B69" w:rsidRPr="00904C39" w:rsidRDefault="00E57B69" w:rsidP="00FC7C3F">
            <w:pPr>
              <w:tabs>
                <w:tab w:val="left" w:pos="356"/>
                <w:tab w:val="left" w:pos="2268"/>
              </w:tabs>
              <w:ind w:firstLine="501"/>
              <w:jc w:val="both"/>
              <w:rPr>
                <w:rFonts w:ascii="Garamond" w:hAnsi="Garamond"/>
                <w:sz w:val="22"/>
                <w:szCs w:val="22"/>
                <w:lang w:val="en-US"/>
              </w:rPr>
            </w:pPr>
          </w:p>
          <w:p w14:paraId="2E89679C" w14:textId="77777777" w:rsidR="00E57B69" w:rsidRPr="004D3641" w:rsidRDefault="00E57B69" w:rsidP="00FC7C3F">
            <w:pPr>
              <w:tabs>
                <w:tab w:val="left" w:pos="356"/>
                <w:tab w:val="left" w:pos="2268"/>
              </w:tabs>
              <w:ind w:firstLine="501"/>
              <w:jc w:val="both"/>
              <w:rPr>
                <w:color w:val="FF0000"/>
                <w:sz w:val="22"/>
                <w:szCs w:val="22"/>
                <w:rFonts w:ascii="Garamond" w:hAnsi="Garamond"/>
              </w:rPr>
            </w:pPr>
            <w:r>
              <w:rPr>
                <w:sz w:val="22"/>
                <w:rFonts w:ascii="Garamond" w:hAnsi="Garamond"/>
              </w:rPr>
              <w:t xml:space="preserve">Având în vedere Decretul regal din 18 februarie 1991 privind produsele alimentare destinate unor utilizări nutriționale speciale, astfel cum a fost modificat prin decretele regale din 27 septembrie 1993, din 4 decembrie 1995, din 11 octombrie 1997, din 9 ianuarie 2000, din 26 iunie 2000, din 12 februarie 2004, din 27 septembrie 2006, din 19 noiembrie 2007, din 30 iulie 2008, din 26 aprilie 2009 și din </w:t>
            </w:r>
            <w:r>
              <w:rPr>
                <w:sz w:val="22"/>
                <w:highlight w:val="yellow"/>
                <w:rFonts w:ascii="Garamond" w:hAnsi="Garamond"/>
              </w:rPr>
              <w:t xml:space="preserve">...</w:t>
            </w:r>
            <w:r>
              <w:rPr>
                <w:sz w:val="22"/>
                <w:highlight w:val="yellow"/>
                <w:rFonts w:ascii="Garamond" w:hAnsi="Garamond"/>
              </w:rPr>
              <w:t xml:space="preserve"> </w:t>
            </w:r>
            <w:r>
              <w:rPr>
                <w:sz w:val="22"/>
                <w:highlight w:val="yellow"/>
                <w:rFonts w:ascii="Garamond" w:hAnsi="Garamond"/>
              </w:rPr>
              <w:t xml:space="preserve">2021</w:t>
            </w:r>
            <w:r>
              <w:rPr>
                <w:sz w:val="22"/>
                <w:rFonts w:ascii="Garamond" w:hAnsi="Garamond"/>
              </w:rPr>
              <w:t xml:space="preserve">, articolul 2/1;</w:t>
            </w:r>
          </w:p>
        </w:tc>
      </w:tr>
      <w:tr w:rsidR="00E57B69" w:rsidRPr="00E57B69" w14:paraId="4588572D" w14:textId="77777777" w:rsidTr="00FC7C3F">
        <w:tc>
          <w:tcPr>
            <w:tcW w:w="4660" w:type="dxa"/>
            <w:shd w:val="clear" w:color="auto" w:fill="auto"/>
          </w:tcPr>
          <w:p w14:paraId="2A70D42C" w14:textId="77777777" w:rsidR="00E57B69" w:rsidRPr="00904C39" w:rsidRDefault="00E57B69" w:rsidP="00FC7C3F">
            <w:pPr>
              <w:tabs>
                <w:tab w:val="left" w:pos="356"/>
                <w:tab w:val="left" w:pos="2268"/>
              </w:tabs>
              <w:jc w:val="both"/>
              <w:rPr>
                <w:rFonts w:ascii="Garamond" w:hAnsi="Garamond"/>
                <w:b/>
                <w:color w:val="FF0000"/>
                <w:sz w:val="22"/>
                <w:lang w:val="en-US"/>
              </w:rPr>
            </w:pPr>
          </w:p>
        </w:tc>
      </w:tr>
      <w:tr w:rsidR="00E57B69" w:rsidRPr="005C637E" w14:paraId="05E3A944" w14:textId="77777777" w:rsidTr="00FC7C3F">
        <w:tc>
          <w:tcPr>
            <w:tcW w:w="4660" w:type="dxa"/>
            <w:shd w:val="clear" w:color="auto" w:fill="auto"/>
          </w:tcPr>
          <w:p w14:paraId="1A854639" w14:textId="77777777" w:rsidR="00E57B69" w:rsidRPr="005C637E" w:rsidRDefault="00E57B69" w:rsidP="00FC7C3F">
            <w:pPr>
              <w:tabs>
                <w:tab w:val="left" w:pos="356"/>
                <w:tab w:val="left" w:pos="2268"/>
              </w:tabs>
              <w:ind w:firstLine="501"/>
              <w:jc w:val="both"/>
              <w:rPr>
                <w:b/>
                <w:sz w:val="22"/>
                <w:rFonts w:ascii="Garamond" w:hAnsi="Garamond"/>
              </w:rPr>
            </w:pPr>
            <w:r>
              <w:rPr>
                <w:sz w:val="22"/>
                <w:rFonts w:ascii="Garamond" w:hAnsi="Garamond"/>
              </w:rPr>
              <w:t xml:space="preserve">Având în vedere Comunicarea către Comisia Europeană, „</w:t>
            </w:r>
            <w:r>
              <w:rPr>
                <w:sz w:val="22"/>
                <w:color w:val="FF0000"/>
                <w:rFonts w:ascii="Garamond" w:hAnsi="Garamond"/>
              </w:rPr>
              <w:t xml:space="preserve">xxxx 20xxx</w:t>
            </w:r>
            <w:r>
              <w:rPr>
                <w:sz w:val="22"/>
                <w:rFonts w:ascii="Garamond" w:hAnsi="Garamond"/>
              </w:rPr>
              <w:t xml:space="preserve">, aplicând articolul 5 alineatul (1) din Directiva (UE) 2015/1535 a Parlamentului European și a Consiliului din 9 septembrie 2015 referitoare la procedura de furnizare de informații în domeniul reglementărilor tehnice și al normelor privind serviciile societății informaționale;</w:t>
            </w:r>
          </w:p>
        </w:tc>
      </w:tr>
      <w:tr w:rsidR="00E57B69" w:rsidRPr="005C637E" w14:paraId="210C4F0B" w14:textId="77777777" w:rsidTr="00FC7C3F">
        <w:tc>
          <w:tcPr>
            <w:tcW w:w="4660" w:type="dxa"/>
            <w:shd w:val="clear" w:color="auto" w:fill="auto"/>
          </w:tcPr>
          <w:p w14:paraId="09E13DCB" w14:textId="77777777" w:rsidR="00E57B69" w:rsidRPr="00904C39" w:rsidRDefault="00E57B69" w:rsidP="00FC7C3F">
            <w:pPr>
              <w:tabs>
                <w:tab w:val="left" w:pos="356"/>
                <w:tab w:val="left" w:pos="2268"/>
              </w:tabs>
              <w:ind w:firstLine="501"/>
              <w:jc w:val="both"/>
              <w:rPr>
                <w:rFonts w:ascii="Garamond" w:hAnsi="Garamond"/>
                <w:sz w:val="22"/>
                <w:szCs w:val="22"/>
                <w:lang w:val="en-US" w:eastAsia="fr-BE"/>
              </w:rPr>
            </w:pPr>
          </w:p>
        </w:tc>
      </w:tr>
      <w:tr w:rsidR="00E57B69" w:rsidRPr="005C637E" w14:paraId="0C59FAAE" w14:textId="77777777" w:rsidTr="00FC7C3F">
        <w:tc>
          <w:tcPr>
            <w:tcW w:w="4660" w:type="dxa"/>
            <w:shd w:val="clear" w:color="auto" w:fill="auto"/>
          </w:tcPr>
          <w:p w14:paraId="7041189C" w14:textId="77777777" w:rsidR="00E57B69" w:rsidRPr="005C637E" w:rsidRDefault="00E57B69" w:rsidP="00FC7C3F">
            <w:pPr>
              <w:tabs>
                <w:tab w:val="left" w:pos="356"/>
                <w:tab w:val="left" w:pos="2268"/>
              </w:tabs>
              <w:ind w:firstLine="501"/>
              <w:jc w:val="both"/>
              <w:rPr>
                <w:sz w:val="22"/>
                <w:szCs w:val="22"/>
                <w:rFonts w:ascii="Garamond" w:hAnsi="Garamond"/>
              </w:rPr>
            </w:pPr>
            <w:r>
              <w:rPr>
                <w:sz w:val="22"/>
                <w:rFonts w:ascii="Garamond" w:hAnsi="Garamond"/>
              </w:rPr>
              <w:t xml:space="preserve">Având în vedere avizul nr. 9371 al Consiliului Superior al Sănătății adoptat la 30 iunie 2017,</w:t>
            </w:r>
          </w:p>
        </w:tc>
      </w:tr>
      <w:tr w:rsidR="00E57B69" w:rsidRPr="00E57B69" w14:paraId="6336C2CF" w14:textId="77777777" w:rsidTr="00FC7C3F">
        <w:tc>
          <w:tcPr>
            <w:tcW w:w="4660" w:type="dxa"/>
            <w:shd w:val="clear" w:color="auto" w:fill="auto"/>
          </w:tcPr>
          <w:p w14:paraId="72F2AF2A"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12B7739D" w14:textId="77777777" w:rsidTr="00FC7C3F">
        <w:tc>
          <w:tcPr>
            <w:tcW w:w="4660" w:type="dxa"/>
            <w:shd w:val="clear" w:color="auto" w:fill="auto"/>
          </w:tcPr>
          <w:p w14:paraId="46DC7669" w14:textId="77777777"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Având în vedere avizul inspectorului finanțelor, emis la </w:t>
            </w:r>
            <w:r>
              <w:rPr>
                <w:sz w:val="22"/>
                <w:color w:val="FF0000"/>
                <w:rFonts w:ascii="Garamond" w:hAnsi="Garamond"/>
              </w:rPr>
              <w:t xml:space="preserve">xxx</w:t>
            </w:r>
            <w:r>
              <w:rPr>
                <w:sz w:val="22"/>
                <w:rFonts w:ascii="Garamond" w:hAnsi="Garamond"/>
              </w:rPr>
              <w:t xml:space="preserve">;</w:t>
            </w:r>
          </w:p>
        </w:tc>
      </w:tr>
      <w:tr w:rsidR="00E57B69" w:rsidRPr="00E57B69" w14:paraId="46239848" w14:textId="77777777" w:rsidTr="00FC7C3F">
        <w:tc>
          <w:tcPr>
            <w:tcW w:w="4660" w:type="dxa"/>
            <w:shd w:val="clear" w:color="auto" w:fill="auto"/>
          </w:tcPr>
          <w:p w14:paraId="22DAFCDE" w14:textId="77777777" w:rsidR="00E57B69" w:rsidRPr="00904C39" w:rsidRDefault="00E57B69" w:rsidP="00FC7C3F">
            <w:pPr>
              <w:tabs>
                <w:tab w:val="left" w:pos="356"/>
                <w:tab w:val="left" w:pos="2268"/>
              </w:tabs>
              <w:jc w:val="both"/>
              <w:rPr>
                <w:rFonts w:ascii="Garamond" w:hAnsi="Garamond"/>
                <w:b/>
                <w:sz w:val="22"/>
                <w:lang w:val="en-US"/>
              </w:rPr>
            </w:pPr>
          </w:p>
        </w:tc>
      </w:tr>
      <w:tr w:rsidR="00E57B69" w:rsidRPr="005C637E" w14:paraId="34202E97" w14:textId="77777777" w:rsidTr="00FC7C3F">
        <w:tc>
          <w:tcPr>
            <w:tcW w:w="4660" w:type="dxa"/>
            <w:shd w:val="clear" w:color="auto" w:fill="auto"/>
          </w:tcPr>
          <w:p w14:paraId="5E95CE82" w14:textId="40281705" w:rsidR="00E57B69" w:rsidRPr="005C637E" w:rsidRDefault="00E57B69" w:rsidP="00FC7C3F">
            <w:pPr>
              <w:tabs>
                <w:tab w:val="left" w:pos="356"/>
                <w:tab w:val="left" w:pos="2268"/>
              </w:tabs>
              <w:jc w:val="both"/>
              <w:rPr>
                <w:b/>
                <w:sz w:val="22"/>
                <w:rFonts w:ascii="Garamond" w:hAnsi="Garamond"/>
              </w:rPr>
            </w:pPr>
            <w:r>
              <w:rPr>
                <w:sz w:val="22"/>
                <w:rFonts w:ascii="Garamond" w:hAnsi="Garamond"/>
              </w:rPr>
              <w:tab/>
            </w:r>
            <w:r>
              <w:rPr>
                <w:sz w:val="22"/>
                <w:rFonts w:ascii="Garamond" w:hAnsi="Garamond"/>
              </w:rPr>
              <w:t xml:space="preserve">Având în vedere avizul nr. </w:t>
            </w:r>
            <w:r>
              <w:rPr>
                <w:sz w:val="22"/>
                <w:color w:val="FF0000"/>
                <w:rFonts w:ascii="Garamond" w:hAnsi="Garamond"/>
              </w:rPr>
              <w:t xml:space="preserve">xxx</w:t>
            </w:r>
            <w:r>
              <w:rPr>
                <w:sz w:val="22"/>
                <w:rFonts w:ascii="Garamond" w:hAnsi="Garamond"/>
              </w:rPr>
              <w:t xml:space="preserve"> al Consiliului de Stat, emis la </w:t>
            </w:r>
            <w:r>
              <w:rPr>
                <w:sz w:val="22"/>
                <w:color w:val="FF0000"/>
                <w:rFonts w:ascii="Garamond" w:hAnsi="Garamond"/>
              </w:rPr>
              <w:t xml:space="preserve">xxx</w:t>
            </w:r>
            <w:r>
              <w:rPr>
                <w:sz w:val="22"/>
                <w:rFonts w:ascii="Garamond" w:hAnsi="Garamond"/>
              </w:rPr>
              <w:t xml:space="preserve">, în temeiul articolului 84 alineatul (1) punctele 1 și 2 din legislația Consiliului de Stat, coordonate la 12 ianuarie 1973;</w:t>
            </w:r>
          </w:p>
        </w:tc>
      </w:tr>
      <w:tr w:rsidR="00E57B69" w:rsidRPr="00E57B69" w14:paraId="387E5B15" w14:textId="77777777" w:rsidTr="00FC7C3F">
        <w:tc>
          <w:tcPr>
            <w:tcW w:w="4660" w:type="dxa"/>
            <w:shd w:val="clear" w:color="auto" w:fill="auto"/>
          </w:tcPr>
          <w:p w14:paraId="51A816C5" w14:textId="77777777" w:rsidR="00E57B69" w:rsidRPr="00904C39" w:rsidRDefault="00E57B69" w:rsidP="00FC7C3F">
            <w:pPr>
              <w:tabs>
                <w:tab w:val="left" w:pos="356"/>
                <w:tab w:val="left" w:pos="2268"/>
              </w:tabs>
              <w:jc w:val="both"/>
              <w:rPr>
                <w:rFonts w:ascii="Garamond" w:hAnsi="Garamond"/>
                <w:b/>
                <w:sz w:val="22"/>
                <w:lang w:val="en-US"/>
              </w:rPr>
            </w:pPr>
          </w:p>
        </w:tc>
      </w:tr>
      <w:tr w:rsidR="00E57B69" w14:paraId="20189859" w14:textId="77777777" w:rsidTr="00FC7C3F">
        <w:tc>
          <w:tcPr>
            <w:tcW w:w="4660" w:type="dxa"/>
            <w:shd w:val="clear" w:color="auto" w:fill="auto"/>
          </w:tcPr>
          <w:p w14:paraId="62791476" w14:textId="77777777" w:rsidR="00E57B69" w:rsidRDefault="00E57B69" w:rsidP="00FC7C3F">
            <w:pPr>
              <w:tabs>
                <w:tab w:val="left" w:pos="356"/>
                <w:tab w:val="left" w:pos="2268"/>
              </w:tabs>
              <w:jc w:val="center"/>
              <w:rPr>
                <w:sz w:val="22"/>
                <w:rFonts w:ascii="Garamond" w:hAnsi="Garamond"/>
              </w:rPr>
            </w:pPr>
            <w:r>
              <w:rPr>
                <w:sz w:val="22"/>
                <w:rFonts w:ascii="Garamond" w:hAnsi="Garamond"/>
              </w:rPr>
              <w:t xml:space="preserve">PRIN PREZENTUL, HOTĂRĂȘTE URMĂTOARELE:</w:t>
            </w:r>
          </w:p>
          <w:p w14:paraId="5A12D8EB" w14:textId="77777777" w:rsidR="00E57B69" w:rsidRDefault="00E57B69" w:rsidP="00FC7C3F">
            <w:pPr>
              <w:tabs>
                <w:tab w:val="left" w:pos="356"/>
                <w:tab w:val="left" w:pos="2268"/>
              </w:tabs>
              <w:rPr>
                <w:rFonts w:ascii="Garamond" w:hAnsi="Garamond"/>
                <w:b/>
                <w:sz w:val="22"/>
                <w:lang w:val="nl-NL"/>
              </w:rPr>
            </w:pPr>
          </w:p>
        </w:tc>
      </w:tr>
      <w:tr w:rsidR="00E57B69" w:rsidRPr="00DB18B8" w14:paraId="5B93629D" w14:textId="77777777" w:rsidTr="00FC7C3F">
        <w:tc>
          <w:tcPr>
            <w:tcW w:w="4660" w:type="dxa"/>
            <w:shd w:val="clear" w:color="auto" w:fill="auto"/>
          </w:tcPr>
          <w:p w14:paraId="6A99542A" w14:textId="77777777" w:rsidR="00E57B69" w:rsidRPr="00DB18B8" w:rsidRDefault="00E57B69" w:rsidP="00FC7C3F">
            <w:pPr>
              <w:tabs>
                <w:tab w:val="left" w:pos="0"/>
                <w:tab w:val="left" w:pos="709"/>
                <w:tab w:val="left" w:pos="2268"/>
              </w:tabs>
              <w:jc w:val="both"/>
              <w:rPr>
                <w:sz w:val="22"/>
                <w:rFonts w:ascii="Garamond" w:hAnsi="Garamond"/>
              </w:rPr>
            </w:pPr>
            <w:r>
              <w:rPr>
                <w:sz w:val="22"/>
                <w:b/>
                <w:rFonts w:ascii="Garamond" w:hAnsi="Garamond"/>
              </w:rPr>
              <w:t xml:space="preserve">Articolul 1.</w:t>
            </w:r>
            <w:r>
              <w:rPr>
                <w:sz w:val="22"/>
                <w:b/>
                <w:rFonts w:ascii="Garamond" w:hAnsi="Garamond"/>
              </w:rPr>
              <w:t xml:space="preserve"> </w:t>
            </w:r>
            <w:r>
              <w:rPr>
                <w:sz w:val="22"/>
                <w:rFonts w:ascii="Garamond" w:hAnsi="Garamond"/>
              </w:rPr>
              <w:t xml:space="preserve">În sensul prezentului decret, se aplică definițiile următoare:</w:t>
            </w:r>
            <w:r>
              <w:rPr>
                <w:sz w:val="22"/>
                <w:b/>
                <w:rFonts w:ascii="Garamond" w:hAnsi="Garamond"/>
              </w:rPr>
              <w:t xml:space="preserve"> </w:t>
            </w:r>
          </w:p>
          <w:p w14:paraId="173EB430"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323B6F19" w14:textId="77777777" w:rsidTr="00FC7C3F">
        <w:tc>
          <w:tcPr>
            <w:tcW w:w="4660" w:type="dxa"/>
            <w:shd w:val="clear" w:color="auto" w:fill="auto"/>
          </w:tcPr>
          <w:p w14:paraId="403AFE52"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„servicii din afara mediului spitalicesc” înseamnă operatori care, în cadrul tratamentului medical al unui pacient în afara spitalului, instalează, întrețin și/sau îndepărtează dispozitivele medicale legate de alimentația enterală prin intermediul unei sonde la domiciliul pacienților;</w:t>
            </w:r>
          </w:p>
        </w:tc>
      </w:tr>
      <w:tr w:rsidR="00E57B69" w:rsidRPr="00E57B69" w14:paraId="09A98B4E" w14:textId="77777777" w:rsidTr="00FC7C3F">
        <w:tc>
          <w:tcPr>
            <w:tcW w:w="4660" w:type="dxa"/>
            <w:shd w:val="clear" w:color="auto" w:fill="auto"/>
          </w:tcPr>
          <w:p w14:paraId="2D21EDB9"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AD2BC14" w14:textId="77777777" w:rsidTr="00FC7C3F">
        <w:tc>
          <w:tcPr>
            <w:tcW w:w="4660" w:type="dxa"/>
            <w:shd w:val="clear" w:color="auto" w:fill="auto"/>
          </w:tcPr>
          <w:p w14:paraId="4851F28C" w14:textId="77777777" w:rsidR="00E57B69" w:rsidRPr="00CD251B" w:rsidRDefault="00E57B69" w:rsidP="00FC7C3F">
            <w:pPr>
              <w:tabs>
                <w:tab w:val="left" w:pos="0"/>
                <w:tab w:val="left" w:pos="709"/>
                <w:tab w:val="left" w:pos="2268"/>
              </w:tabs>
              <w:jc w:val="both"/>
              <w:rPr>
                <w:sz w:val="22"/>
                <w:rFonts w:ascii="Garamond" w:hAnsi="Garamond"/>
              </w:rPr>
            </w:pPr>
            <w:r>
              <w:rPr>
                <w:sz w:val="22"/>
                <w:rFonts w:ascii="Garamond" w:hAnsi="Garamond"/>
              </w:rPr>
              <w:t xml:space="preserve">2. „farmacist” înseamnă orice persoană autorizată să practice farmacia și care administrează efectiv un laborator de farmacie aflat în mod oficial la dispoziția publicului sau un laborator de farmacie în centre medicale sau penitenciare.</w:t>
            </w:r>
          </w:p>
        </w:tc>
      </w:tr>
      <w:tr w:rsidR="00E57B69" w:rsidRPr="00E57B69" w14:paraId="1F02F43F" w14:textId="77777777" w:rsidTr="00FC7C3F">
        <w:tc>
          <w:tcPr>
            <w:tcW w:w="4660" w:type="dxa"/>
            <w:shd w:val="clear" w:color="auto" w:fill="auto"/>
          </w:tcPr>
          <w:p w14:paraId="51860F3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5130CEFE" w14:textId="77777777" w:rsidTr="00FC7C3F">
        <w:tc>
          <w:tcPr>
            <w:tcW w:w="4660" w:type="dxa"/>
            <w:shd w:val="clear" w:color="auto" w:fill="auto"/>
          </w:tcPr>
          <w:p w14:paraId="4F60D600" w14:textId="77777777" w:rsidR="00E57B69" w:rsidRDefault="00E57B69" w:rsidP="00FC7C3F">
            <w:pPr>
              <w:tabs>
                <w:tab w:val="left" w:pos="0"/>
                <w:tab w:val="left" w:pos="709"/>
                <w:tab w:val="left" w:pos="2268"/>
              </w:tabs>
              <w:jc w:val="both"/>
              <w:rPr>
                <w:b/>
                <w:sz w:val="22"/>
                <w:rFonts w:ascii="Garamond" w:hAnsi="Garamond"/>
              </w:rPr>
            </w:pPr>
            <w:r>
              <w:rPr>
                <w:b/>
                <w:sz w:val="22"/>
                <w:rFonts w:ascii="Garamond" w:hAnsi="Garamond"/>
              </w:rPr>
              <w:t xml:space="preserve">Articolul 2.</w:t>
            </w:r>
            <w:r>
              <w:t xml:space="preserve"> </w:t>
            </w:r>
            <w:r>
              <w:rPr>
                <w:sz w:val="22"/>
                <w:rFonts w:ascii="Garamond" w:hAnsi="Garamond"/>
              </w:rPr>
              <w:t xml:space="preserve">Vânzarea și/sau livrarea către utilizatorul final a alimentelor destinate unor scopurilor medicale speciale sunt autorizate numai pentru:</w:t>
            </w:r>
            <w:r>
              <w:rPr>
                <w:sz w:val="22"/>
                <w:b/>
                <w:rFonts w:ascii="Garamond" w:hAnsi="Garamond"/>
              </w:rPr>
              <w:t xml:space="preserve">  </w:t>
            </w:r>
          </w:p>
          <w:p w14:paraId="50FE91EB"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CD251B" w14:paraId="076E6AC9" w14:textId="77777777" w:rsidTr="00FC7C3F">
        <w:tc>
          <w:tcPr>
            <w:tcW w:w="4660" w:type="dxa"/>
            <w:shd w:val="clear" w:color="auto" w:fill="auto"/>
          </w:tcPr>
          <w:p w14:paraId="5881D252" w14:textId="77777777" w:rsidR="00E57B69" w:rsidRPr="00CD251B" w:rsidRDefault="00E57B69" w:rsidP="00FC7C3F">
            <w:pPr>
              <w:tabs>
                <w:tab w:val="left" w:pos="0"/>
                <w:tab w:val="left" w:pos="709"/>
                <w:tab w:val="left" w:pos="2268"/>
              </w:tabs>
              <w:jc w:val="both"/>
              <w:rPr>
                <w:sz w:val="22"/>
                <w:rFonts w:ascii="Garamond" w:hAnsi="Garamond"/>
              </w:rPr>
            </w:pPr>
            <w:bookmarkStart w:id="0" w:name="_Hlk523840403"/>
            <w:r>
              <w:rPr>
                <w:sz w:val="22"/>
                <w:rFonts w:ascii="Garamond" w:hAnsi="Garamond"/>
              </w:rPr>
              <w:t xml:space="preserve">1. </w:t>
            </w:r>
            <w:bookmarkEnd w:id="0"/>
            <w:r>
              <w:t xml:space="preserve">farmaciști</w:t>
            </w:r>
            <w:r>
              <w:rPr>
                <w:sz w:val="22"/>
                <w:rFonts w:ascii="Garamond" w:hAnsi="Garamond"/>
              </w:rPr>
              <w:t xml:space="preserve">;</w:t>
            </w:r>
          </w:p>
        </w:tc>
      </w:tr>
      <w:tr w:rsidR="00E57B69" w:rsidRPr="00CD251B" w14:paraId="4423C570" w14:textId="77777777" w:rsidTr="00FC7C3F">
        <w:tc>
          <w:tcPr>
            <w:tcW w:w="4660" w:type="dxa"/>
            <w:shd w:val="clear" w:color="auto" w:fill="auto"/>
          </w:tcPr>
          <w:p w14:paraId="32035013" w14:textId="77777777" w:rsidR="00E57B69" w:rsidRPr="00CD251B" w:rsidRDefault="00E57B69" w:rsidP="00FC7C3F">
            <w:pPr>
              <w:tabs>
                <w:tab w:val="left" w:pos="0"/>
                <w:tab w:val="left" w:pos="709"/>
                <w:tab w:val="left" w:pos="2268"/>
              </w:tabs>
              <w:jc w:val="both"/>
              <w:rPr>
                <w:rFonts w:ascii="Garamond" w:hAnsi="Garamond"/>
                <w:b/>
                <w:sz w:val="22"/>
                <w:lang w:val="nl-BE"/>
              </w:rPr>
            </w:pPr>
          </w:p>
        </w:tc>
      </w:tr>
      <w:tr w:rsidR="00E57B69" w:rsidRPr="00CD251B" w14:paraId="40579E1E" w14:textId="77777777" w:rsidTr="00FC7C3F">
        <w:tc>
          <w:tcPr>
            <w:tcW w:w="4660" w:type="dxa"/>
            <w:shd w:val="clear" w:color="auto" w:fill="auto"/>
          </w:tcPr>
          <w:p w14:paraId="2B5A400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2. unitățile de asistență medicală recunoscute de una dintre entitățile federate, cu condiția ca alimentele destinate unor scopuri medicale speciale să fie furnizate pe bază de prescripție medicală și numai pacienților instituționalizați;</w:t>
            </w:r>
          </w:p>
        </w:tc>
      </w:tr>
      <w:tr w:rsidR="00E57B69" w:rsidRPr="00E57B69" w14:paraId="1A3F071A" w14:textId="77777777" w:rsidTr="00FC7C3F">
        <w:tc>
          <w:tcPr>
            <w:tcW w:w="4660" w:type="dxa"/>
            <w:shd w:val="clear" w:color="auto" w:fill="auto"/>
          </w:tcPr>
          <w:p w14:paraId="7C59C09B"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CD251B" w14:paraId="452F523B" w14:textId="77777777" w:rsidTr="00FC7C3F">
        <w:tc>
          <w:tcPr>
            <w:tcW w:w="4660" w:type="dxa"/>
            <w:shd w:val="clear" w:color="auto" w:fill="auto"/>
          </w:tcPr>
          <w:p w14:paraId="7F002F9B" w14:textId="77777777" w:rsidR="00E57B69" w:rsidRPr="00CD251B"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3. unitățile de asistență medicală recunoscute de una dintre entitățile federate și numai pacienților instituționalizați pentru alimente destinate unor scopuri medicale speciale administrate pe cale orală și destinate adulților, cu scopul de a satisface nevoile nutriționale în caz de:</w:t>
            </w:r>
          </w:p>
        </w:tc>
      </w:tr>
      <w:tr w:rsidR="00E57B69" w:rsidRPr="007B5716" w14:paraId="1B48EE96" w14:textId="77777777" w:rsidTr="00FC7C3F">
        <w:tc>
          <w:tcPr>
            <w:tcW w:w="4660" w:type="dxa"/>
            <w:shd w:val="clear" w:color="auto" w:fill="auto"/>
          </w:tcPr>
          <w:p w14:paraId="43728444"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malnutriție sau risc de malnutriție care nu este asociată cu alte boli sau afecțiuni;</w:t>
            </w:r>
            <w:r>
              <w:rPr>
                <w:sz w:val="22"/>
                <w:rFonts w:ascii="Garamond" w:hAnsi="Garamond"/>
              </w:rPr>
              <w:t xml:space="preserve"> </w:t>
            </w:r>
            <w:r>
              <w:rPr>
                <w:sz w:val="22"/>
                <w:rFonts w:ascii="Garamond" w:hAnsi="Garamond"/>
              </w:rPr>
              <w:t xml:space="preserve">sau</w:t>
            </w:r>
          </w:p>
        </w:tc>
      </w:tr>
      <w:tr w:rsidR="00E57B69" w:rsidRPr="00B239EE" w14:paraId="062FEC4E" w14:textId="77777777" w:rsidTr="00FC7C3F">
        <w:tc>
          <w:tcPr>
            <w:tcW w:w="4660" w:type="dxa"/>
            <w:shd w:val="clear" w:color="auto" w:fill="auto"/>
          </w:tcPr>
          <w:p w14:paraId="57F5A7B7" w14:textId="77777777" w:rsidR="00E57B69" w:rsidRPr="00B239EE"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deshidratare sau risc de deshidratare;</w:t>
            </w:r>
            <w:r>
              <w:rPr>
                <w:sz w:val="22"/>
                <w:rFonts w:ascii="Garamond" w:hAnsi="Garamond"/>
              </w:rPr>
              <w:t xml:space="preserve"> </w:t>
            </w:r>
            <w:r>
              <w:rPr>
                <w:sz w:val="22"/>
                <w:rFonts w:ascii="Garamond" w:hAnsi="Garamond"/>
              </w:rPr>
              <w:t xml:space="preserve">sau</w:t>
            </w:r>
          </w:p>
        </w:tc>
      </w:tr>
      <w:tr w:rsidR="00E57B69" w:rsidRPr="007B5716" w14:paraId="6062D995" w14:textId="77777777" w:rsidTr="00FC7C3F">
        <w:tc>
          <w:tcPr>
            <w:tcW w:w="4660" w:type="dxa"/>
            <w:shd w:val="clear" w:color="auto" w:fill="auto"/>
          </w:tcPr>
          <w:p w14:paraId="7789111F" w14:textId="77777777" w:rsidR="00E57B69" w:rsidRPr="007B5716" w:rsidRDefault="00E57B69" w:rsidP="00E57B69">
            <w:pPr>
              <w:numPr>
                <w:ilvl w:val="0"/>
                <w:numId w:val="1"/>
              </w:numPr>
              <w:tabs>
                <w:tab w:val="left" w:pos="0"/>
                <w:tab w:val="left" w:pos="709"/>
                <w:tab w:val="left" w:pos="2268"/>
              </w:tabs>
              <w:jc w:val="both"/>
              <w:rPr>
                <w:sz w:val="22"/>
                <w:rFonts w:ascii="Garamond" w:hAnsi="Garamond"/>
              </w:rPr>
            </w:pPr>
            <w:r>
              <w:rPr>
                <w:sz w:val="22"/>
                <w:rFonts w:ascii="Garamond" w:hAnsi="Garamond"/>
              </w:rPr>
              <w:t xml:space="preserve">probleme de deglutiție;</w:t>
            </w:r>
          </w:p>
        </w:tc>
      </w:tr>
      <w:tr w:rsidR="00E57B69" w:rsidRPr="007B5716" w14:paraId="3EBDB2AA" w14:textId="77777777" w:rsidTr="00FC7C3F">
        <w:tc>
          <w:tcPr>
            <w:tcW w:w="4660" w:type="dxa"/>
            <w:shd w:val="clear" w:color="auto" w:fill="auto"/>
          </w:tcPr>
          <w:p w14:paraId="4B4204C4" w14:textId="77777777" w:rsidR="00E57B69" w:rsidRPr="007B5716" w:rsidRDefault="00E57B69" w:rsidP="00FC7C3F">
            <w:pPr>
              <w:tabs>
                <w:tab w:val="left" w:pos="0"/>
                <w:tab w:val="left" w:pos="709"/>
                <w:tab w:val="left" w:pos="2268"/>
              </w:tabs>
              <w:jc w:val="both"/>
              <w:rPr>
                <w:rFonts w:ascii="Garamond" w:hAnsi="Garamond"/>
                <w:sz w:val="22"/>
                <w:lang w:val="nl-BE"/>
              </w:rPr>
            </w:pPr>
          </w:p>
        </w:tc>
      </w:tr>
      <w:tr w:rsidR="00E57B69" w:rsidRPr="007623AC" w14:paraId="42588F4F" w14:textId="77777777" w:rsidTr="00FC7C3F">
        <w:tc>
          <w:tcPr>
            <w:tcW w:w="4660" w:type="dxa"/>
            <w:shd w:val="clear" w:color="auto" w:fill="auto"/>
          </w:tcPr>
          <w:p w14:paraId="0E7BE6F9" w14:textId="77777777" w:rsidR="00E57B69" w:rsidRPr="007623AC"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4. serviciile din afara mediului spitalicesc înregistrate în conformitate cu Decretul regal din 15 noiembrie 2017 privind notificarea unui punct de contact de materiovigilență a dispozitivelor medicale și înregistrarea distribuitorilor și exportatorilor de dispozitive medicale și cu condiția ca acestea să facă obiectul unei rețete medicale;</w:t>
            </w:r>
          </w:p>
        </w:tc>
      </w:tr>
      <w:tr w:rsidR="00E57B69" w:rsidRPr="00E57B69" w14:paraId="49CD1A5A" w14:textId="77777777" w:rsidTr="00FC7C3F">
        <w:tc>
          <w:tcPr>
            <w:tcW w:w="4660" w:type="dxa"/>
            <w:shd w:val="clear" w:color="auto" w:fill="auto"/>
          </w:tcPr>
          <w:p w14:paraId="5A7EB405" w14:textId="77777777" w:rsidR="00E57B69" w:rsidRPr="00904C39" w:rsidRDefault="00E57B69" w:rsidP="00FC7C3F">
            <w:pPr>
              <w:tabs>
                <w:tab w:val="left" w:pos="0"/>
                <w:tab w:val="left" w:pos="709"/>
                <w:tab w:val="left" w:pos="2268"/>
              </w:tabs>
              <w:jc w:val="both"/>
              <w:rPr>
                <w:rFonts w:ascii="Garamond" w:hAnsi="Garamond"/>
                <w:b/>
                <w:sz w:val="22"/>
                <w:lang w:val="en-US"/>
              </w:rPr>
            </w:pPr>
          </w:p>
        </w:tc>
      </w:tr>
      <w:tr w:rsidR="00E57B69" w:rsidRPr="007623AC" w14:paraId="22BD29E8" w14:textId="77777777" w:rsidTr="00FC7C3F">
        <w:tc>
          <w:tcPr>
            <w:tcW w:w="4660" w:type="dxa"/>
            <w:shd w:val="clear" w:color="auto" w:fill="auto"/>
          </w:tcPr>
          <w:p w14:paraId="5C78D62B"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5. entitățile de comerț cu amănuntul, cu condiția să se refere la produsele alimentare destinate unor scopuri medicale speciale administrate pe cale orală, destinate adulților și destinate satisfacerii nevoilor nutriționale în caz de denutriție sau risc de denutriție care nu este asociat cu alte boli sau tulburări.</w:t>
            </w:r>
          </w:p>
        </w:tc>
      </w:tr>
      <w:tr w:rsidR="00E57B69" w:rsidRPr="00E57B69" w14:paraId="0E60332F" w14:textId="77777777" w:rsidTr="00FC7C3F">
        <w:tc>
          <w:tcPr>
            <w:tcW w:w="4660" w:type="dxa"/>
            <w:shd w:val="clear" w:color="auto" w:fill="auto"/>
          </w:tcPr>
          <w:p w14:paraId="4DFD6D8A"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7623AC" w14:paraId="3B43C8CF" w14:textId="77777777" w:rsidTr="00FC7C3F">
        <w:tc>
          <w:tcPr>
            <w:tcW w:w="4660" w:type="dxa"/>
            <w:shd w:val="clear" w:color="auto" w:fill="auto"/>
          </w:tcPr>
          <w:p w14:paraId="1B9842B5" w14:textId="77777777" w:rsidR="00E57B69" w:rsidRPr="007623AC" w:rsidRDefault="00E57B69" w:rsidP="00FC7C3F">
            <w:pPr>
              <w:tabs>
                <w:tab w:val="left" w:pos="0"/>
                <w:tab w:val="left" w:pos="709"/>
                <w:tab w:val="left" w:pos="2268"/>
              </w:tabs>
              <w:jc w:val="both"/>
              <w:rPr>
                <w:b/>
                <w:sz w:val="22"/>
                <w:rFonts w:ascii="Garamond" w:hAnsi="Garamond"/>
              </w:rPr>
            </w:pPr>
            <w:r>
              <w:rPr>
                <w:sz w:val="22"/>
                <w:b/>
                <w:rFonts w:ascii="Garamond" w:hAnsi="Garamond"/>
              </w:rPr>
              <w:t xml:space="preserve">Articolul 3.</w:t>
            </w:r>
            <w:r>
              <w:rPr>
                <w:sz w:val="22"/>
                <w:rFonts w:ascii="Garamond" w:hAnsi="Garamond"/>
              </w:rPr>
              <w:t xml:space="preserve"> </w:t>
            </w:r>
            <w:r>
              <w:rPr>
                <w:sz w:val="22"/>
                <w:rFonts w:ascii="Garamond" w:hAnsi="Garamond"/>
              </w:rPr>
              <w:t xml:space="preserve">O tehnică de comunicare la distanță, utilizată pentru vânzarea și/sau livrarea către utilizatorul final a alimentelor destinate unor scopuri medicale speciale este permisă numai pentru:</w:t>
            </w:r>
          </w:p>
        </w:tc>
      </w:tr>
      <w:tr w:rsidR="00E57B69" w:rsidRPr="007623AC" w14:paraId="485FD7A6" w14:textId="77777777" w:rsidTr="00FC7C3F">
        <w:tc>
          <w:tcPr>
            <w:tcW w:w="4660" w:type="dxa"/>
            <w:shd w:val="clear" w:color="auto" w:fill="auto"/>
          </w:tcPr>
          <w:p w14:paraId="327B89BD"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1. farmaciști;</w:t>
            </w:r>
          </w:p>
        </w:tc>
      </w:tr>
      <w:tr w:rsidR="00E57B69" w:rsidRPr="007623AC" w14:paraId="100FF619" w14:textId="77777777" w:rsidTr="00FC7C3F">
        <w:tc>
          <w:tcPr>
            <w:tcW w:w="4660" w:type="dxa"/>
            <w:shd w:val="clear" w:color="auto" w:fill="auto"/>
          </w:tcPr>
          <w:p w14:paraId="1FE0D9CB" w14:textId="77777777" w:rsidR="00E57B69" w:rsidRPr="007623AC" w:rsidRDefault="00E57B69" w:rsidP="00FC7C3F">
            <w:pPr>
              <w:tabs>
                <w:tab w:val="left" w:pos="0"/>
                <w:tab w:val="left" w:pos="709"/>
                <w:tab w:val="left" w:pos="2268"/>
              </w:tabs>
              <w:jc w:val="both"/>
              <w:rPr>
                <w:rFonts w:ascii="Garamond" w:hAnsi="Garamond"/>
                <w:sz w:val="22"/>
                <w:lang w:val="nl-BE"/>
              </w:rPr>
            </w:pPr>
          </w:p>
        </w:tc>
      </w:tr>
      <w:tr w:rsidR="00E57B69" w:rsidRPr="007623AC" w14:paraId="5210B9E5" w14:textId="77777777" w:rsidTr="00FC7C3F">
        <w:tc>
          <w:tcPr>
            <w:tcW w:w="4660" w:type="dxa"/>
            <w:shd w:val="clear" w:color="auto" w:fill="auto"/>
          </w:tcPr>
          <w:p w14:paraId="4F60DD25" w14:textId="77777777" w:rsidR="00E57B69" w:rsidRPr="007623AC" w:rsidRDefault="00E57B69" w:rsidP="00FC7C3F">
            <w:pPr>
              <w:tabs>
                <w:tab w:val="left" w:pos="0"/>
                <w:tab w:val="left" w:pos="709"/>
                <w:tab w:val="left" w:pos="2268"/>
              </w:tabs>
              <w:jc w:val="both"/>
              <w:rPr>
                <w:sz w:val="22"/>
                <w:rFonts w:ascii="Garamond" w:hAnsi="Garamond"/>
              </w:rPr>
            </w:pPr>
            <w:r>
              <w:rPr>
                <w:sz w:val="22"/>
                <w:rFonts w:ascii="Garamond" w:hAnsi="Garamond"/>
              </w:rPr>
              <w:t xml:space="preserve">2. entități de comerț cu amănuntul, astfel cum sunt descrise la articolul 2 punctul 5.</w:t>
            </w:r>
          </w:p>
        </w:tc>
      </w:tr>
      <w:tr w:rsidR="00E57B69" w:rsidRPr="00E57B69" w14:paraId="49F2A875" w14:textId="77777777" w:rsidTr="00FC7C3F">
        <w:tc>
          <w:tcPr>
            <w:tcW w:w="4660" w:type="dxa"/>
            <w:shd w:val="clear" w:color="auto" w:fill="auto"/>
          </w:tcPr>
          <w:p w14:paraId="66B85DC8" w14:textId="77777777" w:rsidR="00E57B69" w:rsidRPr="00904C39" w:rsidRDefault="00E57B69" w:rsidP="00FC7C3F">
            <w:pPr>
              <w:tabs>
                <w:tab w:val="left" w:pos="0"/>
                <w:tab w:val="left" w:pos="709"/>
                <w:tab w:val="left" w:pos="2268"/>
              </w:tabs>
              <w:jc w:val="both"/>
              <w:rPr>
                <w:rFonts w:ascii="Garamond" w:hAnsi="Garamond"/>
                <w:sz w:val="22"/>
                <w:lang w:val="en-US"/>
              </w:rPr>
            </w:pPr>
          </w:p>
        </w:tc>
      </w:tr>
      <w:tr w:rsidR="00E57B69" w:rsidRPr="00E57B69" w14:paraId="0673F5AD" w14:textId="77777777" w:rsidTr="00FC7C3F">
        <w:tc>
          <w:tcPr>
            <w:tcW w:w="4660" w:type="dxa"/>
          </w:tcPr>
          <w:p w14:paraId="7D35726F" w14:textId="77777777" w:rsidR="00E57B69" w:rsidRPr="00904C39" w:rsidRDefault="00E57B69" w:rsidP="00FC7C3F">
            <w:pPr>
              <w:rPr>
                <w:rFonts w:ascii="Garamond" w:hAnsi="Garamond"/>
                <w:b/>
                <w:sz w:val="22"/>
                <w:lang w:val="en-US"/>
              </w:rPr>
            </w:pPr>
          </w:p>
        </w:tc>
      </w:tr>
      <w:tr w:rsidR="00E57B69" w:rsidRPr="009E37B6" w14:paraId="2E0CA4F6" w14:textId="77777777" w:rsidTr="00FC7C3F">
        <w:trPr>
          <w:trHeight w:val="301"/>
        </w:trPr>
        <w:tc>
          <w:tcPr>
            <w:tcW w:w="4660" w:type="dxa"/>
          </w:tcPr>
          <w:p w14:paraId="29A4B050" w14:textId="77777777" w:rsidR="00E57B69" w:rsidRPr="009E37B6" w:rsidRDefault="00E57B69" w:rsidP="00FC7C3F">
            <w:pPr>
              <w:tabs>
                <w:tab w:val="left" w:pos="0"/>
                <w:tab w:val="left" w:pos="709"/>
                <w:tab w:val="left" w:pos="2268"/>
              </w:tabs>
              <w:jc w:val="both"/>
              <w:rPr>
                <w:b/>
                <w:sz w:val="22"/>
                <w:rFonts w:ascii="Garamond" w:hAnsi="Garamond"/>
              </w:rPr>
            </w:pPr>
            <w:r>
              <w:rPr>
                <w:sz w:val="22"/>
                <w:rFonts w:ascii="Garamond" w:hAnsi="Garamond"/>
              </w:rPr>
              <w:t xml:space="preserve">                 </w:t>
            </w:r>
            <w:r>
              <w:rPr>
                <w:sz w:val="22"/>
                <w:rFonts w:ascii="Garamond" w:hAnsi="Garamond"/>
              </w:rPr>
              <w:t xml:space="preserve">Bruxelles, xxx</w:t>
            </w:r>
          </w:p>
        </w:tc>
      </w:tr>
      <w:tr w:rsidR="00E57B69" w:rsidRPr="009E37B6" w14:paraId="23A47852" w14:textId="77777777" w:rsidTr="00FC7C3F">
        <w:trPr>
          <w:trHeight w:val="301"/>
        </w:trPr>
        <w:tc>
          <w:tcPr>
            <w:tcW w:w="4660" w:type="dxa"/>
          </w:tcPr>
          <w:p w14:paraId="5E70ACDD" w14:textId="77777777" w:rsidR="00E57B69" w:rsidRPr="00E57B69" w:rsidRDefault="00E57B69" w:rsidP="00FC7C3F">
            <w:pPr>
              <w:tabs>
                <w:tab w:val="left" w:pos="0"/>
                <w:tab w:val="left" w:pos="709"/>
                <w:tab w:val="left" w:pos="2268"/>
              </w:tabs>
              <w:jc w:val="both"/>
              <w:rPr>
                <w:rFonts w:ascii="Garamond" w:hAnsi="Garamond"/>
                <w:sz w:val="22"/>
                <w:lang w:val="nl-BE"/>
              </w:rPr>
            </w:pPr>
          </w:p>
        </w:tc>
      </w:tr>
      <w:tr w:rsidR="00E57B69" w:rsidRPr="009E37B6" w14:paraId="722E0BA7" w14:textId="77777777" w:rsidTr="00FC7C3F">
        <w:trPr>
          <w:trHeight w:val="301"/>
        </w:trPr>
        <w:tc>
          <w:tcPr>
            <w:tcW w:w="4660" w:type="dxa"/>
          </w:tcPr>
          <w:p w14:paraId="1EF683E1" w14:textId="64949DE5"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Frank VANDENBROUCKE</w:t>
            </w:r>
          </w:p>
        </w:tc>
      </w:tr>
      <w:tr w:rsidR="00E57B69" w:rsidRPr="009E37B6" w14:paraId="09B2B84D" w14:textId="77777777" w:rsidTr="00FC7C3F">
        <w:trPr>
          <w:trHeight w:val="301"/>
        </w:trPr>
        <w:tc>
          <w:tcPr>
            <w:tcW w:w="4660" w:type="dxa"/>
          </w:tcPr>
          <w:p w14:paraId="74480347" w14:textId="49B7C5D1" w:rsidR="00E57B69" w:rsidRPr="00E57B69" w:rsidRDefault="00E57B69" w:rsidP="00FC7C3F">
            <w:pPr>
              <w:tabs>
                <w:tab w:val="left" w:pos="0"/>
                <w:tab w:val="left" w:pos="709"/>
                <w:tab w:val="left" w:pos="2268"/>
              </w:tabs>
              <w:jc w:val="both"/>
              <w:rPr>
                <w:sz w:val="22"/>
                <w:rFonts w:ascii="Garamond" w:hAnsi="Garamond"/>
              </w:rPr>
            </w:pPr>
            <w:r>
              <w:rPr>
                <w:sz w:val="22"/>
                <w:rFonts w:ascii="Garamond" w:hAnsi="Garamond"/>
              </w:rPr>
              <w:t xml:space="preserve">David CLARINVAL</w:t>
            </w:r>
          </w:p>
        </w:tc>
      </w:tr>
    </w:tbl>
    <w:p w14:paraId="4FE51EEF" w14:textId="77777777" w:rsidR="00816ED9" w:rsidRDefault="00816ED9"/>
    <w:sectPr w:rsidR="00816E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E42CF"/>
    <w:multiLevelType w:val="hybridMultilevel"/>
    <w:tmpl w:val="6708F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B69"/>
    <w:rsid w:val="00816ED9"/>
    <w:rsid w:val="00823C40"/>
    <w:rsid w:val="00904C39"/>
    <w:rsid w:val="00E57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0D76"/>
  <w15:chartTrackingRefBased/>
  <w15:docId w15:val="{5AAA6A78-B538-491E-A2C6-720FEDFF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B69"/>
    <w:pPr>
      <w:spacing w:after="0" w:line="240" w:lineRule="auto"/>
    </w:pPr>
    <w:rPr>
      <w:rFonts w:ascii="Times New Roman" w:eastAsia="Times New Roman" w:hAnsi="Times New Roman" w:cs="Times New Roman"/>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3246</Characters>
  <Application>Microsoft Office Word</Application>
  <DocSecurity>0</DocSecurity>
  <Lines>27</Lines>
  <Paragraphs>7</Paragraphs>
  <ScaleCrop>false</ScaleCrop>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Heyvaert Els</dc:creator>
  <cp:keywords/>
  <dc:description/>
  <cp:lastModifiedBy>Dimitris Dimitriadis</cp:lastModifiedBy>
  <cp:revision>3</cp:revision>
  <dcterms:created xsi:type="dcterms:W3CDTF">2021-06-21T16:15:00Z</dcterms:created>
  <dcterms:modified xsi:type="dcterms:W3CDTF">2021-06-24T13:47:00Z</dcterms:modified>
</cp:coreProperties>
</file>