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34E9" w14:paraId="5723C3C1" w14:textId="77777777" w:rsidTr="006B34E9">
        <w:tc>
          <w:tcPr>
            <w:tcW w:w="9356" w:type="dxa"/>
          </w:tcPr>
          <w:p w14:paraId="7DCDB19D" w14:textId="28F2B144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BELGA KIRÁLYSÁG</w:t>
            </w:r>
          </w:p>
        </w:tc>
      </w:tr>
      <w:tr w:rsidR="006B34E9" w14:paraId="6AA88612" w14:textId="77777777" w:rsidTr="006B34E9">
        <w:tc>
          <w:tcPr>
            <w:tcW w:w="9356" w:type="dxa"/>
          </w:tcPr>
          <w:p w14:paraId="7AAA19B1" w14:textId="77777777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4E9" w:rsidRPr="0028568E" w14:paraId="1B4CDD06" w14:textId="77777777" w:rsidTr="006B34E9">
        <w:tc>
          <w:tcPr>
            <w:tcW w:w="9356" w:type="dxa"/>
          </w:tcPr>
          <w:p w14:paraId="669C754C" w14:textId="1F050313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A GAZDASÁGÉRT, KKV-KÉRT, KISVÁLLALKOZÁSOKÉRT ÉS ENERGIAÜGYÉRT FELELŐS SZÖVETSÉGI KÖZSZOLGÁLAT</w:t>
            </w:r>
          </w:p>
        </w:tc>
      </w:tr>
      <w:tr w:rsidR="006B34E9" w:rsidRPr="0028568E" w14:paraId="4F5853AA" w14:textId="77777777" w:rsidTr="006B34E9">
        <w:tc>
          <w:tcPr>
            <w:tcW w:w="9356" w:type="dxa"/>
          </w:tcPr>
          <w:p w14:paraId="09CB17AF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42C0B78A" w14:textId="77777777" w:rsidTr="006B34E9">
        <w:tc>
          <w:tcPr>
            <w:tcW w:w="9356" w:type="dxa"/>
          </w:tcPr>
          <w:p w14:paraId="2FE6C282" w14:textId="2DEB2FB5" w:rsidR="006B34E9" w:rsidRPr="0028568E" w:rsidRDefault="006B34E9" w:rsidP="0084541A">
            <w:pPr>
              <w:tabs>
                <w:tab w:val="left" w:pos="2625"/>
              </w:tabs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Törvénytervezet </w:t>
            </w:r>
            <w:bookmarkStart w:id="0" w:name="_Hlk105162992"/>
            <w:r>
              <w:rPr>
                <w:b/>
                <w:sz w:val="20"/>
                <w:color w:val="000000"/>
                <w:rFonts w:ascii="Arial" w:hAnsi="Arial"/>
              </w:rPr>
              <w:t xml:space="preserve">az évente szabad forgalomba bocsátott fosszilis tüzelőanyagok mennyiségében a fenntartható bioüzemanyagok kötelezően biztosítandó minimális névleges mennyiségét meghatározó, 2013. július 17-i törvény módosításáról</w:t>
            </w:r>
            <w:bookmarkEnd w:id="0"/>
            <w:r>
              <w:rPr>
                <w:sz w:val="20"/>
                <w:rFonts w:ascii="Arial" w:hAnsi="Arial"/>
              </w:rPr>
              <w:tab/>
            </w:r>
          </w:p>
        </w:tc>
      </w:tr>
      <w:tr w:rsidR="006B34E9" w:rsidRPr="0028568E" w14:paraId="71527D02" w14:textId="77777777" w:rsidTr="006B34E9">
        <w:tc>
          <w:tcPr>
            <w:tcW w:w="9356" w:type="dxa"/>
          </w:tcPr>
          <w:p w14:paraId="1467E896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1171DCCF" w14:textId="77777777" w:rsidTr="006B34E9">
        <w:tc>
          <w:tcPr>
            <w:tcW w:w="9356" w:type="dxa"/>
          </w:tcPr>
          <w:p w14:paraId="3C2C7ADA" w14:textId="530E2AD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FÜLÖP, belga király,</w:t>
            </w:r>
          </w:p>
        </w:tc>
      </w:tr>
      <w:tr w:rsidR="006B34E9" w14:paraId="7A3BCDFF" w14:textId="77777777" w:rsidTr="006B34E9">
        <w:tc>
          <w:tcPr>
            <w:tcW w:w="9356" w:type="dxa"/>
          </w:tcPr>
          <w:p w14:paraId="18A12CAE" w14:textId="2751ADB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i/>
                <w:rFonts w:ascii="Arial" w:hAnsi="Arial"/>
              </w:rPr>
              <w:t xml:space="preserve">Üdvözlet mindenkinek, a jelenlévőknek és az ezután érkezőknek</w:t>
            </w:r>
            <w:r>
              <w:rPr>
                <w:sz w:val="20"/>
                <w:rFonts w:ascii="Arial" w:hAnsi="Arial"/>
              </w:rPr>
              <w:t xml:space="preserve">.</w:t>
            </w:r>
          </w:p>
        </w:tc>
      </w:tr>
      <w:tr w:rsidR="006B34E9" w14:paraId="6ADFFD81" w14:textId="77777777" w:rsidTr="006B34E9">
        <w:tc>
          <w:tcPr>
            <w:tcW w:w="9356" w:type="dxa"/>
          </w:tcPr>
          <w:p w14:paraId="4DEBD1E4" w14:textId="77777777" w:rsidR="006B34E9" w:rsidRPr="0046608D" w:rsidRDefault="006B34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4E9" w:rsidRPr="0028568E" w14:paraId="207F8F88" w14:textId="77777777" w:rsidTr="006B34E9">
        <w:tc>
          <w:tcPr>
            <w:tcW w:w="9356" w:type="dxa"/>
          </w:tcPr>
          <w:p w14:paraId="2589549B" w14:textId="48E1AC9A" w:rsidR="006B34E9" w:rsidRPr="0028568E" w:rsidRDefault="006B34E9" w:rsidP="00314A9E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Az energiaügyi miniszter javaslatára,</w:t>
            </w:r>
          </w:p>
        </w:tc>
      </w:tr>
      <w:tr w:rsidR="006B34E9" w:rsidRPr="0028568E" w14:paraId="311BA9F2" w14:textId="77777777" w:rsidTr="006B34E9">
        <w:tc>
          <w:tcPr>
            <w:tcW w:w="9356" w:type="dxa"/>
          </w:tcPr>
          <w:p w14:paraId="2C36104A" w14:textId="2220F80D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 KÖVETKEZŐKRŐL HATÁROZTUNK ÉS A KÖVETKEZŐKET RENDELJÜK EL:</w:t>
            </w:r>
          </w:p>
        </w:tc>
      </w:tr>
      <w:tr w:rsidR="006B34E9" w:rsidRPr="0028568E" w14:paraId="32E3C8B8" w14:textId="77777777" w:rsidTr="006B34E9">
        <w:tc>
          <w:tcPr>
            <w:tcW w:w="9356" w:type="dxa"/>
          </w:tcPr>
          <w:p w14:paraId="4F27548F" w14:textId="77777777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14:paraId="78D33FD8" w14:textId="77777777" w:rsidTr="006B34E9">
        <w:tc>
          <w:tcPr>
            <w:tcW w:w="9356" w:type="dxa"/>
          </w:tcPr>
          <w:p w14:paraId="11C9767C" w14:textId="26D4C215" w:rsidR="006B34E9" w:rsidRPr="0028568E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Az energiaügyért felelős miniszter felelős azért, hogy nevünkben a törvényhozó kamara, illetve a Képviselőház elé terjesszék az alábbi törvénytervezetet:</w:t>
            </w:r>
          </w:p>
        </w:tc>
      </w:tr>
      <w:tr w:rsidR="006B34E9" w14:paraId="15395D70" w14:textId="77777777" w:rsidTr="006B34E9">
        <w:tc>
          <w:tcPr>
            <w:tcW w:w="9356" w:type="dxa"/>
          </w:tcPr>
          <w:p w14:paraId="1D5306D2" w14:textId="77777777" w:rsidR="006B34E9" w:rsidRPr="0046608D" w:rsidRDefault="006B34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B34E9" w:rsidRPr="0028568E" w14:paraId="053999D2" w14:textId="77777777" w:rsidTr="006B34E9">
        <w:tc>
          <w:tcPr>
            <w:tcW w:w="9356" w:type="dxa"/>
          </w:tcPr>
          <w:p w14:paraId="7B777308" w14:textId="31F86143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1. cikk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Ez a törvény az Alkotmány 78. cikkében említett kérdést szabályozza.</w:t>
            </w:r>
          </w:p>
          <w:p w14:paraId="6DB2F3A3" w14:textId="029A7B43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6CC880B8" w14:textId="77777777" w:rsidTr="006B34E9">
        <w:tc>
          <w:tcPr>
            <w:tcW w:w="9356" w:type="dxa"/>
          </w:tcPr>
          <w:p w14:paraId="6C195706" w14:textId="2214E374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2. cikk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Ez a törvény részben a megújuló energiaforrásokból előállított energia használatának előmozdításáról szóló, 2018. december 11-i (EU) 2018/2001 európai parlamenti és tanácsi irányelvet ülteti át.</w:t>
            </w:r>
            <w:r>
              <w:rPr>
                <w:sz w:val="18"/>
                <w:rFonts w:ascii="Arial" w:hAnsi="Arial"/>
              </w:rPr>
              <w:t xml:space="preserve"> </w:t>
            </w:r>
          </w:p>
          <w:p w14:paraId="1666AA4A" w14:textId="77777777" w:rsidR="006B34E9" w:rsidRPr="0046608D" w:rsidRDefault="006B34E9" w:rsidP="0028568E">
            <w:pPr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3349FBCA" w14:textId="09ED9F70" w:rsidR="006B34E9" w:rsidRPr="00261807" w:rsidRDefault="006B34E9" w:rsidP="00DF7056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Az (EU) 2018/2001 irányelvvel hatályon kívül helyezett irányelvekre hivatkozó hatályos törvényi, rendeleti és közigazgatási rendelkezéseket az említett irányelvre való hivatkozásként kell értelmezni.</w:t>
            </w:r>
          </w:p>
          <w:p w14:paraId="47D90CAF" w14:textId="33828696" w:rsidR="006B34E9" w:rsidRPr="00DF7056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7C88F7EA" w14:textId="77777777" w:rsidTr="006B34E9">
        <w:tc>
          <w:tcPr>
            <w:tcW w:w="9356" w:type="dxa"/>
          </w:tcPr>
          <w:p w14:paraId="2D9BC71E" w14:textId="2AB562A8" w:rsidR="006B34E9" w:rsidRPr="00F510F2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3. cikk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Az évente szabad forgalomba bocsátott fosszilis tüzelőanyagok mennyiségében a fenntartható bioüzemanyagok kötelezően biztosítandó minimális névleges mennyiségét meghatározó, 2013. július 17-i törvény 2. cikke</w:t>
            </w:r>
            <w: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az alábbiak szerint módosul:</w:t>
            </w:r>
          </w:p>
          <w:p w14:paraId="5B4BF699" w14:textId="2CB4BC0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a) a 3° pont helyébe a következő szöveg lép:</w:t>
            </w:r>
          </w:p>
          <w:p w14:paraId="4C328E28" w14:textId="5C6D4C05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„3° »2021. december 17-i királyi rendelet«: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A megújuló energiahordozókon alapuló közlekedési üzemanyagokra, valamint az újrahasznosított szénen alapuló közlekedési üzemanyagokra vonatkozó termékszabványok megállapításáról szóló, 2021. december 17-i királyi rendelet”;</w:t>
            </w:r>
          </w:p>
          <w:p w14:paraId="637451A7" w14:textId="458B929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b) a 4° pont helyébe a következő szöveg lép:</w:t>
            </w:r>
          </w:p>
          <w:p w14:paraId="4A848094" w14:textId="2AEA12A2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„4° »2021. május 19-i miniszteri rendelet«: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Az ország ellátási láncában részt vevő személyek, valamint a kőolaj- és kőolajtermék-fogyasztók nyilvántartásba vételéről szóló, 2021. május 19-i miniszteri rendelet”;</w:t>
            </w:r>
          </w:p>
          <w:p w14:paraId="584584C2" w14:textId="66BE9150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c) az 5° pontban az „1978. december 27-i miniszteri rendelet” szövegrész helyébe a „2021. május 19-i miniszteri rendelet” szöveg lép;</w:t>
            </w:r>
          </w:p>
          <w:p w14:paraId="1A0E4667" w14:textId="520EC68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F3E33" w14:textId="784251BD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d) ez a cikk egy új, 24° ponttal egészül ki, melynek szövege a következő: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„24° »2014. július 16-i királyi rendelet«: az évente szabad forgalomba bocsátott fosszilis tüzelőanyagok mennyiségében a fenntartható bioüzemanyagok kötelezően biztosítandó minimális névleges mennyiségét meghatározó, 2013. július 17-i törvény szerinti B. és C. kategóriába tartozó bioüzemanyagokra vonatkozó tájékoztatási és adminisztrációs kötelezettségekről szóló, 2014. július 16-i királyi rendelet;”;</w:t>
            </w:r>
          </w:p>
          <w:p w14:paraId="39B53CE9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1DFF3" w14:textId="68757E7C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e) ez a cikk egy új, 25° ponttal egészül ki, melynek szövege a következő:</w:t>
            </w:r>
          </w:p>
          <w:p w14:paraId="2DA5E5CB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95AAD" w14:textId="7E823EFF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„25° »(EU) 2019/807 felhatalmazáson alapuló rendelet«: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a Bizottság (EU) 2019/807 felhatalmazáson alapuló rendelete (2019. március 13.) az (EU) 2018/2001 európai parlamenti és tanácsi irányelvnek a közvetett földhasználat-változás szempontjából magas kockázatot jelentő azon alapanyagok meghatározása tekintetében történő kiegészítéséről, amelyek esetében a termőterület számottevő bővülése figyelhető meg a jelentős szénkészletekkel rendelkező földterületek rovására, továbbá az irányelvnek a közvetett földhasználat-változás szempontjából alacsony kockázatot jelentő bioüzemanyagok, folyékony bio-energiahordozók és biomasszából előállított üzemanyagok tanúsítása tekintetében történő kiegészítéséről.”.</w:t>
            </w:r>
          </w:p>
          <w:p w14:paraId="7F0BA369" w14:textId="77777777" w:rsidR="006B34E9" w:rsidRPr="00260562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66E230C8" w14:textId="77777777" w:rsidTr="006B34E9">
        <w:tc>
          <w:tcPr>
            <w:tcW w:w="9356" w:type="dxa"/>
          </w:tcPr>
          <w:p w14:paraId="05A7230A" w14:textId="480AB85C" w:rsidR="006B34E9" w:rsidRPr="003D34BF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4. cikk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Ugyanezen </w:t>
            </w:r>
            <w:r>
              <w:rPr>
                <w:sz w:val="18"/>
                <w:color w:val="000000"/>
                <w:rFonts w:ascii="Arial" w:hAnsi="Arial"/>
              </w:rPr>
              <w:t xml:space="preserve">törvény, melyet a 2015. december 26-i törvény módosított</w:t>
            </w:r>
            <w:r>
              <w:rPr>
                <w:sz w:val="18"/>
                <w:rFonts w:ascii="Arial" w:hAnsi="Arial"/>
              </w:rPr>
              <w:t xml:space="preserve">, az alábbi 7/1. cikkel egészül ki: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</w:p>
          <w:p w14:paraId="1D0D95C8" w14:textId="251279C4" w:rsidR="006B34E9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„7/1. cikk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1. §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2023. január 1-jétől kezdődően a pálmaolajból előállított bioüzemanyagok, beleértve a közvetlenül vagy közvetve pálmaolajból származó egyéb termékeket, a továbbiakban nem járulnak hozzá az évente szabad forgalomba bocsátott tüzelőanyagok mennyiségében a fenntartható bioüzemanyagok kötelezően biztosítandó minimális névleges mennyiségét meghatározó, 2018. május 4-i királyi rendelet 7. cikke 1. §-ában előírt keverési mennyiség eléréséhez, illetve a 4. cikke (1) bekezdésének 1°, 2°, 3° és 4° pontjában foglalt másodlagos célok eléréséhez.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0B2000C7" w14:textId="77777777" w:rsidR="006B34E9" w:rsidRPr="0046608D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EC2433" w14:textId="4BFC869E" w:rsidR="006B34E9" w:rsidRDefault="006B34E9" w:rsidP="002C7720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Ez a bekezdés nem alkalmazandó a 2014. július 16-i királyi rendelet IV. mellékletében felsorolt nyersanyagokra, valamint az (EU) 2019/807 felhatalmazáson alapuló rendelet 4. és 5. cikkében foglalt rendelkezések és kritériumok alapján a közvetett földhasználat-változás szempontjából alacsony kockázatot jelentőnek minősített bioüzemanyagokra, folyékony bio-energiahordozókra és biomasszából előállított üzemanyagokra.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4E003D84" w14:textId="77777777" w:rsidR="006B34E9" w:rsidRPr="0046608D" w:rsidRDefault="006B34E9" w:rsidP="002C7720">
            <w:pPr>
              <w:jc w:val="both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14:paraId="0758B473" w14:textId="7519D9BD" w:rsidR="006B34E9" w:rsidRDefault="006B34E9" w:rsidP="002C77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2. §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2023. július 1-jétől kezdődően a szójaolajból előállított bioüzemanyagok, beleértve a közvetlenül vagy közvetve szójaolajból származó egyéb termékeket, a továbbiakban nem járulnak hozzá az évente szabad forgalomba bocsátott tüzelőanyagok mennyiségében a fenntartható bioüzemanyagok kötelezően biztosítandó minimális névleges mennyiségét meghatározó, 2018. május 4-i királyi rendelet 7. cikke 1. §-ában előírt keverési mennyiség eléréséhez, valamint a 4. cikke (1) bekezdésének 1°, 2°, 3° és 4° pontjában foglalt másodlagos célok eléréséhez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  <w:t xml:space="preserve"> </w:t>
            </w:r>
          </w:p>
          <w:p w14:paraId="76D0F590" w14:textId="17F717C4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577B16" w14:textId="77777777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9E6DAB" w14:textId="114A7C02" w:rsidR="006B34E9" w:rsidRPr="008C5339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Ez a bekezdés nem alkalmazandó a 2014. július 16-i királyi rendelet IV. mellékletében felsorolt nyersanyagokra, valamint az (EU) 2019/807 felhatalmazáson alapuló rendelet 4. és 5. cikkében foglalt rendelkezések és kritériumok alapján a közvetett földhasználat-változás szempontjából alacsony kockázatot jelentőnek minősített bioüzemanyagokra, folyékony bio-energiahordozókra és biomasszából előállított üzemanyagokra.”.</w:t>
            </w:r>
            <w:r>
              <w:rPr>
                <w:sz w:val="18"/>
                <w:rFonts w:ascii="Arial" w:hAnsi="Arial"/>
              </w:rPr>
              <w:t xml:space="preserve">  </w:t>
            </w:r>
          </w:p>
        </w:tc>
      </w:tr>
      <w:tr w:rsidR="006B34E9" w:rsidRPr="008C5339" w14:paraId="0792654B" w14:textId="77777777" w:rsidTr="006B34E9">
        <w:tc>
          <w:tcPr>
            <w:tcW w:w="9356" w:type="dxa"/>
          </w:tcPr>
          <w:p w14:paraId="3927C6B6" w14:textId="5C5AD4C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5. cikk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Ugyanezen törvény 8. cikkének (1) bekezdésében </w:t>
            </w:r>
            <w:r>
              <w:rPr>
                <w:sz w:val="18"/>
                <w:color w:val="000000"/>
                <w:rFonts w:ascii="Arial" w:hAnsi="Arial"/>
              </w:rPr>
              <w:t xml:space="preserve">a „2. és 4. §” kifejezés helyébe a „2. és 6. §” kifejezés lép.</w:t>
            </w:r>
          </w:p>
          <w:p w14:paraId="5978BA5D" w14:textId="699FF931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5E35733D" w14:textId="77777777" w:rsidTr="006B34E9">
        <w:tc>
          <w:tcPr>
            <w:tcW w:w="9356" w:type="dxa"/>
          </w:tcPr>
          <w:p w14:paraId="1B6C5521" w14:textId="16550F7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6. cikk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Ugyanezen törvény 9. cikkében </w:t>
            </w:r>
            <w:r>
              <w:rPr>
                <w:sz w:val="18"/>
                <w:color w:val="000000"/>
                <w:rFonts w:ascii="Arial" w:hAnsi="Arial"/>
              </w:rPr>
              <w:t xml:space="preserve">a „7. és 8. §” kifejezés helyébe a „12. és 13. §” kifejezés lép.</w:t>
            </w:r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7953D5" w14:paraId="0A9CA999" w14:textId="77777777" w:rsidTr="006B34E9">
        <w:tc>
          <w:tcPr>
            <w:tcW w:w="9356" w:type="dxa"/>
          </w:tcPr>
          <w:p w14:paraId="399A7EE4" w14:textId="1B230C26" w:rsidR="006B34E9" w:rsidRDefault="006B34E9" w:rsidP="007953D5">
            <w:pPr>
              <w:jc w:val="both"/>
              <w:rPr>
                <w:bCs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7. cikk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Ugyanezen törvény 12. cikkének 1. §-a az alábbiak szerint módosul:</w:t>
            </w:r>
          </w:p>
          <w:p w14:paraId="4B19C096" w14:textId="2A95C7CD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1° a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„</w:t>
            </w:r>
            <w:r>
              <w:rPr>
                <w:sz w:val="18"/>
                <w:color w:val="000000"/>
                <w:rFonts w:ascii="Arial" w:hAnsi="Arial"/>
              </w:rPr>
              <w:t xml:space="preserve">bioüzemanyagokra vonatkozó termékszabványok megállapításáról szóló, 2011. november 26-i királyi rendelet” szövegrész helyébe a „2021. december 17-i királyi rendelet” szövegrész lép;</w:t>
            </w:r>
          </w:p>
          <w:p w14:paraId="207381E6" w14:textId="1C37066E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2° a „tanúsítványok” kifejezés helyébe a „terméknyilatkozatok” kifejezés lép.</w:t>
            </w:r>
          </w:p>
          <w:p w14:paraId="25CB7D8F" w14:textId="40F1F0EC" w:rsidR="006B34E9" w:rsidRPr="007953D5" w:rsidRDefault="006B34E9" w:rsidP="007953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4D5800C4" w14:textId="77777777" w:rsidTr="006B34E9">
        <w:tc>
          <w:tcPr>
            <w:tcW w:w="9356" w:type="dxa"/>
          </w:tcPr>
          <w:p w14:paraId="4C4E626D" w14:textId="08CE9C7F" w:rsidR="006B34E9" w:rsidRDefault="006B34E9" w:rsidP="001722F3">
            <w:pPr>
              <w:jc w:val="both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8. cikk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Ugyanezen törvény 13. cikkének 2. §-a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az alábbiak szerint módosul:</w:t>
            </w:r>
          </w:p>
          <w:p w14:paraId="01B457E5" w14:textId="79566F6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1° az (1) és (3) bekezdésben a „3. és 5. §” szövegrész helyébe a „3. és 7. §” szövegrész lép;</w:t>
            </w:r>
          </w:p>
          <w:p w14:paraId="59BA53E4" w14:textId="03FCB643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2° a (3) bekezdésben a „2. és 4. §” szövegrész helyébe a „2. és 6. §” szövegrész lép.</w:t>
            </w:r>
          </w:p>
          <w:p w14:paraId="686A33F4" w14:textId="5C31255F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320B8ED9" w14:textId="77777777" w:rsidTr="006B34E9">
        <w:tc>
          <w:tcPr>
            <w:tcW w:w="9356" w:type="dxa"/>
          </w:tcPr>
          <w:p w14:paraId="24CB101F" w14:textId="604AFC0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9. cikk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color w:val="000000"/>
                <w:rFonts w:ascii="Arial" w:hAnsi="Arial"/>
              </w:rPr>
              <w:t xml:space="preserve">Ugyanezen törvény 14. cikke 2. §-ának (1) bekezdésében a „2. és 4. §” szövegrész helyébe a „2. és 6. §” szövegrész lép.</w:t>
            </w:r>
          </w:p>
          <w:p w14:paraId="5C1523CE" w14:textId="32D4B25B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8C5339" w14:paraId="182C5ADC" w14:textId="77777777" w:rsidTr="006B34E9">
        <w:tc>
          <w:tcPr>
            <w:tcW w:w="9356" w:type="dxa"/>
          </w:tcPr>
          <w:p w14:paraId="116635F0" w14:textId="00BD8FB4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10. cikk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A 2. cikk (10) bekezdésében, a 4. cikk (1) és (2) bekezdésében, a 11. cikkben a 2. § (3) bekezdésében és a 3. §-ban a „2011. november 26-i királyi rendelet” szövegrész helyébe a „2021. december 17-i királyi rendelet” szöveg lép.</w:t>
            </w:r>
          </w:p>
          <w:p w14:paraId="25ED358E" w14:textId="7F378E97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14:paraId="56B9E05E" w14:textId="77777777" w:rsidTr="006B34E9">
        <w:tc>
          <w:tcPr>
            <w:tcW w:w="9356" w:type="dxa"/>
          </w:tcPr>
          <w:p w14:paraId="4E904D58" w14:textId="06DD74E1" w:rsidR="006B34E9" w:rsidRDefault="006B34E9" w:rsidP="00FD2B58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Közzététel napja: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  <w:p w14:paraId="66188BD9" w14:textId="477AD6D4" w:rsidR="006B34E9" w:rsidRPr="000F50A6" w:rsidRDefault="006B34E9" w:rsidP="00FD2B5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34E9" w14:paraId="119BFC54" w14:textId="77777777" w:rsidTr="006B34E9">
        <w:tc>
          <w:tcPr>
            <w:tcW w:w="9356" w:type="dxa"/>
          </w:tcPr>
          <w:p w14:paraId="3818BC4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863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BE2E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8E17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571B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798A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5098C" w14:textId="16773060" w:rsidR="006B34E9" w:rsidRPr="000F50A6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34E9" w14:paraId="54003DCB" w14:textId="77777777" w:rsidTr="006B34E9">
        <w:tc>
          <w:tcPr>
            <w:tcW w:w="9356" w:type="dxa"/>
          </w:tcPr>
          <w:p w14:paraId="09E22736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15C9F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7B4C8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131B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63D6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C6DA8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242DDD" w14:textId="033EA557" w:rsidR="006B34E9" w:rsidRDefault="006B34E9" w:rsidP="0084541A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 Király nevében:</w:t>
            </w:r>
          </w:p>
        </w:tc>
      </w:tr>
      <w:tr w:rsidR="006B34E9" w14:paraId="203D64D1" w14:textId="77777777" w:rsidTr="006B34E9">
        <w:tc>
          <w:tcPr>
            <w:tcW w:w="9356" w:type="dxa"/>
          </w:tcPr>
          <w:p w14:paraId="53F25821" w14:textId="4B0B2AA0" w:rsidR="006B34E9" w:rsidRDefault="006B34E9" w:rsidP="000F50A6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Az energiaügyi miniszter,</w:t>
            </w:r>
          </w:p>
          <w:p w14:paraId="127CFCC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EB94D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C2D2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7FA82" w14:textId="79CFA0B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67F74" w14:textId="0BB15742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D2CAF" w14:textId="0FE663F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6BA9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A243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0C79DC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4A867" w14:textId="366BEA68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3A842D" w14:textId="2257A4EA" w:rsidR="001E676E" w:rsidRDefault="001E676E"/>
    <w:sectPr w:rsidR="001E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8E"/>
    <w:rsid w:val="0000751A"/>
    <w:rsid w:val="00027E24"/>
    <w:rsid w:val="000445D7"/>
    <w:rsid w:val="0006178B"/>
    <w:rsid w:val="000702A0"/>
    <w:rsid w:val="0007687E"/>
    <w:rsid w:val="000836B1"/>
    <w:rsid w:val="00085F10"/>
    <w:rsid w:val="00091FF9"/>
    <w:rsid w:val="000A0368"/>
    <w:rsid w:val="000A3BC8"/>
    <w:rsid w:val="000B209B"/>
    <w:rsid w:val="000B2BEA"/>
    <w:rsid w:val="000B6EF2"/>
    <w:rsid w:val="000D19A6"/>
    <w:rsid w:val="000D4279"/>
    <w:rsid w:val="000E7225"/>
    <w:rsid w:val="000F4482"/>
    <w:rsid w:val="000F50A6"/>
    <w:rsid w:val="000F7957"/>
    <w:rsid w:val="0010126C"/>
    <w:rsid w:val="00105844"/>
    <w:rsid w:val="001103E8"/>
    <w:rsid w:val="00110675"/>
    <w:rsid w:val="00115207"/>
    <w:rsid w:val="00135033"/>
    <w:rsid w:val="0013568D"/>
    <w:rsid w:val="00145E54"/>
    <w:rsid w:val="00152225"/>
    <w:rsid w:val="001573D2"/>
    <w:rsid w:val="00161C8C"/>
    <w:rsid w:val="001649E1"/>
    <w:rsid w:val="0017048F"/>
    <w:rsid w:val="001722F3"/>
    <w:rsid w:val="00174240"/>
    <w:rsid w:val="00182712"/>
    <w:rsid w:val="00192293"/>
    <w:rsid w:val="00195E8C"/>
    <w:rsid w:val="001B2035"/>
    <w:rsid w:val="001B5775"/>
    <w:rsid w:val="001C123D"/>
    <w:rsid w:val="001C5EA6"/>
    <w:rsid w:val="001D579C"/>
    <w:rsid w:val="001D6DCD"/>
    <w:rsid w:val="001D7028"/>
    <w:rsid w:val="001E5D58"/>
    <w:rsid w:val="001E676E"/>
    <w:rsid w:val="001F2D82"/>
    <w:rsid w:val="001F5BFC"/>
    <w:rsid w:val="00200113"/>
    <w:rsid w:val="002032AC"/>
    <w:rsid w:val="00210D84"/>
    <w:rsid w:val="002143E8"/>
    <w:rsid w:val="00214838"/>
    <w:rsid w:val="00221CAD"/>
    <w:rsid w:val="00231886"/>
    <w:rsid w:val="00240A40"/>
    <w:rsid w:val="00241F23"/>
    <w:rsid w:val="00243DD7"/>
    <w:rsid w:val="00260562"/>
    <w:rsid w:val="00263CBD"/>
    <w:rsid w:val="002734D9"/>
    <w:rsid w:val="0028568E"/>
    <w:rsid w:val="00294FF3"/>
    <w:rsid w:val="002C2B68"/>
    <w:rsid w:val="002C7720"/>
    <w:rsid w:val="00307E3E"/>
    <w:rsid w:val="00314A9E"/>
    <w:rsid w:val="003200A4"/>
    <w:rsid w:val="0034396F"/>
    <w:rsid w:val="003463A5"/>
    <w:rsid w:val="003477D6"/>
    <w:rsid w:val="003972A9"/>
    <w:rsid w:val="003976D2"/>
    <w:rsid w:val="003A36B2"/>
    <w:rsid w:val="003B2DB3"/>
    <w:rsid w:val="003B3C4D"/>
    <w:rsid w:val="003D34BF"/>
    <w:rsid w:val="00431CBF"/>
    <w:rsid w:val="00445CBE"/>
    <w:rsid w:val="00447EE7"/>
    <w:rsid w:val="00457878"/>
    <w:rsid w:val="00464787"/>
    <w:rsid w:val="0046608D"/>
    <w:rsid w:val="004665C3"/>
    <w:rsid w:val="00472659"/>
    <w:rsid w:val="004857BF"/>
    <w:rsid w:val="00485A8C"/>
    <w:rsid w:val="00485CD6"/>
    <w:rsid w:val="00490F24"/>
    <w:rsid w:val="00495373"/>
    <w:rsid w:val="00496E82"/>
    <w:rsid w:val="004A145D"/>
    <w:rsid w:val="004B48BF"/>
    <w:rsid w:val="004D40B1"/>
    <w:rsid w:val="004D5992"/>
    <w:rsid w:val="004D5D72"/>
    <w:rsid w:val="004E2150"/>
    <w:rsid w:val="004F3D4F"/>
    <w:rsid w:val="00513935"/>
    <w:rsid w:val="0052027A"/>
    <w:rsid w:val="00522AA2"/>
    <w:rsid w:val="005313FA"/>
    <w:rsid w:val="00537DDC"/>
    <w:rsid w:val="00555FBC"/>
    <w:rsid w:val="00576ED4"/>
    <w:rsid w:val="005867CD"/>
    <w:rsid w:val="00595DCE"/>
    <w:rsid w:val="005A08A9"/>
    <w:rsid w:val="005A0F52"/>
    <w:rsid w:val="005B4CA7"/>
    <w:rsid w:val="005B7E30"/>
    <w:rsid w:val="005B7F63"/>
    <w:rsid w:val="005C7167"/>
    <w:rsid w:val="005D0C73"/>
    <w:rsid w:val="005E558A"/>
    <w:rsid w:val="005E61DB"/>
    <w:rsid w:val="005F0E6B"/>
    <w:rsid w:val="005F65D6"/>
    <w:rsid w:val="005F775A"/>
    <w:rsid w:val="00626970"/>
    <w:rsid w:val="006303D1"/>
    <w:rsid w:val="00631508"/>
    <w:rsid w:val="00633FE3"/>
    <w:rsid w:val="00663880"/>
    <w:rsid w:val="00672C3E"/>
    <w:rsid w:val="00683D32"/>
    <w:rsid w:val="00691631"/>
    <w:rsid w:val="00694B80"/>
    <w:rsid w:val="006A21D0"/>
    <w:rsid w:val="006B34E9"/>
    <w:rsid w:val="006D4B49"/>
    <w:rsid w:val="006D51AE"/>
    <w:rsid w:val="006E112E"/>
    <w:rsid w:val="006E7785"/>
    <w:rsid w:val="006E79EC"/>
    <w:rsid w:val="006F3321"/>
    <w:rsid w:val="006F5092"/>
    <w:rsid w:val="007372F5"/>
    <w:rsid w:val="00751153"/>
    <w:rsid w:val="007628A8"/>
    <w:rsid w:val="007706D7"/>
    <w:rsid w:val="007946CF"/>
    <w:rsid w:val="007951E8"/>
    <w:rsid w:val="007953D5"/>
    <w:rsid w:val="007959FF"/>
    <w:rsid w:val="0079661D"/>
    <w:rsid w:val="00797AF5"/>
    <w:rsid w:val="007B6AA1"/>
    <w:rsid w:val="007E4EDD"/>
    <w:rsid w:val="007E6F5B"/>
    <w:rsid w:val="00813FA4"/>
    <w:rsid w:val="008214F0"/>
    <w:rsid w:val="008257D0"/>
    <w:rsid w:val="008275C7"/>
    <w:rsid w:val="00831B4D"/>
    <w:rsid w:val="00840B9B"/>
    <w:rsid w:val="008441F7"/>
    <w:rsid w:val="0084541A"/>
    <w:rsid w:val="008658CC"/>
    <w:rsid w:val="00874021"/>
    <w:rsid w:val="008B17CD"/>
    <w:rsid w:val="008B33F5"/>
    <w:rsid w:val="008C5339"/>
    <w:rsid w:val="008E15EC"/>
    <w:rsid w:val="008F31B8"/>
    <w:rsid w:val="008F6C92"/>
    <w:rsid w:val="00904B8D"/>
    <w:rsid w:val="00936D4C"/>
    <w:rsid w:val="00940B3D"/>
    <w:rsid w:val="00954AB5"/>
    <w:rsid w:val="00957192"/>
    <w:rsid w:val="009647B5"/>
    <w:rsid w:val="009A115D"/>
    <w:rsid w:val="009B1A6A"/>
    <w:rsid w:val="009C1B0B"/>
    <w:rsid w:val="009C7128"/>
    <w:rsid w:val="009D6ED0"/>
    <w:rsid w:val="00A258BC"/>
    <w:rsid w:val="00A27C54"/>
    <w:rsid w:val="00A27E6F"/>
    <w:rsid w:val="00A308A6"/>
    <w:rsid w:val="00A31E4D"/>
    <w:rsid w:val="00A35F83"/>
    <w:rsid w:val="00A84038"/>
    <w:rsid w:val="00A86FB0"/>
    <w:rsid w:val="00A93A98"/>
    <w:rsid w:val="00AA0BD4"/>
    <w:rsid w:val="00AD0B69"/>
    <w:rsid w:val="00AF43BB"/>
    <w:rsid w:val="00B00B6F"/>
    <w:rsid w:val="00B13600"/>
    <w:rsid w:val="00B140FE"/>
    <w:rsid w:val="00B1624F"/>
    <w:rsid w:val="00B240BF"/>
    <w:rsid w:val="00B319F0"/>
    <w:rsid w:val="00B4399D"/>
    <w:rsid w:val="00B46C2C"/>
    <w:rsid w:val="00BD33CF"/>
    <w:rsid w:val="00BD4793"/>
    <w:rsid w:val="00BD65EA"/>
    <w:rsid w:val="00BE07CC"/>
    <w:rsid w:val="00BE7E7F"/>
    <w:rsid w:val="00BF5DB7"/>
    <w:rsid w:val="00BF62E0"/>
    <w:rsid w:val="00BF6C85"/>
    <w:rsid w:val="00C013EB"/>
    <w:rsid w:val="00C03186"/>
    <w:rsid w:val="00C23F60"/>
    <w:rsid w:val="00C31EA9"/>
    <w:rsid w:val="00C423F4"/>
    <w:rsid w:val="00C50ED7"/>
    <w:rsid w:val="00C52729"/>
    <w:rsid w:val="00C62F77"/>
    <w:rsid w:val="00CA3F17"/>
    <w:rsid w:val="00CA76C1"/>
    <w:rsid w:val="00CB4C99"/>
    <w:rsid w:val="00CC3FBE"/>
    <w:rsid w:val="00CE2D66"/>
    <w:rsid w:val="00CE696B"/>
    <w:rsid w:val="00CF3D53"/>
    <w:rsid w:val="00D34865"/>
    <w:rsid w:val="00D414FA"/>
    <w:rsid w:val="00D551BC"/>
    <w:rsid w:val="00D92687"/>
    <w:rsid w:val="00DA4683"/>
    <w:rsid w:val="00DA6111"/>
    <w:rsid w:val="00DB2842"/>
    <w:rsid w:val="00DB4278"/>
    <w:rsid w:val="00DE4993"/>
    <w:rsid w:val="00DF1053"/>
    <w:rsid w:val="00DF43EF"/>
    <w:rsid w:val="00DF56AD"/>
    <w:rsid w:val="00DF7056"/>
    <w:rsid w:val="00DF7311"/>
    <w:rsid w:val="00E001BF"/>
    <w:rsid w:val="00E10E77"/>
    <w:rsid w:val="00E6327B"/>
    <w:rsid w:val="00E72C22"/>
    <w:rsid w:val="00E74D10"/>
    <w:rsid w:val="00E846ED"/>
    <w:rsid w:val="00E84817"/>
    <w:rsid w:val="00E85661"/>
    <w:rsid w:val="00E914C4"/>
    <w:rsid w:val="00EB4818"/>
    <w:rsid w:val="00EC577D"/>
    <w:rsid w:val="00ED52F8"/>
    <w:rsid w:val="00EE70B2"/>
    <w:rsid w:val="00EF12F8"/>
    <w:rsid w:val="00EF79FE"/>
    <w:rsid w:val="00F11FDA"/>
    <w:rsid w:val="00F14B6C"/>
    <w:rsid w:val="00F20245"/>
    <w:rsid w:val="00F30647"/>
    <w:rsid w:val="00F510F2"/>
    <w:rsid w:val="00F519FB"/>
    <w:rsid w:val="00F53F41"/>
    <w:rsid w:val="00F648A0"/>
    <w:rsid w:val="00F763EB"/>
    <w:rsid w:val="00F77F44"/>
    <w:rsid w:val="00F86A66"/>
    <w:rsid w:val="00F9187E"/>
    <w:rsid w:val="00FC016D"/>
    <w:rsid w:val="00FD1BCE"/>
    <w:rsid w:val="00FD2B58"/>
    <w:rsid w:val="00FE30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5A82"/>
  <w15:chartTrackingRefBased/>
  <w15:docId w15:val="{A354ACEA-FAE0-4564-AB94-44EA81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19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E3736E37C34C9FDF72DCB7C664A7" ma:contentTypeVersion="10" ma:contentTypeDescription="Create a new document." ma:contentTypeScope="" ma:versionID="31bbbf4ed8b0a74838164c4f8c2d34df">
  <xsd:schema xmlns:xsd="http://www.w3.org/2001/XMLSchema" xmlns:xs="http://www.w3.org/2001/XMLSchema" xmlns:p="http://schemas.microsoft.com/office/2006/metadata/properties" xmlns:ns3="d53d12da-3217-49be-b908-7d1e958d54f1" targetNamespace="http://schemas.microsoft.com/office/2006/metadata/properties" ma:root="true" ma:fieldsID="b42b7479e8760505b591e70ed6e17e43" ns3:_="">
    <xsd:import namespace="d53d12da-3217-49be-b908-7d1e958d5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12da-3217-49be-b908-7d1e958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742B6-15D5-4047-BDDA-CF4026D2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6C816-B400-416A-B669-513B3700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553E1-D0DE-4938-AB56-E0DABB6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12da-3217-49be-b908-7d1e958d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Franssen (FOD Economie - SPF Economie)</dc:creator>
  <cp:keywords/>
  <dc:description/>
  <cp:lastModifiedBy>Dimitris Dimitriadis</cp:lastModifiedBy>
  <cp:revision>3</cp:revision>
  <dcterms:created xsi:type="dcterms:W3CDTF">2022-09-01T14:53:00Z</dcterms:created>
  <dcterms:modified xsi:type="dcterms:W3CDTF">2022-09-06T07:31:00Z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0x0101003CBAE3736E37C34C9FDF72DCB7C664A7</vt:lpwstr>
  </property>
</Properties>
</file>