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KRALJEVINA BELGIJA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ZVEZNA JAVNA SLUŽBA ZA GOSPODARSTVO, MSP, SAMOZAPOSLENE IN ENERGIJO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Osnutek zakona</w:t>
            </w:r>
            <w:bookmarkStart w:id="0" w:name="_Hlk105162992"/>
            <w:r>
              <w:rPr>
                <w:b/>
                <w:sz w:val="20"/>
                <w:rFonts w:ascii="Arial" w:hAnsi="Arial"/>
              </w:rPr>
              <w:t xml:space="preserve"> o spremembi Zakona z dne 17. julija 2013</w:t>
            </w:r>
            <w:r>
              <w:rPr>
                <w:b/>
                <w:sz w:val="20"/>
                <w:color w:val="000000"/>
                <w:rFonts w:ascii="Arial" w:hAnsi="Arial"/>
              </w:rPr>
              <w:t xml:space="preserve"> o minimalnih nazivnih količinah trajnostnih biogoriv, ki jih morajo vsebovati količine fosilnih goriv, ki se letno sprostijo v porabo</w:t>
            </w:r>
            <w:bookmarkEnd w:id="0"/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FILIP, kralj Belgijcev,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iCs/>
                <w:rFonts w:ascii="Arial" w:hAnsi="Arial"/>
              </w:rPr>
              <w:t xml:space="preserve">pozdravljam vse sedanje in prihodnje rodove</w:t>
            </w:r>
            <w:r>
              <w:rPr>
                <w:sz w:val="20"/>
                <w:rFonts w:ascii="Arial" w:hAnsi="Arial"/>
              </w:rPr>
              <w:t xml:space="preserve"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 predlog ministra za energijo,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 ODREJA NASLEDNJE: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Minister, pristojen za energijo, je odgovoren, da osnutek zakona, katerega besedilo je navedeno v nadaljevanju, v našem imenu predstavi zakonodajnim zbornicam in predloži poslanski zbornici: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1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Ta zakon ureja zadevo iz člena 78 Ustave.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2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Ta zakon delno prenaša Direktivo (EU) 2018/2001 Evropskega parlamenta in Sveta z dne 11. decembra 2018 o spodbujanju uporabe energije iz obnovljivih virov.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Obstoječi zakoni, predpisi in upravne določbe, ki se nanašajo na direktive, razveljavljene z Direktivo (EU) 2018/2001, se razlagajo kot sklicevanja na navedeno direktivo.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Člen 3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Člen 2 Zakona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z dne 17. julija 2013 o minimalnih nazivnih količinah trajnostnih biogoriv, ki jih morajo vsebovati količine fosilnih goriv, ki se letno sprostijo v porabo, se spremeni: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točka 3 se nadomesti z naslednjim besedilom: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„3. ‚Kraljeva uredba z dne 17. decembra 2021‘: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Kraljeva uredba z dne 17. decembra 2021 o določitvi proizvodnih standardov za goriva iz obnovljivih virov, namenjena uporabi v prometu, in goriva ali gorljive snovi na osnovi recikliranega ogljika, namenjene uporabi v prometu“;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točka 4 se nadomesti z naslednjim besedilom: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„4. ‚Ministrska uredba z dne 19. maja 2021‘: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Ministrska uredba z dne 19. maja 2021 o registraciji oseb, ki delujejo v dobavni verigi države, ter odjemalcev nafte in naftnih derivatov“;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v točki 5 se besedilo „Ministrska uredba z dne 27. decembra 1978“ nadomesti z besedilom „Ministrska uredba z dne 19. maja 2021“;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 ta člen se dopolni s točko 24, ki se glasi: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„24. ‚Kraljeva uredba z dne 16. julija 2014‘: Kraljeva uredba z dne 16. julija 2014 o obveznostih obveščanja in upravnih obveznostih glede biogoriv kategorij B in C v skladu z Zakonom z dne 17. julija 2013 o minimalnih nazivnih količinah trajnostnih biogoriv, ki jih morajo vsebovati količine fosilnih goriv, ki se letno sprostijo v porabo;“;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 ta člen se dopolni s točko 25, ki se glasi: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„25. ‚Delegirana uredba 2019/807‘: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Delegirana uredba Komisije (EU) 2019/807 z dne 13. marca 2019 o dopolnitvi Direktive (EU) 2018/2001 Evropskega parlamenta in Sveta glede določitve surovin z visokim tveganjem za posredno spremembo rabe zemljišč, v zvezi s katerimi se ugotavlja znatna širitev proizvodnega območja na zemljišča z visoko zalogo ogljika, ter certificiranja pogonskih biogoriv, drugih tekočih biogoriv in biomasnih goriv z nizkim tveganjem za posredno spremembo rabe zemljišč.“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4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 </w:t>
            </w:r>
            <w:r>
              <w:rPr>
                <w:sz w:val="18"/>
                <w:color w:val="000000"/>
                <w:rFonts w:ascii="Arial" w:hAnsi="Arial"/>
              </w:rPr>
              <w:t xml:space="preserve">zakonu, kakor je bil spremenjen z Zakonom z dne 26. decembra 2015</w:t>
            </w:r>
            <w:r>
              <w:rPr>
                <w:sz w:val="18"/>
                <w:rFonts w:ascii="Arial" w:hAnsi="Arial"/>
              </w:rPr>
              <w:t xml:space="preserve">, se vstavi člen 7/1, ki se glasi: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„Člen 7/1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Oddelek 1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 1. januarja 2023 pogonska biogoriva, proizvedena iz palmovega olja, vključno z drugimi proizvodi, pridobljenimi neposredno ali posredno iz palmovega olja, ne morejo več prispevati k doseganju količine mešanja iz člena 7(1) in količin, ki so vključene v sekundarne cilje iz člena 4(1)(1), (2), (3) in (4) Kraljeve uredbe z dne 4. maja 2018 o minimalnih nazivnih količinah trajnostnih biogoriv, ki jih morajo vsebovati količine goriv, ki se letno sprostijo v porabo.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Ta odstavek se ne uporablja za surovine iz Priloge IV h Kraljevi uredbi z dne 16. julija 2014 in za pogonska biogoriva, druga tekoča biogoriva ali biomasna goriva, certificirana kot goriva z nizkim tveganjem za posredno spremembo rabe zemljišč, v skladu z določbami in merili, vključenimi v ta namen, iz členov 4 in 5 Delegirane uredbe 2019/807.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Oddelek 2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 1. julija 2023 pogonska biogoriva, proizvedena iz sojinega olja, vključno z drugimi proizvodi, pridobljenimi neposredno ali posredno iz sojinega olja, ne morejo več prispevati k doseganju količine mešanja iz člena 7(1) in količin, ki so vključene v sekundarne cilje iz člena 4(1)(1), (2), (3) in (4) Kraljeve uredbe z dne 4. maja 2018 o minimalnih nazivnih količinah trajnostnih biogoriv, ki jih morajo vsebovati količine goriv, ki se letno sprostijo v porabo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Ta odstavek se ne uporablja za surovine iz Priloge IV h Kraljevi uredbi z dne 16. julija 2014 in za pogonska biogoriva, druga tekoča biogoriva ali biomasna goriva, certificirana kot goriva z nizkim tveganjem za posredno spremembo rabe zemljišč, v skladu z določbami in merili, vključenimi v ta namen, iz členov 4 in 5 Delegirane uredbe 2019/807.“;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5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 členu 8(1) zakona </w:t>
            </w:r>
            <w:r>
              <w:rPr>
                <w:sz w:val="18"/>
                <w:color w:val="000000"/>
                <w:rFonts w:ascii="Arial" w:hAnsi="Arial"/>
              </w:rPr>
              <w:t xml:space="preserve">se besedilo „oddelka 2 in 4“ nadomesti z besedilom „oddelka 2 in 6“.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6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</w:t>
            </w:r>
            <w:r>
              <w:rPr>
                <w:sz w:val="18"/>
                <w:color w:val="000000"/>
                <w:rFonts w:ascii="Arial" w:hAnsi="Arial"/>
              </w:rPr>
              <w:t xml:space="preserve"> členu 9 zakona se besedilo „oddelka 7 in 8“ nadomesti z besedilom „oddelka 12 in 13“.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7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Oddelek 1 člena 12 zakona se spremeni: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1. besedilo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„</w:t>
            </w:r>
            <w:r>
              <w:rPr>
                <w:sz w:val="18"/>
                <w:color w:val="000000"/>
                <w:rFonts w:ascii="Arial" w:hAnsi="Arial"/>
              </w:rPr>
              <w:t xml:space="preserve">Kraljeva uredba z dne 26. novembra 2011 o standardih za proizvode za biogoriva“ se nadomesti z besedilom „Kraljeva uredba z dne 17. decembra 2021“;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 beseda „certifikati“ se nadomesti z besedilom „izjave o proizvodih“.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8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Oddelek 2 člena 13 zakona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se spremeni: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 v odstavkih 1 in 3 se besedilo „oddelka 3 in 5“ nadomesti z besedilom „oddelka 3 in 7“;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 v odstavku 3 se besedilo „oddelka 2 in 4“ nadomesti z besedilom „oddelka 2 in 6“.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Člen 9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</w:t>
            </w:r>
            <w:r>
              <w:rPr>
                <w:sz w:val="18"/>
                <w:color w:val="000000"/>
                <w:rFonts w:ascii="Arial" w:hAnsi="Arial"/>
              </w:rPr>
              <w:t xml:space="preserve"> oddelku 2(1) člena 14 zakona se besedilo „oddelka 2 in 4“ nadomesti z besedilom „oddelka 2 in 6“.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Člen 10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V členu 2(10), členu 4(1) in (2), oddelku 2(3) člena 11 in oddelku 3 člena 11 se besedilo „Kraljeva uredba z dne 26. novembra 2011“ nadomesti z besedilom „Kraljeva uredba z dne 17. decembra 2021“.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Izdano dne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 imenu kralja: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Minister za energijo,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