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0" w:type="dxa"/>
        <w:tblInd w:w="-318" w:type="dxa"/>
        <w:tblLayout w:type="fixed"/>
        <w:tblCellMar>
          <w:left w:w="10" w:type="dxa"/>
          <w:right w:w="10" w:type="dxa"/>
        </w:tblCellMar>
        <w:tblLook w:val="04A0" w:firstRow="1" w:lastRow="0" w:firstColumn="1" w:lastColumn="0" w:noHBand="0" w:noVBand="1"/>
      </w:tblPr>
      <w:tblGrid>
        <w:gridCol w:w="9780"/>
      </w:tblGrid>
      <w:tr w:rsidR="00873667" w:rsidRPr="00404725" w14:paraId="0C3E33F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0BB20" w14:textId="6C1331AA" w:rsidR="00873667" w:rsidRDefault="00873667">
            <w:pPr>
              <w:pStyle w:val="Textbody"/>
              <w:spacing w:after="0" w:line="276" w:lineRule="auto"/>
              <w:jc w:val="both"/>
              <w:rPr>
                <w:rFonts w:ascii="Calibri" w:hAnsi="Calibri"/>
                <w:b/>
                <w:bCs/>
                <w:sz w:val="20"/>
                <w:szCs w:val="20"/>
              </w:rPr>
            </w:pPr>
            <w:r>
              <w:rPr>
                <w:rFonts w:ascii="Calibri" w:hAnsi="Calibri"/>
                <w:b/>
                <w:sz w:val="20"/>
              </w:rPr>
              <w:t>PREDHODNI OSNUTEK ODLOKA O SPREMEMBI ODLOKA Z DNE 1. MARCA 2007 O VARSTVU OKOLJA PRED MOŽNIMI ŠKODLJIVIMI IN MOTEČIMI VPLIVI NEIONIZIRAJOČEGA SEVANJA, ODLOKA Z DNE 5. JUNIJA 1997 O OKOLJSKIH DOVOLJENJIH IN</w:t>
            </w:r>
            <w:r>
              <w:rPr>
                <w:rFonts w:ascii="Calibri" w:hAnsi="Calibri"/>
                <w:sz w:val="22"/>
              </w:rPr>
              <w:t xml:space="preserve"> </w:t>
            </w:r>
            <w:r>
              <w:rPr>
                <w:rFonts w:ascii="Calibri" w:hAnsi="Calibri"/>
                <w:b/>
                <w:sz w:val="20"/>
              </w:rPr>
              <w:t>ODLOKA Z DNE 2. MAJA 2013 O BRUSELJSKEM ZAKONU O KAKOVOSTI ZRAKA, PODNEBJU IN GOSPODARJENJU Z ENERGIJO</w:t>
            </w:r>
          </w:p>
          <w:p w14:paraId="38F78F38" w14:textId="77777777" w:rsidR="00873667" w:rsidRPr="00E81EE8" w:rsidRDefault="00873667">
            <w:pPr>
              <w:pStyle w:val="Textbody"/>
              <w:spacing w:after="0" w:line="276" w:lineRule="auto"/>
              <w:jc w:val="both"/>
              <w:rPr>
                <w:rFonts w:ascii="Calibri" w:hAnsi="Calibri"/>
                <w:b/>
                <w:bCs/>
                <w:sz w:val="20"/>
                <w:szCs w:val="20"/>
              </w:rPr>
            </w:pPr>
          </w:p>
        </w:tc>
      </w:tr>
      <w:tr w:rsidR="00873667" w14:paraId="34B1D41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C04F6"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Vlada regije glavnega mesta Bruselj –</w:t>
            </w:r>
          </w:p>
          <w:p w14:paraId="6A372BBA" w14:textId="77777777" w:rsidR="00873667" w:rsidRPr="00E81EE8" w:rsidRDefault="00873667">
            <w:pPr>
              <w:spacing w:after="0" w:line="240" w:lineRule="auto"/>
              <w:jc w:val="both"/>
              <w:rPr>
                <w:rFonts w:asciiTheme="minorHAnsi" w:hAnsiTheme="minorHAnsi"/>
                <w:color w:val="000000" w:themeColor="text1"/>
                <w:sz w:val="20"/>
                <w:szCs w:val="20"/>
                <w:lang w:val="sv-SE"/>
              </w:rPr>
            </w:pPr>
          </w:p>
          <w:p w14:paraId="61958105"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ob upoštevanju poročila o preskusu enakih možnosti, ki ga je treba izvesti v skladu s členom 2(1) Odloka z dne 4. oktobra 2018 o uvedbi preskusa enakih možnosti v politične usmeritve regije glavnega mesta Bruselj in členom 1 Odloka vlade regije glavnega mesta Bruselj z dne 22. novembra 2018 o izvajanju navedenega odloka; </w:t>
            </w:r>
          </w:p>
          <w:p w14:paraId="3F837FB9" w14:textId="77777777" w:rsidR="00873667" w:rsidRPr="00E81EE8" w:rsidRDefault="00873667">
            <w:pPr>
              <w:spacing w:after="0" w:line="240" w:lineRule="auto"/>
              <w:jc w:val="both"/>
              <w:rPr>
                <w:rFonts w:asciiTheme="minorHAnsi" w:hAnsiTheme="minorHAnsi"/>
                <w:color w:val="000000" w:themeColor="text1"/>
                <w:sz w:val="20"/>
                <w:szCs w:val="20"/>
                <w:lang w:val="sv-SE"/>
              </w:rPr>
            </w:pPr>
          </w:p>
          <w:p w14:paraId="32C7AD0E"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ob upoštevanju člena 57(5) Direktive (EU) 2018/1972 Evropskega parlamenta in Sveta z dne 11. decembra 2018 o Evropskem zakoniku o elektronskih komunikacijah;</w:t>
            </w:r>
          </w:p>
          <w:p w14:paraId="3146CB8D" w14:textId="77777777" w:rsidR="00873667" w:rsidRPr="00E81EE8" w:rsidRDefault="00873667">
            <w:pPr>
              <w:spacing w:after="0" w:line="240" w:lineRule="auto"/>
              <w:jc w:val="both"/>
              <w:rPr>
                <w:rFonts w:asciiTheme="minorHAnsi" w:hAnsiTheme="minorHAnsi"/>
                <w:color w:val="000000" w:themeColor="text1"/>
                <w:sz w:val="20"/>
                <w:szCs w:val="20"/>
                <w:lang w:val="sv-SE"/>
              </w:rPr>
            </w:pPr>
          </w:p>
          <w:p w14:paraId="03FBB56C" w14:textId="77777777" w:rsidR="00873667" w:rsidRPr="00E81EE8" w:rsidRDefault="00873667">
            <w:pPr>
              <w:spacing w:after="0" w:line="240" w:lineRule="auto"/>
              <w:jc w:val="both"/>
              <w:rPr>
                <w:rFonts w:asciiTheme="minorHAnsi" w:hAnsiTheme="minorHAnsi"/>
                <w:color w:val="000000" w:themeColor="text1"/>
                <w:sz w:val="20"/>
                <w:szCs w:val="20"/>
                <w:lang w:val="sv-SE"/>
              </w:rPr>
            </w:pPr>
          </w:p>
          <w:p w14:paraId="6A6B9180"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ob upoštevanju Odloka z dne 1. marca 2007 o varstvu okolja pred možnimi škodljivimi in motečimi vplivi neionizirajočega sevanja, kakor je bil spremenjen z odloki z dne 3. aprila 2014, 8. maja 2014 in 27. junija 2016;</w:t>
            </w:r>
          </w:p>
          <w:p w14:paraId="3BB9CE37" w14:textId="77777777" w:rsidR="00873667" w:rsidRPr="00E81EE8" w:rsidRDefault="00873667">
            <w:pPr>
              <w:spacing w:after="0" w:line="240" w:lineRule="auto"/>
              <w:jc w:val="both"/>
              <w:rPr>
                <w:rFonts w:asciiTheme="minorHAnsi" w:hAnsiTheme="minorHAnsi"/>
                <w:color w:val="000000" w:themeColor="text1"/>
                <w:sz w:val="20"/>
                <w:szCs w:val="20"/>
                <w:lang w:val="sv-SE"/>
              </w:rPr>
            </w:pPr>
          </w:p>
          <w:p w14:paraId="6228F157"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ob upoštevanju mnenja Ekonomsko-socialnega sveta regije glavnega mesta Bruselj [Brupartners] z dne 18. novembra 2021; </w:t>
            </w:r>
          </w:p>
          <w:p w14:paraId="57BF7CE2" w14:textId="77777777" w:rsidR="00873667" w:rsidRPr="00E81EE8" w:rsidRDefault="00873667">
            <w:pPr>
              <w:spacing w:after="0" w:line="240" w:lineRule="auto"/>
              <w:jc w:val="both"/>
              <w:rPr>
                <w:rFonts w:asciiTheme="minorHAnsi" w:hAnsiTheme="minorHAnsi"/>
                <w:color w:val="000000" w:themeColor="text1"/>
                <w:sz w:val="20"/>
                <w:szCs w:val="20"/>
                <w:lang w:val="sv-SE"/>
              </w:rPr>
            </w:pPr>
          </w:p>
          <w:p w14:paraId="6826C19E" w14:textId="77777777" w:rsidR="00873667" w:rsidRPr="00E81EE8" w:rsidRDefault="00873667">
            <w:pPr>
              <w:spacing w:after="0" w:line="240" w:lineRule="auto"/>
              <w:jc w:val="both"/>
              <w:rPr>
                <w:rFonts w:asciiTheme="minorHAnsi" w:hAnsiTheme="minorHAnsi"/>
                <w:color w:val="000000" w:themeColor="text1"/>
                <w:sz w:val="20"/>
                <w:szCs w:val="20"/>
                <w:lang w:val="sv-SE"/>
              </w:rPr>
            </w:pPr>
          </w:p>
          <w:p w14:paraId="31DEAA3C"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ob upoštevanju mnenja Sveta za okolje z dne 25. novembra 2021;</w:t>
            </w:r>
          </w:p>
          <w:p w14:paraId="46357F7C" w14:textId="77777777" w:rsidR="00873667" w:rsidRPr="00E81EE8" w:rsidRDefault="00873667">
            <w:pPr>
              <w:spacing w:after="0" w:line="240" w:lineRule="auto"/>
              <w:jc w:val="both"/>
              <w:rPr>
                <w:rFonts w:asciiTheme="minorHAnsi" w:hAnsiTheme="minorHAnsi"/>
                <w:color w:val="000000" w:themeColor="text1"/>
                <w:sz w:val="20"/>
                <w:szCs w:val="20"/>
                <w:lang w:val="pl-PL"/>
              </w:rPr>
            </w:pPr>
          </w:p>
          <w:p w14:paraId="0D68A106"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ob upoštevanju mnenja Odbora strokovnjakov za neionizirajoče sevanje z dne 4. februarja 2022; </w:t>
            </w:r>
          </w:p>
          <w:p w14:paraId="01F62904" w14:textId="77777777" w:rsidR="00873667" w:rsidRPr="00E81EE8" w:rsidRDefault="00873667">
            <w:pPr>
              <w:spacing w:after="0" w:line="240" w:lineRule="auto"/>
              <w:jc w:val="both"/>
              <w:rPr>
                <w:rFonts w:asciiTheme="minorHAnsi" w:hAnsiTheme="minorHAnsi"/>
                <w:color w:val="000000" w:themeColor="text1"/>
                <w:sz w:val="20"/>
                <w:szCs w:val="20"/>
                <w:lang w:val="pl-PL"/>
              </w:rPr>
            </w:pPr>
          </w:p>
          <w:p w14:paraId="5B903D04"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ob upoštevanju priporočil posvetovalnega odbora, pristojnega za pripravo priporočil o uvajanju omrežja 5G v regijo glavnega mesta Bruselj ob upoštevanju okoljskih, zdravstvenih, gospodarskih, zaposlitvenih in tehnoloških vidikov, z dne 5. junija 2021;</w:t>
            </w:r>
          </w:p>
          <w:p w14:paraId="4781B5FF" w14:textId="77777777" w:rsidR="00873667" w:rsidRPr="00E81EE8" w:rsidRDefault="00873667">
            <w:pPr>
              <w:spacing w:after="0" w:line="240" w:lineRule="auto"/>
              <w:jc w:val="both"/>
              <w:rPr>
                <w:rFonts w:asciiTheme="minorHAnsi" w:hAnsiTheme="minorHAnsi"/>
                <w:color w:val="000000" w:themeColor="text1"/>
                <w:sz w:val="20"/>
                <w:szCs w:val="20"/>
                <w:lang w:val="pl-PL"/>
              </w:rPr>
            </w:pPr>
          </w:p>
          <w:p w14:paraId="562FC590"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ob upoštevanju ocene vplivov na okolje, izvedene v skladu z določbami Odloka z dne 18. marca 2004 o oceni vplivov nekaterih načrtov in programov na okolje; </w:t>
            </w:r>
          </w:p>
          <w:p w14:paraId="01BAFB8F" w14:textId="77777777" w:rsidR="00873667" w:rsidRPr="00E81EE8" w:rsidRDefault="00873667">
            <w:pPr>
              <w:spacing w:after="0" w:line="240" w:lineRule="auto"/>
              <w:jc w:val="both"/>
              <w:rPr>
                <w:rFonts w:asciiTheme="minorHAnsi" w:hAnsiTheme="minorHAnsi"/>
                <w:color w:val="000000" w:themeColor="text1"/>
                <w:sz w:val="20"/>
                <w:szCs w:val="20"/>
                <w:lang w:val="pl-PL"/>
              </w:rPr>
            </w:pPr>
          </w:p>
          <w:p w14:paraId="7D51530B"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ob upoštevanju člena 3(1) in (2) zakonov o državnem svetu, usklajenih 12. januarja 1973;</w:t>
            </w:r>
          </w:p>
          <w:p w14:paraId="33EBD2BF" w14:textId="77777777" w:rsidR="00873667" w:rsidRPr="00E81EE8" w:rsidRDefault="00873667">
            <w:pPr>
              <w:spacing w:after="0" w:line="240" w:lineRule="auto"/>
              <w:jc w:val="both"/>
              <w:rPr>
                <w:rFonts w:asciiTheme="minorHAnsi" w:hAnsiTheme="minorHAnsi"/>
                <w:color w:val="000000" w:themeColor="text1"/>
                <w:sz w:val="20"/>
                <w:szCs w:val="20"/>
                <w:lang w:val="pl-PL"/>
              </w:rPr>
            </w:pPr>
          </w:p>
          <w:p w14:paraId="7900BCA1"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ob upoštevanju mnenja št. [*] Državnega sveta z dne [*];</w:t>
            </w:r>
          </w:p>
          <w:p w14:paraId="2C516520" w14:textId="77777777" w:rsidR="00873667" w:rsidRPr="00E81EE8" w:rsidRDefault="00873667">
            <w:pPr>
              <w:spacing w:after="0" w:line="240" w:lineRule="auto"/>
              <w:jc w:val="both"/>
              <w:rPr>
                <w:rFonts w:asciiTheme="minorHAnsi" w:hAnsiTheme="minorHAnsi"/>
                <w:color w:val="000000" w:themeColor="text1"/>
                <w:sz w:val="20"/>
                <w:szCs w:val="20"/>
                <w:lang w:val="pl-PL"/>
              </w:rPr>
            </w:pPr>
          </w:p>
          <w:p w14:paraId="49A1412F"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ker mnenje Odbora za zasebnost ni potrebno, saj se Uredba (EU) 2016/679 Evropskega parlamenta in Sveta z dne 27. aprila 2016 o varstvu posameznikov pri obdelavi osebnih podatkov in o prostem pretoku takih podatkov uporablja le za osebne podatke fizičnih oseb in ne za podatke pravnih oseb; ker se to besedilo nanaša le na pravne osebe (operaterje), ne da bi vplivalo na osebne podatke fizičnih oseb; </w:t>
            </w:r>
          </w:p>
          <w:p w14:paraId="4A4E89A1" w14:textId="77777777" w:rsidR="00873667" w:rsidRPr="00E81EE8" w:rsidRDefault="00873667">
            <w:pPr>
              <w:spacing w:after="0" w:line="240" w:lineRule="auto"/>
              <w:jc w:val="both"/>
              <w:rPr>
                <w:rFonts w:asciiTheme="minorHAnsi" w:hAnsiTheme="minorHAnsi"/>
                <w:color w:val="000000" w:themeColor="text1"/>
                <w:sz w:val="20"/>
                <w:szCs w:val="20"/>
                <w:lang w:val="pl-PL"/>
              </w:rPr>
            </w:pPr>
          </w:p>
          <w:p w14:paraId="4202D25C"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na predlog ministrskega predsednika in ministra za okolje,</w:t>
            </w:r>
          </w:p>
          <w:p w14:paraId="014CEA58" w14:textId="77777777" w:rsidR="00873667" w:rsidRPr="00E81EE8" w:rsidRDefault="00873667">
            <w:pPr>
              <w:spacing w:after="0" w:line="240" w:lineRule="auto"/>
              <w:jc w:val="both"/>
              <w:rPr>
                <w:rFonts w:asciiTheme="minorHAnsi" w:hAnsiTheme="minorHAnsi"/>
                <w:color w:val="000000" w:themeColor="text1"/>
                <w:sz w:val="20"/>
                <w:szCs w:val="20"/>
                <w:lang w:val="pl-PL"/>
              </w:rPr>
            </w:pPr>
          </w:p>
          <w:p w14:paraId="7EC6DA0D"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po posvetovanju –</w:t>
            </w:r>
          </w:p>
          <w:p w14:paraId="2DA82BBF" w14:textId="77777777" w:rsidR="00873667" w:rsidRDefault="00873667">
            <w:pPr>
              <w:spacing w:after="0" w:line="240" w:lineRule="auto"/>
              <w:jc w:val="both"/>
              <w:rPr>
                <w:rFonts w:asciiTheme="minorHAnsi" w:hAnsiTheme="minorHAnsi"/>
                <w:color w:val="000000" w:themeColor="text1"/>
                <w:sz w:val="20"/>
                <w:szCs w:val="20"/>
                <w:lang w:val="nl-NL"/>
              </w:rPr>
            </w:pPr>
          </w:p>
          <w:p w14:paraId="27A3098B" w14:textId="77777777" w:rsidR="00873667" w:rsidRDefault="00873667">
            <w:pPr>
              <w:spacing w:after="0" w:line="240" w:lineRule="auto"/>
              <w:jc w:val="both"/>
              <w:rPr>
                <w:rFonts w:asciiTheme="minorHAnsi" w:eastAsiaTheme="minorHAnsi" w:hAnsiTheme="minorHAnsi" w:cs="TimesNewRoman"/>
                <w:kern w:val="0"/>
                <w:sz w:val="18"/>
                <w:szCs w:val="18"/>
                <w:lang w:val="nl-NL"/>
              </w:rPr>
            </w:pPr>
          </w:p>
        </w:tc>
      </w:tr>
      <w:tr w:rsidR="00873667" w14:paraId="1C5587B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251D8" w14:textId="77777777" w:rsidR="00873667" w:rsidRDefault="00873667">
            <w:pPr>
              <w:spacing w:after="0" w:line="240" w:lineRule="auto"/>
              <w:jc w:val="center"/>
              <w:rPr>
                <w:rFonts w:asciiTheme="minorHAnsi" w:hAnsiTheme="minorHAnsi"/>
                <w:b/>
                <w:color w:val="000000" w:themeColor="text1"/>
                <w:sz w:val="20"/>
                <w:szCs w:val="20"/>
              </w:rPr>
            </w:pPr>
            <w:r>
              <w:rPr>
                <w:rFonts w:asciiTheme="minorHAnsi" w:hAnsiTheme="minorHAnsi"/>
                <w:b/>
                <w:color w:val="000000" w:themeColor="text1"/>
                <w:sz w:val="20"/>
              </w:rPr>
              <w:t>odreja naslednje:</w:t>
            </w:r>
          </w:p>
          <w:p w14:paraId="30AA9CFE" w14:textId="77777777" w:rsidR="00873667" w:rsidRDefault="00873667">
            <w:pPr>
              <w:spacing w:after="0" w:line="240" w:lineRule="auto"/>
              <w:jc w:val="both"/>
              <w:rPr>
                <w:rFonts w:cs="Times New Roman"/>
                <w:b/>
                <w:sz w:val="20"/>
                <w:szCs w:val="20"/>
                <w:lang w:val="nl-NL"/>
              </w:rPr>
            </w:pPr>
          </w:p>
        </w:tc>
      </w:tr>
      <w:tr w:rsidR="00873667" w:rsidRPr="00404725" w14:paraId="5DCAAB3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4C10A"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Minister za okolje je pristojen, da parlamentu predloži naslednji osnutek odloka: </w:t>
            </w:r>
          </w:p>
          <w:p w14:paraId="20AE67A3" w14:textId="77777777" w:rsidR="00873667" w:rsidRPr="00E81EE8" w:rsidRDefault="00873667">
            <w:pPr>
              <w:spacing w:after="0" w:line="240" w:lineRule="auto"/>
              <w:jc w:val="both"/>
              <w:rPr>
                <w:bCs/>
                <w:sz w:val="20"/>
                <w:szCs w:val="20"/>
                <w:lang w:val="pl-PL"/>
              </w:rPr>
            </w:pPr>
          </w:p>
        </w:tc>
      </w:tr>
      <w:tr w:rsidR="00873667" w14:paraId="0AD90BD2"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80087" w14:textId="77777777" w:rsidR="00873667" w:rsidRDefault="00873667">
            <w:pPr>
              <w:spacing w:after="0" w:line="240" w:lineRule="auto"/>
              <w:jc w:val="both"/>
              <w:rPr>
                <w:rFonts w:asciiTheme="minorHAnsi" w:hAnsiTheme="minorHAnsi"/>
                <w:b/>
                <w:bCs/>
                <w:color w:val="000000" w:themeColor="text1"/>
                <w:sz w:val="20"/>
                <w:szCs w:val="20"/>
              </w:rPr>
            </w:pPr>
            <w:r>
              <w:rPr>
                <w:rFonts w:asciiTheme="minorHAnsi" w:hAnsiTheme="minorHAnsi"/>
                <w:b/>
                <w:color w:val="000000" w:themeColor="text1"/>
                <w:sz w:val="20"/>
              </w:rPr>
              <w:t>Poglavje 1. Uvodna določba</w:t>
            </w:r>
          </w:p>
        </w:tc>
      </w:tr>
      <w:tr w:rsidR="00873667" w:rsidRPr="00404725" w14:paraId="4EDF49A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7236C" w14:textId="77777777" w:rsidR="00873667" w:rsidRDefault="00873667">
            <w:pPr>
              <w:spacing w:after="0" w:line="240" w:lineRule="auto"/>
              <w:jc w:val="both"/>
              <w:rPr>
                <w:rFonts w:asciiTheme="minorHAnsi" w:hAnsiTheme="minorHAnsi"/>
                <w:b/>
                <w:color w:val="000000" w:themeColor="text1"/>
                <w:sz w:val="20"/>
                <w:szCs w:val="20"/>
              </w:rPr>
            </w:pPr>
            <w:r>
              <w:rPr>
                <w:rFonts w:asciiTheme="minorHAnsi" w:hAnsiTheme="minorHAnsi"/>
                <w:b/>
                <w:color w:val="000000" w:themeColor="text1"/>
                <w:sz w:val="20"/>
              </w:rPr>
              <w:t>Člen 1.</w:t>
            </w:r>
          </w:p>
          <w:p w14:paraId="7E06BF8C"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Ta odlok ureja zadevo iz člena 39 Ustave. </w:t>
            </w:r>
          </w:p>
          <w:p w14:paraId="63EF4B7A" w14:textId="77777777" w:rsidR="00873667" w:rsidRPr="00E81EE8" w:rsidRDefault="00873667">
            <w:pPr>
              <w:spacing w:after="0" w:line="240" w:lineRule="auto"/>
              <w:jc w:val="both"/>
              <w:rPr>
                <w:rFonts w:asciiTheme="minorHAnsi" w:hAnsiTheme="minorHAnsi"/>
                <w:sz w:val="20"/>
                <w:szCs w:val="20"/>
              </w:rPr>
            </w:pPr>
          </w:p>
          <w:p w14:paraId="6E2F7DA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S tem odlokom se delno prenaša</w:t>
            </w:r>
            <w:r>
              <w:t xml:space="preserve"> </w:t>
            </w:r>
            <w:r>
              <w:rPr>
                <w:rFonts w:asciiTheme="minorHAnsi" w:hAnsiTheme="minorHAnsi"/>
                <w:sz w:val="20"/>
              </w:rPr>
              <w:t xml:space="preserve">Direktiva (EU) 2018/1972 Evropskega parlamenta in Sveta z dne 11. decembra 2018 o </w:t>
            </w:r>
            <w:r>
              <w:rPr>
                <w:rFonts w:asciiTheme="minorHAnsi" w:hAnsiTheme="minorHAnsi"/>
                <w:sz w:val="20"/>
              </w:rPr>
              <w:lastRenderedPageBreak/>
              <w:t>Evropskem zakoniku o elektronskih komunikacijah.</w:t>
            </w:r>
          </w:p>
          <w:p w14:paraId="2EF3826D" w14:textId="77777777" w:rsidR="00873667" w:rsidRPr="00E81EE8" w:rsidRDefault="00873667">
            <w:pPr>
              <w:spacing w:after="0" w:line="240" w:lineRule="auto"/>
              <w:jc w:val="both"/>
              <w:rPr>
                <w:bCs/>
                <w:sz w:val="20"/>
                <w:szCs w:val="20"/>
              </w:rPr>
            </w:pPr>
          </w:p>
        </w:tc>
      </w:tr>
      <w:tr w:rsidR="00873667" w:rsidRPr="00404725" w14:paraId="6A06A42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9F63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Poglavje 2. Spremembe Odloka z dne 1. marca 2007 o varstvu okolja pred možnimi škodljivimi in motečimi vplivi neionizirajočega sevanja</w:t>
            </w:r>
          </w:p>
        </w:tc>
      </w:tr>
      <w:tr w:rsidR="00873667" w:rsidRPr="00404725" w14:paraId="29C7DA7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F4D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Člen 2.</w:t>
            </w:r>
          </w:p>
          <w:p w14:paraId="53C0BEAE"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Člen 2 Odloka z dne 1. marca 2007 o varstvu okolja pred možnimi škodljivimi in motečimi vplivi neionizirajočega sevanja, kakor je bil spremenjen z Odlokom z dne 3. aprila 2014 in delno razveljavljen z Odločbo št. 12/2016 Ustavnega sodišča, se spremeni:</w:t>
            </w:r>
          </w:p>
          <w:p w14:paraId="2460015D" w14:textId="77777777" w:rsidR="00873667" w:rsidRPr="00E81EE8" w:rsidRDefault="00873667">
            <w:pPr>
              <w:spacing w:after="0" w:line="240" w:lineRule="auto"/>
              <w:jc w:val="both"/>
              <w:rPr>
                <w:rFonts w:asciiTheme="minorHAnsi" w:hAnsiTheme="minorHAnsi"/>
                <w:sz w:val="20"/>
                <w:szCs w:val="20"/>
              </w:rPr>
            </w:pPr>
          </w:p>
          <w:p w14:paraId="122112B2"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v odstavku 1 se točka 2 nadomesti z naslednjim besedilom: </w:t>
            </w:r>
          </w:p>
          <w:p w14:paraId="19D6FC33"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 ‚javno dostopni zaprti prostori‘: prostori v stavbi, kjer lahko ljudje redno bivajo, zlasti nastanitveni prostori, hoteli, šole, jasli, bolnišnice, domovi za starejše in stavbe, namenjene rednim športnim dejavnostim ali igram;</w:t>
            </w:r>
          </w:p>
          <w:p w14:paraId="6795F99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2a. ‚javno dostopna območja na prostem‘: zunanji ali sorodni prostori, dostopni javnosti, zlasti vrtovi, bloki, parki, igrišča in balkoni, pokrite in nepokrite terase stavb, garaže, lope, zimski vrtovi, rastlinjaki in druge podobne verande;“;</w:t>
            </w:r>
          </w:p>
          <w:p w14:paraId="7F94A6C9" w14:textId="77777777" w:rsidR="00873667" w:rsidRPr="00E81EE8" w:rsidRDefault="00873667">
            <w:pPr>
              <w:spacing w:after="0" w:line="240" w:lineRule="auto"/>
              <w:jc w:val="both"/>
              <w:rPr>
                <w:rFonts w:asciiTheme="minorHAnsi" w:hAnsiTheme="minorHAnsi"/>
                <w:sz w:val="20"/>
                <w:szCs w:val="20"/>
              </w:rPr>
            </w:pPr>
          </w:p>
          <w:p w14:paraId="04CF6F2D"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v odstavku 1, točka 4(c), se pika nadomesti s podpičjem;</w:t>
            </w:r>
          </w:p>
          <w:p w14:paraId="24E8B21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E0504A9" w14:textId="62473454"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odstavek 1 se dopolni s točkami 5, 6, 7, 8, 9 in 10, ki se glasijo: </w:t>
            </w:r>
          </w:p>
          <w:p w14:paraId="719074E0"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„5. ‚antena‘: oddajni sistem, zasnovan za oddajanje radijsko-telekomunikacijskega signala z elektromagnetnimi valovi;</w:t>
            </w:r>
          </w:p>
          <w:p w14:paraId="4DE09907"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6. ‚operater‘: vsaka pravna oseba, ki ima pravico oddajati, ter sorodna ali povezana podjetja v smislu Zakonika o gospodarskih družbah in splošneje katera koli oseba, ki upravlja anteno, razen radiodifuzijskih hiš;</w:t>
            </w:r>
          </w:p>
          <w:p w14:paraId="3C5B91DC"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7. ‚radiodifuzijska hiša‘: omrežni operater iz člena 1.3-1, točka 33, Uredbe francoske skupnosti z dne 4. februarja 2021 o avdiovizualnih medijskih storitvah in storitvah souporabe videov ali točke 22 člena 2 Flamske uredbe z dne 27. marca 2009 o radiodifuziji in televiziji;</w:t>
            </w:r>
          </w:p>
          <w:p w14:paraId="1FF7897A"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8. ‚izredne razmere‘: vsak enkratni dogodek, ki povzroči ali bi lahko imel škodljive posledice za družbeno življenje, kot so resne motnje javne varnosti, resno ogrožanje življenja ali zdravja posameznikov in/ali pomembnih materialnih virov, in ki zahteva usklajevanje pristojnih akterjev, vključno z disciplinskimi postopki, da se odpravi nevarnost ali omejijo negativne posledice dogodka;</w:t>
            </w:r>
          </w:p>
          <w:p w14:paraId="7661DE04"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9. ‚ center za upravljanje in vzdrževanje (Operation and Maintenance Centre – OMC)‘: osnovni tehnični element omrežja, ki je vzpostavljen za upravljanja omrežja in vključuje zlasti konfiguracije, ki se uporabljajo na omrežju, števcih in statistiki;</w:t>
            </w:r>
          </w:p>
          <w:p w14:paraId="238F3159" w14:textId="77777777" w:rsidR="00873667" w:rsidRPr="00E81EE8" w:rsidRDefault="00873667">
            <w:pPr>
              <w:spacing w:after="0" w:line="240" w:lineRule="auto"/>
              <w:ind w:left="352"/>
              <w:jc w:val="both"/>
              <w:rPr>
                <w:rFonts w:asciiTheme="minorHAnsi" w:hAnsiTheme="minorHAnsi"/>
                <w:sz w:val="20"/>
                <w:szCs w:val="20"/>
              </w:rPr>
            </w:pPr>
          </w:p>
          <w:p w14:paraId="4764DA67" w14:textId="768F3E3C" w:rsidR="00873667" w:rsidRDefault="00873667">
            <w:pPr>
              <w:spacing w:after="0" w:line="240" w:lineRule="auto"/>
              <w:ind w:left="352"/>
              <w:jc w:val="both"/>
              <w:rPr>
                <w:rFonts w:asciiTheme="minorHAnsi" w:hAnsiTheme="minorHAnsi"/>
                <w:sz w:val="20"/>
                <w:szCs w:val="20"/>
              </w:rPr>
            </w:pPr>
            <w:r>
              <w:rPr>
                <w:rFonts w:asciiTheme="minorHAnsi" w:hAnsiTheme="minorHAnsi"/>
                <w:sz w:val="20"/>
              </w:rPr>
              <w:t>10. ‚podatkovna zbirka Urbis-Adm 3D‘: podatkovna banka, ki vsebuje informacije edinstvene in izvirne vrednosti za regijo glavnega mesta Bruselj ter zagotavlja posebna jamstva glede točnosti, popolnosti in razpoložljivosti informacij iz Priloge k Sporazumu z dne 18. aprila 2014</w:t>
            </w:r>
            <w:r>
              <w:t xml:space="preserve"> </w:t>
            </w:r>
            <w:r>
              <w:rPr>
                <w:rFonts w:asciiTheme="minorHAnsi" w:hAnsiTheme="minorHAnsi"/>
                <w:sz w:val="20"/>
              </w:rPr>
              <w:t>med o sodelovanju zvezno državo, flamsko regijo, valonsko regijo in regijo glavnega mesta Bruselj na področju usklajevanja informacij o dediščini.“;</w:t>
            </w:r>
          </w:p>
          <w:p w14:paraId="031B8EAB" w14:textId="77777777" w:rsidR="00873667" w:rsidRPr="00E81EE8" w:rsidRDefault="00873667">
            <w:pPr>
              <w:spacing w:after="0" w:line="240" w:lineRule="auto"/>
              <w:jc w:val="both"/>
              <w:rPr>
                <w:rFonts w:asciiTheme="minorHAnsi" w:hAnsiTheme="minorHAnsi"/>
                <w:sz w:val="20"/>
                <w:szCs w:val="20"/>
              </w:rPr>
            </w:pPr>
          </w:p>
          <w:p w14:paraId="533CE327"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pododstavek 2 odstavka 2 se nadomesti z naslednjim: </w:t>
            </w:r>
          </w:p>
          <w:p w14:paraId="61E32F60"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Določbe tega odloka se ne uporabljajo v izrednih razmerah.“.</w:t>
            </w:r>
          </w:p>
          <w:p w14:paraId="639D6F68" w14:textId="77777777" w:rsidR="00873667" w:rsidRPr="00E81EE8" w:rsidRDefault="00873667">
            <w:pPr>
              <w:spacing w:after="0" w:line="240" w:lineRule="auto"/>
              <w:ind w:left="352"/>
              <w:jc w:val="both"/>
              <w:rPr>
                <w:rFonts w:asciiTheme="minorHAnsi" w:hAnsiTheme="minorHAnsi"/>
                <w:sz w:val="20"/>
                <w:szCs w:val="20"/>
              </w:rPr>
            </w:pPr>
          </w:p>
        </w:tc>
      </w:tr>
      <w:tr w:rsidR="00873667" w:rsidRPr="00404725" w14:paraId="72ECC1B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4364E"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Člen 3.</w:t>
            </w:r>
          </w:p>
          <w:p w14:paraId="697447F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Člen 3 odloka se spremeni:</w:t>
            </w:r>
          </w:p>
          <w:p w14:paraId="2CF8E143" w14:textId="77777777" w:rsidR="00873667" w:rsidRPr="00E81EE8" w:rsidRDefault="00873667">
            <w:pPr>
              <w:spacing w:after="0" w:line="240" w:lineRule="auto"/>
              <w:jc w:val="both"/>
              <w:rPr>
                <w:rFonts w:asciiTheme="minorHAnsi" w:hAnsiTheme="minorHAnsi"/>
                <w:sz w:val="20"/>
                <w:szCs w:val="20"/>
                <w:lang w:val="fi-FI"/>
              </w:rPr>
            </w:pPr>
          </w:p>
          <w:p w14:paraId="62E692B7"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pododstavki 2 do 4 odstavka 1 se razveljavijo;</w:t>
            </w:r>
          </w:p>
          <w:p w14:paraId="42976C5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6243B18"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vstavi se odstavek 1a, ki se glasi:</w:t>
            </w:r>
          </w:p>
          <w:p w14:paraId="76FBDA5D" w14:textId="13366296" w:rsidR="00873667" w:rsidRDefault="00873667">
            <w:pPr>
              <w:spacing w:after="0" w:line="240" w:lineRule="auto"/>
              <w:ind w:left="352"/>
              <w:jc w:val="both"/>
              <w:rPr>
                <w:rFonts w:asciiTheme="minorHAnsi" w:hAnsiTheme="minorHAnsi"/>
                <w:sz w:val="20"/>
              </w:rPr>
            </w:pPr>
            <w:r>
              <w:rPr>
                <w:rFonts w:asciiTheme="minorHAnsi" w:hAnsiTheme="minorHAnsi"/>
                <w:sz w:val="20"/>
              </w:rPr>
              <w:t>„Oddelek 1a. Brez poseganja v odstavka 1a in 4 v vseh javno dostopnih zaprtih prostorih in na vseh javno dostopnih območjih na prostem gostota moči neionizirajočega sevanja v nobenem trenutku ne sme presegati vrednosti (</w:t>
            </w: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rPr>
                    <m:t>S</m:t>
                  </m:r>
                </m:e>
                <m:sub>
                  <m:r>
                    <w:rPr>
                      <w:rFonts w:ascii="Cambria Math" w:eastAsia="Times New Roman" w:hAnsi="Cambria Math" w:cstheme="minorHAnsi"/>
                      <w:color w:val="000000"/>
                      <w:kern w:val="0"/>
                      <w:sz w:val="20"/>
                      <w:szCs w:val="20"/>
                    </w:rPr>
                    <m:t>int</m:t>
                  </m:r>
                </m:sub>
              </m:sSub>
              <m:r>
                <w:rPr>
                  <w:rFonts w:ascii="Cambria Math" w:eastAsia="Times New Roman" w:hAnsi="Cambria Math" w:cstheme="minorHAnsi"/>
                  <w:color w:val="000000"/>
                  <w:kern w:val="0"/>
                  <w:sz w:val="20"/>
                  <w:szCs w:val="20"/>
                </w:rPr>
                <m:t>)</m:t>
              </m:r>
            </m:oMath>
            <w:r>
              <w:rPr>
                <w:rFonts w:asciiTheme="minorHAnsi" w:hAnsiTheme="minorHAnsi"/>
                <w:sz w:val="20"/>
              </w:rPr>
              <w:t xml:space="preserve"> (javno dostopni zaprti prostori) oziroma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rPr>
                    <m:t>S</m:t>
                  </m:r>
                </m:e>
                <m:sub>
                  <m:r>
                    <w:rPr>
                      <w:rFonts w:ascii="Cambria Math" w:eastAsia="Times New Roman" w:hAnsi="Cambria Math" w:cstheme="minorHAnsi"/>
                      <w:sz w:val="20"/>
                      <w:szCs w:val="20"/>
                    </w:rPr>
                    <m:t>ext</m:t>
                  </m:r>
                </m:sub>
              </m:sSub>
              <m:r>
                <w:rPr>
                  <w:rFonts w:ascii="Cambria Math" w:eastAsia="Times New Roman" w:hAnsi="Cambria Math" w:cstheme="minorHAnsi"/>
                  <w:sz w:val="20"/>
                  <w:szCs w:val="20"/>
                </w:rPr>
                <m:t>)</m:t>
              </m:r>
            </m:oMath>
            <w:r>
              <w:rPr>
                <w:rFonts w:asciiTheme="minorHAnsi" w:hAnsiTheme="minorHAnsi"/>
                <w:sz w:val="20"/>
              </w:rPr>
              <w:t xml:space="preserve"> (javno dostopna območja na prostem): </w:t>
            </w:r>
          </w:p>
          <w:p w14:paraId="2870D1EF" w14:textId="0B329592" w:rsidR="00E81EE8" w:rsidRDefault="00E81EE8">
            <w:pPr>
              <w:spacing w:after="0" w:line="240" w:lineRule="auto"/>
              <w:ind w:left="352"/>
              <w:jc w:val="both"/>
              <w:rPr>
                <w:rFonts w:asciiTheme="minorHAnsi" w:hAnsiTheme="minorHAnsi"/>
                <w:sz w:val="20"/>
              </w:rPr>
            </w:pPr>
          </w:p>
          <w:p w14:paraId="2EA0AA0D" w14:textId="64A88E69" w:rsidR="00E81EE8" w:rsidRDefault="00E81EE8">
            <w:pPr>
              <w:spacing w:after="0" w:line="240" w:lineRule="auto"/>
              <w:ind w:left="352"/>
              <w:jc w:val="both"/>
              <w:rPr>
                <w:rFonts w:asciiTheme="minorHAnsi" w:hAnsiTheme="minorHAnsi"/>
                <w:sz w:val="20"/>
              </w:rPr>
            </w:pPr>
          </w:p>
          <w:p w14:paraId="316C3C3F" w14:textId="204FF828" w:rsidR="00E81EE8" w:rsidRDefault="00E81EE8">
            <w:pPr>
              <w:spacing w:after="0" w:line="240" w:lineRule="auto"/>
              <w:ind w:left="352"/>
              <w:jc w:val="both"/>
              <w:rPr>
                <w:rFonts w:asciiTheme="minorHAnsi" w:hAnsiTheme="minorHAnsi"/>
                <w:sz w:val="20"/>
              </w:rPr>
            </w:pPr>
          </w:p>
          <w:p w14:paraId="36EFE402" w14:textId="2C0AF386" w:rsidR="00E81EE8" w:rsidRDefault="00E81EE8">
            <w:pPr>
              <w:spacing w:after="0" w:line="240" w:lineRule="auto"/>
              <w:ind w:left="352"/>
              <w:jc w:val="both"/>
              <w:rPr>
                <w:rFonts w:asciiTheme="minorHAnsi" w:hAnsiTheme="minorHAnsi"/>
                <w:sz w:val="20"/>
              </w:rPr>
            </w:pPr>
          </w:p>
          <w:p w14:paraId="3B2D2A81" w14:textId="77777777" w:rsidR="00E81EE8" w:rsidRDefault="00E81EE8">
            <w:pPr>
              <w:spacing w:after="0" w:line="240" w:lineRule="auto"/>
              <w:ind w:left="352"/>
              <w:jc w:val="both"/>
              <w:rPr>
                <w:rFonts w:asciiTheme="minorHAnsi" w:hAnsiTheme="minorHAnsi"/>
                <w:sz w:val="20"/>
              </w:rPr>
            </w:pPr>
          </w:p>
          <w:p w14:paraId="75ECE59E" w14:textId="1C31E546" w:rsidR="00C4092C" w:rsidRDefault="00C4092C">
            <w:pPr>
              <w:spacing w:after="0" w:line="240" w:lineRule="auto"/>
              <w:ind w:left="352"/>
              <w:jc w:val="both"/>
              <w:rPr>
                <w:rFonts w:asciiTheme="minorHAnsi" w:hAnsiTheme="minorHAnsi"/>
                <w:sz w:val="20"/>
              </w:rPr>
            </w:pPr>
          </w:p>
          <w:p w14:paraId="4135601B" w14:textId="77777777" w:rsidR="00C4092C" w:rsidRDefault="00C4092C">
            <w:pPr>
              <w:spacing w:after="0" w:line="240" w:lineRule="auto"/>
              <w:ind w:left="352"/>
              <w:jc w:val="both"/>
              <w:rPr>
                <w:rFonts w:asciiTheme="minorHAnsi" w:hAnsiTheme="minorHAnsi"/>
                <w:sz w:val="20"/>
                <w:szCs w:val="20"/>
              </w:rPr>
            </w:pPr>
          </w:p>
          <w:tbl>
            <w:tblPr>
              <w:tblStyle w:val="TableGrid"/>
              <w:tblW w:w="4245" w:type="dxa"/>
              <w:tblInd w:w="342" w:type="dxa"/>
              <w:tblLayout w:type="fixed"/>
              <w:tblLook w:val="04A0" w:firstRow="1" w:lastRow="0" w:firstColumn="1" w:lastColumn="0" w:noHBand="0" w:noVBand="1"/>
            </w:tblPr>
            <w:tblGrid>
              <w:gridCol w:w="1553"/>
              <w:gridCol w:w="1223"/>
              <w:gridCol w:w="1469"/>
            </w:tblGrid>
            <w:tr w:rsidR="00873667" w14:paraId="5D540DF3"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36F5090A"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 xml:space="preserve">Frekvence </w:t>
                  </w:r>
                </w:p>
              </w:tc>
              <w:tc>
                <w:tcPr>
                  <w:tcW w:w="1224" w:type="dxa"/>
                  <w:tcBorders>
                    <w:top w:val="single" w:sz="4" w:space="0" w:color="auto"/>
                    <w:left w:val="single" w:sz="4" w:space="0" w:color="auto"/>
                    <w:bottom w:val="single" w:sz="4" w:space="0" w:color="auto"/>
                    <w:right w:val="single" w:sz="4" w:space="0" w:color="auto"/>
                  </w:tcBorders>
                  <w:noWrap/>
                  <w:hideMark/>
                </w:tcPr>
                <w:p w14:paraId="716883CB" w14:textId="77777777" w:rsidR="00873667" w:rsidRDefault="00000000">
                  <w:pPr>
                    <w:widowControl/>
                    <w:suppressAutoHyphens w:val="0"/>
                    <w:spacing w:after="0" w:line="240" w:lineRule="auto"/>
                    <w:jc w:val="center"/>
                    <w:rPr>
                      <w:rFonts w:asciiTheme="minorHAnsi" w:eastAsia="Times New Roman" w:hAnsiTheme="minorHAnsi" w:cstheme="minorHAnsi"/>
                      <w:b/>
                      <w:bCs/>
                      <w:color w:val="000000"/>
                      <w:kern w:val="0"/>
                      <w:sz w:val="20"/>
                      <w:szCs w:val="20"/>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ext</m:t>
                          </m:r>
                        </m:sub>
                      </m:sSub>
                    </m:oMath>
                  </m:oMathPara>
                </w:p>
              </w:tc>
              <w:tc>
                <w:tcPr>
                  <w:tcW w:w="1470" w:type="dxa"/>
                  <w:tcBorders>
                    <w:top w:val="single" w:sz="4" w:space="0" w:color="auto"/>
                    <w:left w:val="single" w:sz="4" w:space="0" w:color="auto"/>
                    <w:bottom w:val="single" w:sz="4" w:space="0" w:color="auto"/>
                    <w:right w:val="single" w:sz="4" w:space="0" w:color="auto"/>
                  </w:tcBorders>
                  <w:noWrap/>
                  <w:hideMark/>
                </w:tcPr>
                <w:p w14:paraId="519507AB" w14:textId="77777777" w:rsidR="00873667" w:rsidRDefault="00000000">
                  <w:pPr>
                    <w:widowControl/>
                    <w:suppressAutoHyphens w:val="0"/>
                    <w:spacing w:after="0" w:line="240" w:lineRule="auto"/>
                    <w:jc w:val="center"/>
                    <w:rPr>
                      <w:rFonts w:asciiTheme="minorHAnsi" w:eastAsia="Times New Roman" w:hAnsiTheme="minorHAnsi" w:cstheme="minorHAnsi"/>
                      <w:b/>
                      <w:bCs/>
                      <w:color w:val="000000"/>
                      <w:kern w:val="0"/>
                      <w:sz w:val="20"/>
                      <w:szCs w:val="20"/>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int</m:t>
                          </m:r>
                        </m:sub>
                      </m:sSub>
                    </m:oMath>
                  </m:oMathPara>
                </w:p>
              </w:tc>
            </w:tr>
            <w:tr w:rsidR="00873667" w:rsidRPr="00404725" w14:paraId="651329AF"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7CA81384" w14:textId="77777777" w:rsidR="00873667" w:rsidRDefault="00873667">
                  <w:pPr>
                    <w:rPr>
                      <w:rFonts w:asciiTheme="minorHAnsi" w:eastAsia="Times New Roman" w:hAnsiTheme="minorHAnsi" w:cstheme="minorHAnsi"/>
                      <w:b/>
                      <w:bCs/>
                      <w:color w:val="000000"/>
                      <w:kern w:val="0"/>
                      <w:sz w:val="20"/>
                      <w:szCs w:val="20"/>
                      <w:lang w:val="nl-NL"/>
                    </w:rPr>
                  </w:pPr>
                </w:p>
              </w:tc>
              <w:tc>
                <w:tcPr>
                  <w:tcW w:w="1224" w:type="dxa"/>
                  <w:tcBorders>
                    <w:top w:val="single" w:sz="4" w:space="0" w:color="auto"/>
                    <w:left w:val="single" w:sz="4" w:space="0" w:color="auto"/>
                    <w:bottom w:val="single" w:sz="4" w:space="0" w:color="auto"/>
                    <w:right w:val="single" w:sz="4" w:space="0" w:color="auto"/>
                  </w:tcBorders>
                  <w:noWrap/>
                  <w:hideMark/>
                </w:tcPr>
                <w:p w14:paraId="5701B2E7" w14:textId="77777777" w:rsidR="00873667" w:rsidRDefault="00873667">
                  <w:pPr>
                    <w:widowControl/>
                    <w:suppressAutoHyphens w:val="0"/>
                    <w:spacing w:after="0" w:line="240" w:lineRule="auto"/>
                    <w:jc w:val="center"/>
                    <w:rPr>
                      <w:rFonts w:asciiTheme="minorHAnsi" w:eastAsia="Times New Roman" w:hAnsiTheme="minorHAnsi" w:cstheme="minorHAnsi"/>
                      <w:b/>
                      <w:bCs/>
                      <w:color w:val="000000"/>
                      <w:kern w:val="0"/>
                      <w:sz w:val="20"/>
                      <w:szCs w:val="20"/>
                    </w:rPr>
                  </w:pPr>
                  <w:r>
                    <w:rPr>
                      <w:rFonts w:asciiTheme="minorHAnsi" w:hAnsiTheme="minorHAnsi"/>
                      <w:b/>
                      <w:color w:val="000000"/>
                      <w:sz w:val="20"/>
                    </w:rPr>
                    <w:t>(W/m</w:t>
                  </w:r>
                  <w:r>
                    <w:rPr>
                      <w:rFonts w:asciiTheme="minorHAnsi" w:hAnsiTheme="minorHAnsi"/>
                      <w:b/>
                      <w:color w:val="000000"/>
                      <w:sz w:val="20"/>
                      <w:vertAlign w:val="superscript"/>
                    </w:rPr>
                    <w:t>2</w:t>
                  </w:r>
                  <w:r>
                    <w:rPr>
                      <w:rFonts w:asciiTheme="minorHAnsi" w:hAnsiTheme="minorHAnsi"/>
                      <w:b/>
                      <w:color w:val="000000"/>
                      <w:sz w:val="20"/>
                    </w:rPr>
                    <w:t>)</w:t>
                  </w:r>
                </w:p>
              </w:tc>
              <w:tc>
                <w:tcPr>
                  <w:tcW w:w="1470" w:type="dxa"/>
                  <w:tcBorders>
                    <w:top w:val="single" w:sz="4" w:space="0" w:color="auto"/>
                    <w:left w:val="single" w:sz="4" w:space="0" w:color="auto"/>
                    <w:bottom w:val="single" w:sz="4" w:space="0" w:color="auto"/>
                    <w:right w:val="single" w:sz="4" w:space="0" w:color="auto"/>
                  </w:tcBorders>
                  <w:noWrap/>
                  <w:hideMark/>
                </w:tcPr>
                <w:p w14:paraId="77391CCF" w14:textId="77777777" w:rsidR="00873667" w:rsidRDefault="00873667">
                  <w:pPr>
                    <w:widowControl/>
                    <w:suppressAutoHyphens w:val="0"/>
                    <w:spacing w:after="0" w:line="240" w:lineRule="auto"/>
                    <w:jc w:val="center"/>
                    <w:rPr>
                      <w:rFonts w:asciiTheme="minorHAnsi" w:eastAsia="Times New Roman" w:hAnsiTheme="minorHAnsi" w:cstheme="minorHAnsi"/>
                      <w:b/>
                      <w:bCs/>
                      <w:color w:val="000000"/>
                      <w:kern w:val="0"/>
                      <w:sz w:val="20"/>
                      <w:szCs w:val="20"/>
                    </w:rPr>
                  </w:pPr>
                  <w:r>
                    <w:rPr>
                      <w:rFonts w:asciiTheme="minorHAnsi" w:hAnsiTheme="minorHAnsi"/>
                      <w:b/>
                      <w:color w:val="000000"/>
                      <w:sz w:val="20"/>
                    </w:rPr>
                    <w:t>(W/m</w:t>
                  </w:r>
                  <w:r>
                    <w:rPr>
                      <w:rFonts w:asciiTheme="minorHAnsi" w:hAnsiTheme="minorHAnsi"/>
                      <w:b/>
                      <w:color w:val="000000"/>
                      <w:sz w:val="20"/>
                      <w:vertAlign w:val="superscript"/>
                    </w:rPr>
                    <w:t>2</w:t>
                  </w:r>
                  <w:r>
                    <w:rPr>
                      <w:rFonts w:asciiTheme="minorHAnsi" w:hAnsiTheme="minorHAnsi"/>
                      <w:b/>
                      <w:color w:val="000000"/>
                      <w:sz w:val="20"/>
                    </w:rPr>
                    <w:t>)</w:t>
                  </w:r>
                </w:p>
              </w:tc>
            </w:tr>
            <w:tr w:rsidR="00873667" w:rsidRPr="00404725" w14:paraId="3B896DC8"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B32FB69"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0,1 do 400 MHz</w:t>
                  </w:r>
                </w:p>
              </w:tc>
              <w:tc>
                <w:tcPr>
                  <w:tcW w:w="1224" w:type="dxa"/>
                  <w:tcBorders>
                    <w:top w:val="single" w:sz="4" w:space="0" w:color="auto"/>
                    <w:left w:val="single" w:sz="4" w:space="0" w:color="auto"/>
                    <w:bottom w:val="single" w:sz="4" w:space="0" w:color="auto"/>
                    <w:right w:val="single" w:sz="4" w:space="0" w:color="auto"/>
                  </w:tcBorders>
                  <w:noWrap/>
                  <w:hideMark/>
                </w:tcPr>
                <w:p w14:paraId="5DE3C701"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0,2497</w:t>
                  </w:r>
                </w:p>
              </w:tc>
              <w:tc>
                <w:tcPr>
                  <w:tcW w:w="1470" w:type="dxa"/>
                  <w:tcBorders>
                    <w:top w:val="single" w:sz="4" w:space="0" w:color="auto"/>
                    <w:left w:val="single" w:sz="4" w:space="0" w:color="auto"/>
                    <w:bottom w:val="single" w:sz="4" w:space="0" w:color="auto"/>
                    <w:right w:val="single" w:sz="4" w:space="0" w:color="auto"/>
                  </w:tcBorders>
                  <w:noWrap/>
                  <w:hideMark/>
                </w:tcPr>
                <w:p w14:paraId="065665BB"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0,0994</w:t>
                  </w:r>
                </w:p>
              </w:tc>
            </w:tr>
            <w:tr w:rsidR="00873667" w:rsidRPr="00404725" w14:paraId="093A4907"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2456A00"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400 do 2 000 MHz</w:t>
                  </w:r>
                </w:p>
              </w:tc>
              <w:tc>
                <w:tcPr>
                  <w:tcW w:w="1224" w:type="dxa"/>
                  <w:tcBorders>
                    <w:top w:val="single" w:sz="4" w:space="0" w:color="auto"/>
                    <w:left w:val="single" w:sz="4" w:space="0" w:color="auto"/>
                    <w:bottom w:val="single" w:sz="4" w:space="0" w:color="auto"/>
                    <w:right w:val="single" w:sz="4" w:space="0" w:color="auto"/>
                  </w:tcBorders>
                  <w:noWrap/>
                  <w:hideMark/>
                </w:tcPr>
                <w:p w14:paraId="5C003B65"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m:oMath>
                    <m:r>
                      <w:rPr>
                        <w:rFonts w:ascii="Cambria Math" w:eastAsia="Times New Roman" w:hAnsi="Cambria Math" w:cstheme="minorHAnsi"/>
                        <w:color w:val="000000"/>
                        <w:kern w:val="0"/>
                        <w:sz w:val="20"/>
                        <w:szCs w:val="20"/>
                        <w:lang w:val="nl-NL"/>
                      </w:rPr>
                      <m:t>f</m:t>
                    </m:r>
                    <m:r>
                      <w:rPr>
                        <w:rFonts w:ascii="Cambria Math" w:eastAsia="Times New Roman" w:hAnsi="Cambria Math" w:cstheme="minorHAnsi"/>
                        <w:color w:val="000000"/>
                        <w:kern w:val="0"/>
                        <w:sz w:val="20"/>
                        <w:szCs w:val="20"/>
                        <w:lang w:val="pl-PL"/>
                      </w:rPr>
                      <m:t xml:space="preserve"> </m:t>
                    </m:r>
                  </m:oMath>
                  <w:r>
                    <w:rPr>
                      <w:rFonts w:asciiTheme="minorHAnsi" w:hAnsiTheme="minorHAnsi"/>
                      <w:color w:val="000000"/>
                      <w:sz w:val="20"/>
                    </w:rPr>
                    <w:t>/1 597,28</w:t>
                  </w:r>
                </w:p>
              </w:tc>
              <w:tc>
                <w:tcPr>
                  <w:tcW w:w="1470" w:type="dxa"/>
                  <w:tcBorders>
                    <w:top w:val="single" w:sz="4" w:space="0" w:color="auto"/>
                    <w:left w:val="single" w:sz="4" w:space="0" w:color="auto"/>
                    <w:bottom w:val="single" w:sz="4" w:space="0" w:color="auto"/>
                    <w:right w:val="single" w:sz="4" w:space="0" w:color="auto"/>
                  </w:tcBorders>
                  <w:noWrap/>
                  <w:hideMark/>
                </w:tcPr>
                <w:p w14:paraId="0FF370C7"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f / 4 012.19</w:t>
                  </w:r>
                </w:p>
              </w:tc>
            </w:tr>
            <w:tr w:rsidR="00873667" w:rsidRPr="00404725" w14:paraId="4F14AD5C"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1C105701"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2 do 300 GHz</w:t>
                  </w:r>
                </w:p>
              </w:tc>
              <w:tc>
                <w:tcPr>
                  <w:tcW w:w="1224" w:type="dxa"/>
                  <w:tcBorders>
                    <w:top w:val="single" w:sz="4" w:space="0" w:color="auto"/>
                    <w:left w:val="single" w:sz="4" w:space="0" w:color="auto"/>
                    <w:bottom w:val="single" w:sz="4" w:space="0" w:color="auto"/>
                    <w:right w:val="single" w:sz="4" w:space="0" w:color="auto"/>
                  </w:tcBorders>
                  <w:noWrap/>
                  <w:hideMark/>
                </w:tcPr>
                <w:p w14:paraId="39E68373"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1,2539</w:t>
                  </w:r>
                </w:p>
              </w:tc>
              <w:tc>
                <w:tcPr>
                  <w:tcW w:w="1470" w:type="dxa"/>
                  <w:tcBorders>
                    <w:top w:val="single" w:sz="4" w:space="0" w:color="auto"/>
                    <w:left w:val="single" w:sz="4" w:space="0" w:color="auto"/>
                    <w:bottom w:val="single" w:sz="4" w:space="0" w:color="auto"/>
                    <w:right w:val="single" w:sz="4" w:space="0" w:color="auto"/>
                  </w:tcBorders>
                  <w:noWrap/>
                  <w:hideMark/>
                </w:tcPr>
                <w:p w14:paraId="5B4DB48F"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0,4992</w:t>
                  </w:r>
                </w:p>
              </w:tc>
            </w:tr>
          </w:tbl>
          <w:p w14:paraId="674B9356" w14:textId="77777777" w:rsidR="00873667" w:rsidRDefault="00873667">
            <w:pPr>
              <w:spacing w:after="0" w:line="240" w:lineRule="auto"/>
              <w:ind w:left="352"/>
              <w:jc w:val="both"/>
              <w:rPr>
                <w:rFonts w:asciiTheme="minorHAnsi" w:hAnsiTheme="minorHAnsi"/>
                <w:sz w:val="20"/>
                <w:szCs w:val="20"/>
              </w:rPr>
            </w:pPr>
            <w:r>
              <w:rPr>
                <w:rFonts w:ascii="Times New Roman" w:hAnsi="Times New Roman"/>
                <w:sz w:val="20"/>
              </w:rPr>
              <w:t xml:space="preserve">pri čemer je </w:t>
            </w:r>
            <m:oMath>
              <m:r>
                <w:rPr>
                  <w:rFonts w:ascii="Cambria Math" w:hAnsi="Cambria Math"/>
                  <w:sz w:val="20"/>
                  <w:szCs w:val="20"/>
                  <w:lang w:val="nl-NL"/>
                </w:rPr>
                <m:t>f</m:t>
              </m:r>
              <m:r>
                <w:rPr>
                  <w:rFonts w:ascii="Cambria Math" w:hAnsi="Cambria Math"/>
                  <w:sz w:val="20"/>
                  <w:szCs w:val="20"/>
                  <w:lang w:val="pl-PL"/>
                </w:rPr>
                <m:t xml:space="preserve"> </m:t>
              </m:r>
            </m:oMath>
            <w:r>
              <w:rPr>
                <w:rFonts w:ascii="Times New Roman" w:hAnsi="Times New Roman"/>
                <w:sz w:val="20"/>
              </w:rPr>
              <w:t xml:space="preserve"> frekvenca, izražena v MHz.</w:t>
            </w:r>
          </w:p>
          <w:p w14:paraId="2801D7D3" w14:textId="77777777" w:rsidR="00AC2FE0" w:rsidRDefault="00873667">
            <w:pPr>
              <w:pStyle w:val="ListParagraph"/>
              <w:widowControl/>
              <w:suppressAutoHyphens w:val="0"/>
              <w:spacing w:after="0" w:line="240" w:lineRule="auto"/>
              <w:ind w:left="360"/>
              <w:jc w:val="both"/>
              <w:rPr>
                <w:rFonts w:asciiTheme="minorHAnsi" w:eastAsia="Times New Roman" w:hAnsiTheme="minorHAnsi" w:cstheme="minorHAnsi"/>
                <w:sz w:val="20"/>
                <w:szCs w:val="20"/>
              </w:rPr>
            </w:pPr>
            <w:r>
              <w:rPr>
                <w:rFonts w:asciiTheme="minorHAnsi" w:hAnsiTheme="minorHAnsi"/>
                <w:sz w:val="20"/>
              </w:rPr>
              <w:t xml:space="preserve">Zgolj informativno, pri 900 MHz standard </w:t>
            </w:r>
          </w:p>
          <w:p w14:paraId="5960402E" w14:textId="451DEC5F" w:rsidR="00873667" w:rsidRDefault="00000000">
            <w:pPr>
              <w:pStyle w:val="ListParagraph"/>
              <w:widowControl/>
              <w:suppressAutoHyphens w:val="0"/>
              <w:spacing w:after="0" w:line="240" w:lineRule="auto"/>
              <w:ind w:left="360"/>
              <w:jc w:val="both"/>
              <w:rPr>
                <w:rFonts w:asciiTheme="minorHAnsi" w:hAnsiTheme="minorHAnsi"/>
                <w:sz w:val="20"/>
                <w:szCs w:val="20"/>
              </w:rPr>
            </w:pP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rPr>
                    <m:t>S</m:t>
                  </m:r>
                </m:e>
                <m:sub>
                  <m:r>
                    <w:rPr>
                      <w:rFonts w:ascii="Cambria Math" w:eastAsia="Times New Roman" w:hAnsi="Cambria Math" w:cstheme="minorHAnsi"/>
                      <w:color w:val="000000"/>
                      <w:kern w:val="0"/>
                      <w:sz w:val="20"/>
                      <w:szCs w:val="20"/>
                    </w:rPr>
                    <m:t>int</m:t>
                  </m:r>
                </m:sub>
              </m:sSub>
            </m:oMath>
            <w:r w:rsidR="00C4092C">
              <w:rPr>
                <w:rFonts w:asciiTheme="minorHAnsi" w:hAnsiTheme="minorHAnsi"/>
                <w:sz w:val="20"/>
              </w:rPr>
              <w:t xml:space="preserve"> = 0,2243 W/m² ustreza električnemu polju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int</m:t>
                  </m:r>
                </m:sub>
              </m:sSub>
            </m:oMath>
            <w:r w:rsidR="00C4092C">
              <w:rPr>
                <w:rFonts w:asciiTheme="minorHAnsi" w:hAnsiTheme="minorHAnsi"/>
                <w:sz w:val="20"/>
              </w:rPr>
              <w:t xml:space="preserve"> = 9,19 V/m, medtem ko standard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rPr>
                    <m:t>S</m:t>
                  </m:r>
                </m:e>
                <m:sub>
                  <m:r>
                    <w:rPr>
                      <w:rFonts w:ascii="Cambria Math" w:eastAsia="Times New Roman" w:hAnsi="Cambria Math" w:cstheme="minorHAnsi"/>
                      <w:sz w:val="20"/>
                      <w:szCs w:val="20"/>
                    </w:rPr>
                    <m:t>ext</m:t>
                  </m:r>
                </m:sub>
              </m:sSub>
            </m:oMath>
            <w:r w:rsidR="00C4092C">
              <w:rPr>
                <w:rFonts w:asciiTheme="minorHAnsi" w:hAnsiTheme="minorHAnsi"/>
                <w:sz w:val="20"/>
              </w:rPr>
              <w:t xml:space="preserve">= 0,5635 W/m² ustreza električnemu polju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ext</m:t>
                  </m:r>
                </m:sub>
              </m:sSub>
            </m:oMath>
            <w:r w:rsidR="00C4092C">
              <w:rPr>
                <w:rFonts w:asciiTheme="minorHAnsi" w:hAnsiTheme="minorHAnsi"/>
                <w:sz w:val="20"/>
              </w:rPr>
              <w:t xml:space="preserve"> = 14,57 V/m.</w:t>
            </w:r>
          </w:p>
          <w:p w14:paraId="5C8AFAC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V nasprotju s prejšnjim pododstavkom gostota moči neionizirajočega sevanja, ki velja za javno dostopne zaprte prostore, velja tudi za javno dostopna območja na prostem, ko se na teh območjih odprejo okna ali vrata, ki se odpirajo navzven.“;</w:t>
            </w:r>
          </w:p>
          <w:p w14:paraId="5AC47F5C" w14:textId="77777777" w:rsidR="00873667" w:rsidRPr="00E81EE8" w:rsidRDefault="00873667">
            <w:pPr>
              <w:widowControl/>
              <w:suppressAutoHyphens w:val="0"/>
              <w:spacing w:after="0" w:line="240" w:lineRule="auto"/>
              <w:jc w:val="both"/>
              <w:rPr>
                <w:rFonts w:asciiTheme="minorHAnsi" w:hAnsiTheme="minorHAnsi"/>
                <w:sz w:val="20"/>
                <w:szCs w:val="20"/>
              </w:rPr>
            </w:pPr>
          </w:p>
          <w:p w14:paraId="3F56D40C"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vstavi se odstavek 1b, ki se glasi:</w:t>
            </w:r>
          </w:p>
          <w:p w14:paraId="0111B238"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„Oddelek 1b. Za sestavljena elektromagnetna polja veljajo naslednje omejitve za elektromagnetna polja v javno dostopnih zaprtih prostorih in na javno dostopnih območjih na prostem:</w:t>
            </w:r>
          </w:p>
          <w:p w14:paraId="1EEECA5D" w14:textId="77777777" w:rsidR="00873667" w:rsidRDefault="00873667">
            <w:pPr>
              <w:spacing w:after="0" w:line="240" w:lineRule="auto"/>
              <w:ind w:left="352"/>
              <w:jc w:val="both"/>
              <w:rPr>
                <w:rFonts w:asciiTheme="minorHAnsi" w:hAnsiTheme="minorHAnsi"/>
                <w:sz w:val="20"/>
                <w:szCs w:val="20"/>
              </w:rPr>
            </w:pPr>
            <m:oMathPara>
              <m:oMath>
                <m:r>
                  <w:rPr>
                    <w:rFonts w:ascii="Cambria Math" w:hAnsi="Cambria Math"/>
                    <w:sz w:val="20"/>
                    <w:szCs w:val="20"/>
                  </w:rPr>
                  <m:t> </m:t>
                </m:r>
                <m:nary>
                  <m:naryPr>
                    <m:chr m:val="∑"/>
                    <m:ctrlPr>
                      <w:rPr>
                        <w:rFonts w:ascii="Cambria Math" w:hAnsi="Cambria Math"/>
                        <w:i/>
                        <w:iCs/>
                        <w:lang w:val="nl-NL"/>
                      </w:rPr>
                    </m:ctrlPr>
                  </m:naryPr>
                  <m:sub>
                    <m:r>
                      <w:rPr>
                        <w:rFonts w:ascii="Cambria Math" w:hAnsi="Cambria Math"/>
                        <w:sz w:val="20"/>
                        <w:szCs w:val="20"/>
                        <w:lang w:val="nl-NL"/>
                      </w:rPr>
                      <m:t>100 KHz</m:t>
                    </m:r>
                  </m:sub>
                  <m:sup>
                    <m:r>
                      <w:rPr>
                        <w:rFonts w:ascii="Cambria Math" w:hAnsi="Cambria Math"/>
                        <w:sz w:val="20"/>
                        <w:szCs w:val="20"/>
                        <w:lang w:val="nl-NL"/>
                      </w:rPr>
                      <m:t>300 GHz</m:t>
                    </m:r>
                  </m:sup>
                  <m:e>
                    <m:d>
                      <m:dPr>
                        <m:ctrlPr>
                          <w:rPr>
                            <w:rFonts w:ascii="Cambria Math" w:hAnsi="Cambria Math"/>
                            <w:i/>
                            <w:iCs/>
                            <w:lang w:val="nl-NL"/>
                          </w:rPr>
                        </m:ctrlPr>
                      </m:dPr>
                      <m:e>
                        <m:f>
                          <m:fPr>
                            <m:ctrlPr>
                              <w:rPr>
                                <w:rFonts w:ascii="Cambria Math" w:hAnsi="Cambria Math"/>
                                <w:i/>
                                <w:iCs/>
                                <w:lang w:val="nl-NL"/>
                              </w:rPr>
                            </m:ctrlPr>
                          </m:fPr>
                          <m:num>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i</m:t>
                                </m:r>
                              </m:sub>
                            </m:sSub>
                          </m:num>
                          <m:den>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 r i</m:t>
                                </m:r>
                              </m:sub>
                            </m:sSub>
                          </m:den>
                        </m:f>
                      </m:e>
                    </m:d>
                  </m:e>
                </m:nary>
                <m:r>
                  <w:rPr>
                    <w:rFonts w:ascii="Cambria Math" w:hAnsi="Cambria Math"/>
                    <w:sz w:val="20"/>
                    <w:szCs w:val="20"/>
                    <w:lang w:val="nl-NL"/>
                  </w:rPr>
                  <m:t>≤1</m:t>
                </m:r>
              </m:oMath>
            </m:oMathPara>
          </w:p>
          <w:p w14:paraId="49D61838"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pri čemer je:</w:t>
            </w:r>
          </w:p>
          <w:p w14:paraId="356BF7CB" w14:textId="77777777" w:rsidR="00873667" w:rsidRDefault="00000000" w:rsidP="00242999">
            <w:pPr>
              <w:pStyle w:val="ListParagraph"/>
              <w:numPr>
                <w:ilvl w:val="0"/>
                <w:numId w:val="3"/>
              </w:numPr>
              <w:spacing w:after="0" w:line="240" w:lineRule="auto"/>
              <w:jc w:val="both"/>
              <w:rPr>
                <w:rFonts w:asciiTheme="minorHAnsi" w:hAnsiTheme="minorHAnsi"/>
                <w:sz w:val="20"/>
                <w:szCs w:val="20"/>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i</m:t>
                  </m:r>
                </m:sub>
              </m:sSub>
            </m:oMath>
            <w:r w:rsidR="00C4092C">
              <w:rPr>
                <w:rFonts w:asciiTheme="minorHAnsi" w:hAnsiTheme="minorHAnsi"/>
                <w:sz w:val="20"/>
              </w:rPr>
              <w:t xml:space="preserve"> gostota moči pri frekvenci i;</w:t>
            </w:r>
          </w:p>
          <w:p w14:paraId="0A0E0802" w14:textId="77777777" w:rsidR="00873667" w:rsidRDefault="00000000" w:rsidP="00242999">
            <w:pPr>
              <w:pStyle w:val="ListParagraph"/>
              <w:numPr>
                <w:ilvl w:val="0"/>
                <w:numId w:val="3"/>
              </w:numPr>
              <w:spacing w:after="0" w:line="240" w:lineRule="auto"/>
              <w:jc w:val="both"/>
              <w:rPr>
                <w:rFonts w:asciiTheme="minorHAnsi" w:hAnsiTheme="minorHAnsi"/>
                <w:sz w:val="20"/>
                <w:szCs w:val="20"/>
              </w:rPr>
            </w:pPr>
            <m:oMath>
              <m:sSub>
                <m:sSubPr>
                  <m:ctrlPr>
                    <w:rPr>
                      <w:rFonts w:ascii="Cambria Math" w:hAnsi="Cambria Math"/>
                      <w:i/>
                      <w:lang w:val="nl-NL"/>
                    </w:rPr>
                  </m:ctrlPr>
                </m:sSubPr>
                <m:e>
                  <m:r>
                    <w:rPr>
                      <w:rFonts w:ascii="Cambria Math" w:hAnsi="Cambria Math"/>
                      <w:sz w:val="20"/>
                      <w:szCs w:val="20"/>
                    </w:rPr>
                    <m:t>S</m:t>
                  </m:r>
                </m:e>
                <m:sub>
                  <m:r>
                    <w:rPr>
                      <w:rFonts w:ascii="Cambria Math" w:hAnsi="Cambria Math"/>
                      <w:sz w:val="20"/>
                      <w:szCs w:val="20"/>
                    </w:rPr>
                    <m:t>ri</m:t>
                  </m:r>
                </m:sub>
              </m:sSub>
            </m:oMath>
            <w:r w:rsidR="00C4092C">
              <w:rPr>
                <w:rFonts w:asciiTheme="minorHAnsi" w:hAnsiTheme="minorHAnsi"/>
                <w:sz w:val="20"/>
              </w:rPr>
              <w:t xml:space="preserve"> meja gostote moči pri frekvenci i, kot je opredeljena v preglednici iz oddelka 1a tega člena. </w:t>
            </w:r>
          </w:p>
          <w:p w14:paraId="5755DF5C"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Gostota moči sevanja se izračuna in/ali izmeri v skladu s postopki, ki jih določi vlada, zlasti na podlagi nasvetov in priporočil pristojnih mednarodnih organov.“;</w:t>
            </w:r>
          </w:p>
          <w:p w14:paraId="1466B3D3"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30D729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5F26CB0"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040879B"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vstavi se odstavek 1c, ki se glasi: </w:t>
            </w:r>
          </w:p>
          <w:p w14:paraId="769F464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„Oddelek 1c.  Antene, ki proizvajajo neionizirajoče sevanje v frekvenčnem območju med 20 GHz in 300 GHz, so prepovedane. Vlada je pooblaščena za odobritev teh anten v skladu z dovoljenji, ki jih izdajo druge ravni oblasti.</w:t>
            </w:r>
          </w:p>
          <w:p w14:paraId="5757430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Za antene z mikrovalovno povezavo prepoved iz prejšnjega pododstavka ne velja.“;</w:t>
            </w:r>
          </w:p>
          <w:p w14:paraId="49B3DA95"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13D55AF3"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v pododstavku 1 odstavka 2, se beseda „devet“ nadomesti z besedilom „med sedem in trinajst“;</w:t>
            </w:r>
          </w:p>
          <w:p w14:paraId="7B0EE76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5D147EC"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v pododstavku 3 odstavka 2 se besedilo „gospodarske in javnozdravstvene zahteve“ nadomesti z besedilom „gospodarstvo, javno zdravje in okoljske zahteve“; </w:t>
            </w:r>
          </w:p>
          <w:p w14:paraId="48C0DE0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2A11D230"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v pododstavku 3 odstavka 2 se stavek „Poročilo se objavi na spletišču bruseljskega inštituta za okoljsko ravnanje v treh mesecih po tem, ko ga vlada sprejme.“ nadomesti s stavkom „Vlada poročilo vsako leto predloži parlamentu, bruseljska agencija za okolje [Brussels Environment] pa ga objavi na svojem spletišču v treh mesecih po tem, ko ga vlada sprejme.“;</w:t>
            </w:r>
          </w:p>
          <w:p w14:paraId="08B93EA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5A53D85"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v pododstavku 3 odstavka 2 se stavek „Prvo poročilo se vladi predloži najpozneje do 1. septembra 2014“ razveljavi;</w:t>
            </w:r>
          </w:p>
          <w:p w14:paraId="6F3601A3" w14:textId="77777777" w:rsidR="00873667" w:rsidRDefault="00873667">
            <w:pPr>
              <w:pStyle w:val="ListParagraph"/>
              <w:rPr>
                <w:rFonts w:asciiTheme="minorHAnsi" w:hAnsiTheme="minorHAnsi"/>
                <w:sz w:val="20"/>
                <w:szCs w:val="20"/>
              </w:rPr>
            </w:pPr>
          </w:p>
          <w:p w14:paraId="05E9C0C1"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v pododstavku 4 odstavka 2 se besedilo „operaterji naprav, ki lahko proizvajajo ali oddajajo neionizirajoče sevanje“ in besedilo „bruseljska agencija za okolje“ nadomestita z besedilom „operaterji in radiodifuzijske hiše“ oziroma besedilom „bruseljska agencija za okolje ter bruseljska agencija za urbanistično načrtovanje in dediščino [Bruxelles Urbanisme et Patrimoine]“;</w:t>
            </w:r>
          </w:p>
          <w:p w14:paraId="73946D5F" w14:textId="77777777" w:rsidR="00873667" w:rsidRDefault="00873667">
            <w:pPr>
              <w:pStyle w:val="ListParagraph"/>
              <w:rPr>
                <w:rFonts w:asciiTheme="minorHAnsi" w:hAnsiTheme="minorHAnsi"/>
                <w:sz w:val="20"/>
                <w:szCs w:val="20"/>
              </w:rPr>
            </w:pPr>
          </w:p>
          <w:p w14:paraId="2034DDBC" w14:textId="77777777" w:rsidR="00873667" w:rsidRDefault="00873667" w:rsidP="00C4092C">
            <w:pPr>
              <w:pStyle w:val="ListParagraph"/>
              <w:keepNext/>
              <w:widowControl/>
              <w:numPr>
                <w:ilvl w:val="0"/>
                <w:numId w:val="2"/>
              </w:numPr>
              <w:suppressAutoHyphens w:val="0"/>
              <w:spacing w:after="0" w:line="240" w:lineRule="auto"/>
              <w:ind w:left="357" w:hanging="357"/>
              <w:jc w:val="both"/>
              <w:rPr>
                <w:rFonts w:asciiTheme="minorHAnsi" w:hAnsiTheme="minorHAnsi"/>
                <w:sz w:val="20"/>
                <w:szCs w:val="20"/>
              </w:rPr>
            </w:pPr>
            <w:r>
              <w:rPr>
                <w:rFonts w:asciiTheme="minorHAnsi" w:hAnsiTheme="minorHAnsi"/>
                <w:sz w:val="20"/>
              </w:rPr>
              <w:t>oddelek 2 se dopolni z novim pododstavkom, ki se glasi:</w:t>
            </w:r>
          </w:p>
          <w:p w14:paraId="272B317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 Odbor poda mnenje o vseh osnutkih sprememb tega odloka in o sprejetju ali spremembi njegovih izvedbenih ukrepov. </w:t>
            </w:r>
          </w:p>
          <w:p w14:paraId="3F15769A"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lastRenderedPageBreak/>
              <w:t>Odbor lahko sodeluje s katerim koli znanstvenim strokovnjakom ali skupino strokovnjakov, vzpostavljeno na mednarodni, zvezni, regionalni ali lokalni ravni.“;</w:t>
            </w:r>
          </w:p>
          <w:p w14:paraId="3573B9A7" w14:textId="77777777" w:rsidR="00873667" w:rsidRPr="00E81EE8" w:rsidRDefault="00873667">
            <w:pPr>
              <w:widowControl/>
              <w:suppressAutoHyphens w:val="0"/>
              <w:spacing w:after="0" w:line="240" w:lineRule="auto"/>
              <w:jc w:val="both"/>
              <w:rPr>
                <w:rFonts w:asciiTheme="minorHAnsi" w:hAnsiTheme="minorHAnsi"/>
                <w:sz w:val="20"/>
                <w:szCs w:val="20"/>
              </w:rPr>
            </w:pPr>
          </w:p>
          <w:p w14:paraId="33A60EFD"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vstavi se odstavek 3, ki se glasi: </w:t>
            </w:r>
          </w:p>
          <w:p w14:paraId="0499D927"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„Oddelek 3. Vlada z operaterji sklene listino o dobrem ravnanju, katere namen je državljanom zagotoviti čim večjo preglednost pri razvoju mobilnih telefonskih omrežij, vzpostaviti enega ali več načinov ravnanja za operaterje na tehnični, okoljski in javnozdravstveni ravni in/ali določiti cilje za operaterje v zvezi z ravnanjem z odpadki v okviru razvoja mobilnih telefonskih omrežij.</w:t>
            </w:r>
          </w:p>
          <w:p w14:paraId="1D2C6D7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Gospodarski subjekti lahko skupaj sklenejo, spremenijo ali obnovijo okoljski sporazum z regijo v skladu z določbami Odloka z dne 29. aprila 2004 o okoljskih sporazumih.“;</w:t>
            </w:r>
          </w:p>
          <w:p w14:paraId="4C6FF580" w14:textId="77777777" w:rsidR="00873667" w:rsidRPr="00E81EE8" w:rsidRDefault="00873667">
            <w:pPr>
              <w:spacing w:after="0" w:line="240" w:lineRule="auto"/>
              <w:ind w:left="352"/>
              <w:jc w:val="both"/>
              <w:rPr>
                <w:rFonts w:asciiTheme="minorHAnsi" w:hAnsiTheme="minorHAnsi"/>
                <w:sz w:val="20"/>
                <w:szCs w:val="20"/>
              </w:rPr>
            </w:pPr>
          </w:p>
          <w:p w14:paraId="7E29FAB9" w14:textId="77777777" w:rsidR="00873667" w:rsidRDefault="00873667" w:rsidP="00242999">
            <w:pPr>
              <w:pStyle w:val="ListParagraph"/>
              <w:numPr>
                <w:ilvl w:val="0"/>
                <w:numId w:val="2"/>
              </w:numPr>
              <w:spacing w:after="0" w:line="240" w:lineRule="auto"/>
              <w:jc w:val="both"/>
              <w:rPr>
                <w:rFonts w:asciiTheme="minorHAnsi" w:hAnsiTheme="minorHAnsi"/>
                <w:sz w:val="20"/>
                <w:szCs w:val="20"/>
              </w:rPr>
            </w:pPr>
            <w:r>
              <w:rPr>
                <w:rFonts w:asciiTheme="minorHAnsi" w:hAnsiTheme="minorHAnsi"/>
                <w:sz w:val="20"/>
              </w:rPr>
              <w:t>vstavi se odstavek 4, ki se glasi:</w:t>
            </w:r>
          </w:p>
          <w:p w14:paraId="2B84997F"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„Oddelek 4. Če so standardi iz odstavka 1a preseženi, se uporablja ta odstavek. </w:t>
            </w:r>
          </w:p>
          <w:p w14:paraId="19017495"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Operaterji, katerih antene prispevajo k preseganju standardov iz odstavka 1a, zmanjšajo električno polje, ki ga oddajajo njihove antene, tako da se upoštevajo standardi iz odstavka 1a, po potrebi na podlagi medsebojnega posvetovanja in posvetovanja z radiodifuzijskimi hišami.</w:t>
            </w:r>
          </w:p>
          <w:p w14:paraId="67E22AA1"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Radiodifuzijske hiše, katerih antene prispevajo k preseganju standardov iz odstavka 1a, operaterjem in bruseljski agenciji za okolje zagotovijo vse tehnične informacije v zvezi z neionizirajočim sevanjem zadevnih anten, če se razlikujejo od informacij, zagotovljenih v skladu s členom 4. </w:t>
            </w:r>
          </w:p>
          <w:p w14:paraId="6A8A4CA9"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Vlada lahko določi postopek tega posvetovanja in metodo, ki jo morajo operaterji uporabiti, da bi po potrebi zmanjšali svoj delež glede na gostoto moči, ki pomeni preseganje standardov iz odstavka 1a. Vlada določi pogoje v primeru dogovora med operaterji in, če sporazuma ni, obveznosti, ki se jim lahko naložijo. </w:t>
            </w:r>
          </w:p>
          <w:p w14:paraId="56ABD7FE"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Z odstopanjem od odstavka 1a, če obveznosti, naložene operaterjem v skladu s prejšnjim pododstavkom, ali kateri koli drugi ukrepi, ki jih izvajajo operaterji ali radiodifuzijske hiše, ne omogočajo zadostnega zmanjšanja gostote moči zadevnih anten, da se zagotovi skladnost s standardi iz odstavka 1a, morajo samo operaterji, ki so vpleteni v preseganje, skupaj in ob upoštevanju informacij, predloženih v skladu z odstavkom 3 in členom 4, izpolnjevati 42,6 % oziroma 17 % standarda iz odstavka 1a v javno dostopnih zaprtih prostorih in na javno dostopnih območjih na prostem. </w:t>
            </w:r>
          </w:p>
          <w:p w14:paraId="198A1AFF"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Izjema iz prejšnjega pododstavka se ne sme nikoli uporabiti v primeru gostote neionizirajočega sevanja v javno dostopnih zaprtih prostorih in na javno dostopnih območjih na prostem, ki je višja od gostote iz Priporočila Sveta 1999/519/ES z dne 12. julija 1999 o omejevanju izpostavljenosti javnosti elektromagnetnim poljem (od 0 Hz do 300 GHz) in njegovega prihodnjega razvoja, in se lahko nanaša le na 0,0065 % talnih površin in ovojev stavb iz podatkovne zbirke Urbis-Adm 3D. Vlada ima lahko določi nižje meje. Bruseljska agencija za okolje za vlado in odbor vodi seznam, na katerem so navedeni primeri uporabe iz pododstavka 5.“.</w:t>
            </w:r>
          </w:p>
          <w:p w14:paraId="623A5571" w14:textId="77777777" w:rsidR="00873667" w:rsidRPr="00E81EE8" w:rsidRDefault="00873667">
            <w:pPr>
              <w:spacing w:after="0" w:line="240" w:lineRule="auto"/>
              <w:jc w:val="both"/>
              <w:rPr>
                <w:rFonts w:asciiTheme="minorHAnsi" w:hAnsiTheme="minorHAnsi"/>
                <w:sz w:val="20"/>
                <w:szCs w:val="20"/>
              </w:rPr>
            </w:pPr>
          </w:p>
        </w:tc>
      </w:tr>
      <w:tr w:rsidR="00873667" w:rsidRPr="00404725" w14:paraId="7F775EB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0785F"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Člen 4.</w:t>
            </w:r>
          </w:p>
          <w:p w14:paraId="7BA6CE1E"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Oddelek 1. Za členom 3 odloka se vstavi naslednji naslov: „ Splošna obveznost operaterjev“.</w:t>
            </w:r>
          </w:p>
          <w:p w14:paraId="493E4D9C" w14:textId="77777777" w:rsidR="00873667" w:rsidRPr="00E81EE8" w:rsidRDefault="00873667">
            <w:pPr>
              <w:spacing w:after="0" w:line="240" w:lineRule="auto"/>
              <w:jc w:val="both"/>
              <w:rPr>
                <w:rFonts w:asciiTheme="minorHAnsi" w:hAnsiTheme="minorHAnsi"/>
                <w:sz w:val="20"/>
                <w:szCs w:val="20"/>
              </w:rPr>
            </w:pPr>
          </w:p>
          <w:p w14:paraId="7634251F" w14:textId="77777777" w:rsidR="00873667" w:rsidRPr="00E81EE8" w:rsidRDefault="00873667">
            <w:pPr>
              <w:spacing w:after="0" w:line="240" w:lineRule="auto"/>
              <w:jc w:val="both"/>
              <w:rPr>
                <w:rFonts w:asciiTheme="minorHAnsi" w:hAnsiTheme="minorHAnsi"/>
                <w:sz w:val="20"/>
                <w:szCs w:val="20"/>
              </w:rPr>
            </w:pPr>
          </w:p>
          <w:p w14:paraId="49811318"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Oddelek 2. Pod naslovom, vstavljenim z odstavkom 1, se vstavi člen 3a, ki se glasi:</w:t>
            </w:r>
          </w:p>
          <w:p w14:paraId="77C64ADE"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Člen 3a. Brez poseganja v člen 3 mora biti vsak operater in vsaka radiodifuzijska hiša, ki upravlja anteno na ozemlju regije glavnega mesta Bruselj, kadar koli sposobna utemeljiti skladnost s standardom emisij iz člena 3 in takoj sprejeti vse potrebne ukrepe, če se na kakršen koli način zaveda, da standard emisij iz člena 3 ni izpolnjen.”.</w:t>
            </w:r>
          </w:p>
          <w:p w14:paraId="0D332DF9" w14:textId="77777777" w:rsidR="00873667" w:rsidRPr="00E81EE8" w:rsidRDefault="00873667">
            <w:pPr>
              <w:spacing w:after="0" w:line="240" w:lineRule="auto"/>
              <w:jc w:val="both"/>
              <w:rPr>
                <w:rFonts w:asciiTheme="minorHAnsi" w:hAnsiTheme="minorHAnsi"/>
                <w:sz w:val="20"/>
                <w:szCs w:val="20"/>
              </w:rPr>
            </w:pPr>
          </w:p>
        </w:tc>
      </w:tr>
      <w:tr w:rsidR="00873667" w14:paraId="32D11D4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A0B6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Člen 5.</w:t>
            </w:r>
          </w:p>
          <w:p w14:paraId="6213E50D"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Oddelek 1. Naslov „Obveznosti operaterjev glede obveščanja“ med členom 3a in členom 4 zadevnega odloka se nadomesti z naslovom „Obveznost operaterjev in radiodifuzijskih hiš glede obveščanja“.</w:t>
            </w:r>
          </w:p>
          <w:p w14:paraId="304708E1" w14:textId="77777777" w:rsidR="00873667" w:rsidRPr="00E81EE8" w:rsidRDefault="00873667">
            <w:pPr>
              <w:spacing w:after="0" w:line="240" w:lineRule="auto"/>
              <w:jc w:val="both"/>
              <w:rPr>
                <w:rFonts w:asciiTheme="minorHAnsi" w:hAnsiTheme="minorHAnsi"/>
                <w:sz w:val="20"/>
                <w:szCs w:val="20"/>
              </w:rPr>
            </w:pPr>
          </w:p>
          <w:p w14:paraId="302C5B75"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Oddelek 2. Člen 4 odloka se nadomesti z naslednjim: </w:t>
            </w:r>
          </w:p>
          <w:p w14:paraId="30BD686D"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Člen 4. Oddelek 1.  Operaterji in radiodifuzijske hiše morajo Bruseljsko agencijo za okolje, bruseljsko agencijo za urbanistično načrtovanje in dediščino ter občino, na ozemlju katere se antena nahaja, obvestiti o značilnostih delovanja vseh anten, ki oddajajo neionizirajoče sevanje in katerih seznam določi vlada. Te značilnosti vključujejo zlasti natančno lokacijo in položaj namestitve, diagram sevanja, vrsto antene, frekvence oddajanja, kot naklona anten, višino in dimenzijo antene ter sevano moč. Vlada lahko določi seznam teh značilnosti, jih prilagodi v skladu s prejemniki ali doda druge značilnosti. Bruseljska agencija za okolje, bruseljska agencija za urbanistično načrtovanje in dediščino ter občine lahko uvedejo obrazec za posredovanje navedenih informacij. </w:t>
            </w:r>
          </w:p>
          <w:p w14:paraId="6D5BFE07"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Če je antena oddaljena manj kot 200 metrov od meje občine, se ta obveznost razširi za zadevno obmejno občino. </w:t>
            </w:r>
          </w:p>
          <w:p w14:paraId="7D2D49FA"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lastRenderedPageBreak/>
              <w:t>Oddelek 2. Operaterji in radiodifuzijske hiše morajo na prvo zahtevo bruseljske agencije za okolje posredovati vse zahtevane informacije, po potrebi vključno z izvlečkom iz podatkovnih zbirk o konfiguraciji omrežja s centra za upravljanje in vzdrževanje (OMC). Ta izvleček ali kateri koli drug podatek se lahko nanaša na vse antene, ki jih določi bruseljska agencija za okolje, in se zagotovi v elektronski obliki v 20 dneh od prejema zahteve. Te informacije morajo vsebovati vsaj največjo moč oddajnika pri izhodu tehničnih odprtin, število nosilnih frekvenc in električne nagibe, če so ti iz centra OMC konfigurirani na daljavo od OMC. Bruseljska agencija za okolje lahko opredeli informacije iz izvlečka, ki ga je treba predložiti, in njegovo obliko.</w:t>
            </w:r>
          </w:p>
          <w:p w14:paraId="4D7BEA57"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Oddelek 3. Operaterji, katerih seznam določi vlada, bruseljski agenciji za okolje vsako leto pošljejo poročilo o energijski učinkovitosti glede na tehnologijo in porabo energije anten in njihovega omrežja. Vlada določi minimalno vsebino poročila.“.</w:t>
            </w:r>
          </w:p>
          <w:p w14:paraId="25D9E273" w14:textId="77777777" w:rsidR="00873667" w:rsidRDefault="00873667">
            <w:pPr>
              <w:spacing w:after="0" w:line="240" w:lineRule="auto"/>
              <w:jc w:val="both"/>
              <w:rPr>
                <w:rFonts w:asciiTheme="minorHAnsi" w:hAnsiTheme="minorHAnsi"/>
                <w:sz w:val="20"/>
                <w:szCs w:val="20"/>
                <w:lang w:val="nl-NL"/>
              </w:rPr>
            </w:pPr>
          </w:p>
        </w:tc>
      </w:tr>
      <w:tr w:rsidR="00873667" w:rsidRPr="00404725" w14:paraId="39830A3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C51C2"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Člen 6.</w:t>
            </w:r>
          </w:p>
          <w:p w14:paraId="3FB93EB7"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Člen 5 odloka se dopolnjen s pododstavkom, ki se glasi: </w:t>
            </w:r>
          </w:p>
          <w:p w14:paraId="40A7D802"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Vlada lahko določi različne in posebne ureditve za določene vrste anten glede na njihove posebne značilnosti.“. </w:t>
            </w:r>
          </w:p>
          <w:p w14:paraId="0216A34A" w14:textId="77777777" w:rsidR="00873667" w:rsidRPr="00E81EE8" w:rsidRDefault="00873667">
            <w:pPr>
              <w:spacing w:after="0" w:line="240" w:lineRule="auto"/>
              <w:jc w:val="both"/>
              <w:rPr>
                <w:rFonts w:asciiTheme="minorHAnsi" w:hAnsiTheme="minorHAnsi"/>
                <w:sz w:val="20"/>
                <w:szCs w:val="20"/>
              </w:rPr>
            </w:pPr>
          </w:p>
        </w:tc>
      </w:tr>
      <w:tr w:rsidR="00873667" w14:paraId="752366D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B28D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Člen 7.</w:t>
            </w:r>
          </w:p>
          <w:p w14:paraId="59CA7035"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Člen 8 odloka se spremeni:</w:t>
            </w:r>
          </w:p>
          <w:p w14:paraId="463F92C5" w14:textId="77777777" w:rsidR="00873667" w:rsidRPr="00E81EE8" w:rsidRDefault="00873667">
            <w:pPr>
              <w:spacing w:after="0" w:line="240" w:lineRule="auto"/>
              <w:jc w:val="both"/>
              <w:rPr>
                <w:rFonts w:asciiTheme="minorHAnsi" w:hAnsiTheme="minorHAnsi"/>
                <w:sz w:val="20"/>
                <w:szCs w:val="20"/>
                <w:lang w:val="fi-FI"/>
              </w:rPr>
            </w:pPr>
          </w:p>
          <w:p w14:paraId="0FEE7087" w14:textId="77777777" w:rsidR="00873667" w:rsidRDefault="00873667" w:rsidP="00242999">
            <w:pPr>
              <w:pStyle w:val="ListParagraph"/>
              <w:widowControl/>
              <w:numPr>
                <w:ilvl w:val="0"/>
                <w:numId w:val="4"/>
              </w:numPr>
              <w:suppressAutoHyphens w:val="0"/>
              <w:spacing w:after="0" w:line="240" w:lineRule="auto"/>
              <w:jc w:val="both"/>
              <w:rPr>
                <w:rFonts w:asciiTheme="minorHAnsi" w:hAnsiTheme="minorHAnsi"/>
                <w:sz w:val="20"/>
                <w:szCs w:val="20"/>
              </w:rPr>
            </w:pPr>
            <w:r>
              <w:rPr>
                <w:rFonts w:asciiTheme="minorHAnsi" w:hAnsiTheme="minorHAnsi"/>
                <w:sz w:val="20"/>
              </w:rPr>
              <w:t xml:space="preserve">odstavek 1 se nadomesti z naslednjim besedilom: </w:t>
            </w:r>
          </w:p>
          <w:p w14:paraId="495FA02B"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„Oddelek 1. Vlada skrbi za posodabljanje in javno objavo registra anten, katerih seznam določi vlada. Ta register vključuje tehnične podatke vsake antene, zlasti natančno lokacijo antene, njen tip, dimenzije, usmerjenost, emisijsko moč in druge tehnične podatke za določitev gostote moči na javno dostopnih območjih. Vlada lahko določi tehnične podatke in doda druge značilnosti. </w:t>
            </w:r>
          </w:p>
          <w:p w14:paraId="74906324"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Register oddajnikov se objavi na spletišču bruseljske agencije za okolje, da lahko vsak državljan pri bruseljski agenciji za okolje kadar koli vloži pritožbo v zvezi s skladnostjo s standardom emisij iz člena 3 in/ali skladnostjo s pogoji delovanja zadevnih anten. Brez poseganja v veljavne kazni in druge ukrepe, predvidene v tem odloku, bruseljska agencija za okolje sprejme ukrepe za zagotovitev skladnosti z določbami tega odloka, če meni, da je pritožba utemeljena.“;</w:t>
            </w:r>
          </w:p>
          <w:p w14:paraId="62384DE4" w14:textId="77777777" w:rsidR="00873667" w:rsidRPr="00E81EE8" w:rsidRDefault="00873667">
            <w:pPr>
              <w:spacing w:after="0" w:line="240" w:lineRule="auto"/>
              <w:ind w:left="352"/>
              <w:jc w:val="both"/>
              <w:rPr>
                <w:rFonts w:asciiTheme="minorHAnsi" w:hAnsiTheme="minorHAnsi"/>
                <w:sz w:val="20"/>
                <w:szCs w:val="20"/>
              </w:rPr>
            </w:pPr>
          </w:p>
          <w:p w14:paraId="251120BC" w14:textId="77777777" w:rsidR="00873667" w:rsidRDefault="00873667" w:rsidP="00242999">
            <w:pPr>
              <w:pStyle w:val="ListParagraph"/>
              <w:widowControl/>
              <w:numPr>
                <w:ilvl w:val="0"/>
                <w:numId w:val="4"/>
              </w:numPr>
              <w:suppressAutoHyphens w:val="0"/>
              <w:spacing w:after="0" w:line="240" w:lineRule="auto"/>
              <w:jc w:val="both"/>
              <w:rPr>
                <w:rFonts w:asciiTheme="minorHAnsi" w:hAnsiTheme="minorHAnsi"/>
                <w:sz w:val="20"/>
                <w:szCs w:val="20"/>
              </w:rPr>
            </w:pPr>
            <w:r>
              <w:rPr>
                <w:rFonts w:asciiTheme="minorHAnsi" w:hAnsiTheme="minorHAnsi"/>
                <w:sz w:val="20"/>
              </w:rPr>
              <w:t xml:space="preserve">pododstavek 1 odstavka 2 se nadomesti z naslednjim: </w:t>
            </w:r>
          </w:p>
          <w:p w14:paraId="1D219E4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„Oddelek 2. Vlada vzpostavi register streh stavb, ki jih zasedajo javni organi in na katerih bi bilo mogoče postaviti antene. Ta register se redno posodablja.“.</w:t>
            </w:r>
          </w:p>
          <w:p w14:paraId="2DC18BF8" w14:textId="77777777" w:rsidR="00873667" w:rsidRPr="00E81EE8" w:rsidRDefault="00873667">
            <w:pPr>
              <w:spacing w:after="0" w:line="240" w:lineRule="auto"/>
              <w:jc w:val="both"/>
              <w:rPr>
                <w:rFonts w:asciiTheme="minorHAnsi" w:hAnsiTheme="minorHAnsi"/>
                <w:sz w:val="20"/>
                <w:szCs w:val="20"/>
              </w:rPr>
            </w:pPr>
          </w:p>
        </w:tc>
      </w:tr>
      <w:tr w:rsidR="00873667" w:rsidRPr="00404725" w14:paraId="3C371DE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CECFE"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Člen 8.</w:t>
            </w:r>
          </w:p>
          <w:p w14:paraId="588CB09A"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Oddelek 1. Za členom 8 odloka se vstavi naslednji naslov: „ Splošna obveznost operaterjev“.</w:t>
            </w:r>
          </w:p>
          <w:p w14:paraId="020B4B57" w14:textId="77777777" w:rsidR="00873667" w:rsidRPr="00E81EE8" w:rsidRDefault="00873667">
            <w:pPr>
              <w:spacing w:after="0" w:line="240" w:lineRule="auto"/>
              <w:jc w:val="both"/>
              <w:rPr>
                <w:rFonts w:asciiTheme="minorHAnsi" w:hAnsiTheme="minorHAnsi"/>
                <w:bCs/>
                <w:sz w:val="20"/>
                <w:szCs w:val="20"/>
              </w:rPr>
            </w:pPr>
          </w:p>
          <w:p w14:paraId="0655FE8F"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Oddelek 2. Pod naslovom, vstavljenim z odstavkom 1, se vstavi člen 8a, ki se glasi:</w:t>
            </w:r>
          </w:p>
          <w:p w14:paraId="2C135F09"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Člen 8a. operaterji, katerih seznam določi vlada, morajo vzpostaviti in podpirati informacijske kampanje za ozaveščanje o preprečevanju nastajanja odpadkov, ki nastanejo pri njihovih dejavnostih, zlasti ob upoštevanju tehnološkega razvoja in obnove povezanih naprav. </w:t>
            </w:r>
          </w:p>
          <w:p w14:paraId="7E31B7BE"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Te informacijske kampanje javnost obveščajo zlasti o okoljsko racionalni uporabi naprav, vrednosti ponovne uporabe in priprave za ponovno uporabo povezanih naprav ter o sistemih zbiranja odpadkov in ravnanja z njimi. </w:t>
            </w:r>
          </w:p>
          <w:p w14:paraId="54630306"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Vlada lahko določi vsebino, pogostost in pogoje informacijskih kampanj, ki jih je treba izvesti, ter njihovo ciljno občinstvo v skladu z želenimi cilji.“.</w:t>
            </w:r>
          </w:p>
          <w:p w14:paraId="7577DD4F" w14:textId="77777777" w:rsidR="00873667" w:rsidRPr="00E81EE8" w:rsidRDefault="00873667">
            <w:pPr>
              <w:spacing w:after="0" w:line="240" w:lineRule="auto"/>
              <w:jc w:val="both"/>
              <w:rPr>
                <w:rFonts w:asciiTheme="minorHAnsi" w:hAnsiTheme="minorHAnsi"/>
                <w:bCs/>
                <w:sz w:val="20"/>
                <w:szCs w:val="20"/>
              </w:rPr>
            </w:pPr>
          </w:p>
          <w:p w14:paraId="127221A1"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Oddelek 3. V odloku se pod naslovom, vstavljenim z odstavkom 1, vstavi člen 8b, ki se glasi: </w:t>
            </w:r>
          </w:p>
          <w:p w14:paraId="3F80CFC4"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Člen 8b. Operaterji, katerih seznam določi vlada, morajo pripraviti statistične podatke o pripomočkih, ki jih dajo na trg in ki se zbirajo kot odpadki ali se ponovno uporabljajo v smislu določb Odloka z dne 14. junija 2012 o odpadkih.“. </w:t>
            </w:r>
          </w:p>
          <w:p w14:paraId="4BAF6779" w14:textId="77777777" w:rsidR="00873667" w:rsidRPr="00E81EE8" w:rsidRDefault="00873667">
            <w:pPr>
              <w:spacing w:after="0" w:line="240" w:lineRule="auto"/>
              <w:jc w:val="both"/>
              <w:rPr>
                <w:rFonts w:asciiTheme="minorHAnsi" w:hAnsiTheme="minorHAnsi"/>
                <w:bCs/>
                <w:sz w:val="20"/>
                <w:szCs w:val="20"/>
              </w:rPr>
            </w:pPr>
          </w:p>
          <w:p w14:paraId="23215B8F"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Oddelek 4. V odloku se pod naslovom, vstavljenim z odstavkom 1, vstavi člen 8c, ki se glasi: </w:t>
            </w:r>
          </w:p>
          <w:p w14:paraId="51C2452E"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Člen 8c. Operaterji vsako leto najpozneje do 1. aprila bruseljski agenciji za okolje predložijo letno poročilo, ki se nanaša na prejšnje leto (obdobje od 1. januarja do 31. decembra), v katerem navedejo zlasti podrobnosti o izvedenih ukrepih, porabljenih zneskih in vplivih, ugotovljenih v zvezi z ukrepi, ki se izvajajo v skladu s členom 8a, ter poročilo o statističnih podatkih iz člena 8b.</w:t>
            </w:r>
          </w:p>
          <w:p w14:paraId="24E4D373"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Vlada lahko določi vsebino letnega poročila iz prejšnjega pododstavka in zagotovi, da se v to poročilo vključijo dodatne informacije.“. </w:t>
            </w:r>
          </w:p>
          <w:p w14:paraId="79909F2B" w14:textId="77777777" w:rsidR="00873667" w:rsidRPr="00E81EE8" w:rsidRDefault="00873667">
            <w:pPr>
              <w:spacing w:after="0" w:line="240" w:lineRule="auto"/>
              <w:jc w:val="both"/>
              <w:rPr>
                <w:rFonts w:asciiTheme="minorHAnsi" w:hAnsiTheme="minorHAnsi"/>
                <w:b/>
                <w:sz w:val="20"/>
                <w:szCs w:val="20"/>
              </w:rPr>
            </w:pPr>
          </w:p>
        </w:tc>
      </w:tr>
      <w:tr w:rsidR="00873667" w:rsidRPr="00404725" w14:paraId="471265F9"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2BBF9"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Člen 9.</w:t>
            </w:r>
          </w:p>
          <w:p w14:paraId="17721ADF"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Oddelek 1. Naslov „Kršitve in kazenske sankcije“ med členom 8 in členom 9 zadevnega odloka se nadomesti z naslovom „Kršitve“. </w:t>
            </w:r>
          </w:p>
          <w:p w14:paraId="0F7DA792" w14:textId="77777777" w:rsidR="00873667" w:rsidRPr="00E81EE8" w:rsidRDefault="00873667">
            <w:pPr>
              <w:spacing w:after="0" w:line="240" w:lineRule="auto"/>
              <w:jc w:val="both"/>
              <w:rPr>
                <w:rFonts w:asciiTheme="minorHAnsi" w:hAnsiTheme="minorHAnsi"/>
                <w:sz w:val="20"/>
                <w:szCs w:val="20"/>
              </w:rPr>
            </w:pPr>
          </w:p>
          <w:p w14:paraId="6292353F"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Oddelek 2. Člen 9 odloka se nadomesti z naslednjim: </w:t>
            </w:r>
          </w:p>
          <w:p w14:paraId="1E11AE58"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S kaznijo iz člena 31(1) Zakonika z dne 25. marca 1999 o inšpekcijskih pregledih, preprečevanju, odkrivanju in kaznovanju kaznivih dejanj zoper okolje in okoljski odgovornosti se kaznuje, kdor:</w:t>
            </w:r>
          </w:p>
          <w:p w14:paraId="275A347F"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ne izpolnjuje standardov iz člena 3 ali njegovih izvedbenih ukrepov;</w:t>
            </w:r>
          </w:p>
          <w:p w14:paraId="4A9CAD66"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ne izpolnjuje obveznosti obveščanja iz člena 4 ali njegovih izvedbenih ukrepov;</w:t>
            </w:r>
          </w:p>
          <w:p w14:paraId="77B503E8"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ne izpolnjuje operativnih standardov iz člena 5 ali njegovih izvedbenih ukrepov;</w:t>
            </w:r>
          </w:p>
          <w:p w14:paraId="7663E406"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 xml:space="preserve">ne izpolnjuje obveznosti obveščanja in poročanja iz členov 8a, 8b in 8c ali njihovih izvedbenih ukrepov; </w:t>
            </w:r>
          </w:p>
          <w:p w14:paraId="712FA70C"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ne izpolnjujejo splošnih standardov ali pogojev iz člena 7 ali njegovih izvedbenih ukrepov.“.</w:t>
            </w:r>
          </w:p>
          <w:p w14:paraId="4C2874B7" w14:textId="77777777" w:rsidR="00873667" w:rsidRPr="00E81EE8" w:rsidRDefault="00873667">
            <w:pPr>
              <w:spacing w:after="0" w:line="240" w:lineRule="auto"/>
              <w:jc w:val="both"/>
              <w:rPr>
                <w:rFonts w:asciiTheme="minorHAnsi" w:hAnsiTheme="minorHAnsi"/>
                <w:b/>
                <w:sz w:val="20"/>
                <w:szCs w:val="20"/>
              </w:rPr>
            </w:pPr>
          </w:p>
        </w:tc>
      </w:tr>
      <w:tr w:rsidR="00873667" w:rsidRPr="00404725" w14:paraId="2D0293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EE4F7"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Poglavje 3. Sprememba Odloka o okoljskih dovoljenjih z dne 5. junija 1997</w:t>
            </w:r>
          </w:p>
        </w:tc>
      </w:tr>
      <w:tr w:rsidR="00873667" w:rsidRPr="00404725" w14:paraId="26B5069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5337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Člen 10.</w:t>
            </w:r>
          </w:p>
          <w:p w14:paraId="31F34E3E"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Člen 100(1) Odloka z dne 5. junija 1997 o okoljskih dovoljenjih se dopolni s pododstavkom, ki se glasi: </w:t>
            </w:r>
          </w:p>
          <w:p w14:paraId="5E0D7258"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Z odstopanjem od pododstavka 1 se prijavnina ne plača za deklaracijo razreda III ali razreda IC.“.</w:t>
            </w:r>
          </w:p>
          <w:p w14:paraId="44E8814B" w14:textId="77777777" w:rsidR="00873667" w:rsidRPr="00E81EE8" w:rsidRDefault="00873667">
            <w:pPr>
              <w:spacing w:after="0" w:line="240" w:lineRule="auto"/>
              <w:jc w:val="both"/>
              <w:rPr>
                <w:rFonts w:asciiTheme="minorHAnsi" w:hAnsiTheme="minorHAnsi"/>
                <w:b/>
                <w:sz w:val="20"/>
                <w:szCs w:val="20"/>
                <w:lang w:val="pl-PL"/>
              </w:rPr>
            </w:pPr>
          </w:p>
        </w:tc>
      </w:tr>
      <w:tr w:rsidR="00873667" w:rsidRPr="00404725" w14:paraId="42769B2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AC1B9"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Poglavje 4. Sprememba</w:t>
            </w:r>
            <w:r>
              <w:rPr>
                <w:b/>
                <w:sz w:val="20"/>
              </w:rPr>
              <w:t xml:space="preserve"> </w:t>
            </w:r>
            <w:r>
              <w:rPr>
                <w:rFonts w:asciiTheme="minorHAnsi" w:hAnsiTheme="minorHAnsi"/>
                <w:b/>
                <w:sz w:val="20"/>
              </w:rPr>
              <w:t>Odloka z dne 2. maja 2013 o bruseljskem zakonu o kakovosti zraka, podnebju in gospodarjenju z energijo</w:t>
            </w:r>
          </w:p>
        </w:tc>
      </w:tr>
      <w:tr w:rsidR="00873667" w:rsidRPr="00404725" w14:paraId="7CDD59C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A921D"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 xml:space="preserve">Člen 11. </w:t>
            </w:r>
          </w:p>
          <w:p w14:paraId="0B343ACE"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Oddelek 1. V naslovu 5 zvezka 2 Odloka z dne 2. maja 2013 o bruseljskem zakonu o kakovosti zraka, podnebju in gospodarjenju z energijo se vstavi poglavje 3 z naslovom „Poglavje 3 – Trajnostni in odgovorni digitalni načrt“.</w:t>
            </w:r>
          </w:p>
          <w:p w14:paraId="6DC0A343" w14:textId="77777777" w:rsidR="00873667" w:rsidRPr="00E81EE8" w:rsidRDefault="00873667">
            <w:pPr>
              <w:spacing w:after="0" w:line="240" w:lineRule="auto"/>
              <w:jc w:val="both"/>
              <w:rPr>
                <w:rFonts w:asciiTheme="minorHAnsi" w:hAnsiTheme="minorHAnsi"/>
                <w:bCs/>
                <w:sz w:val="20"/>
                <w:szCs w:val="20"/>
              </w:rPr>
            </w:pPr>
          </w:p>
          <w:p w14:paraId="1244248C"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Oddelek 2. V poglavju 3, vstavljenem z odstavkom 1, se vstavi člen 2.5.8, ki se glasi: </w:t>
            </w:r>
          </w:p>
          <w:p w14:paraId="5B3AD537"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Člen 2.5.8 Operaterji in radiodifuzijske hiše iz Odloka z dne 1. marca 2007 o varstvu okolja pred možnimi škodljivimi in motečimi vplivi neionizirajočega sevanja, ki jih določi vlada, morajo do datuma, ki ga določi vlada, in najpozneje v dveh letih od začetka veljavnosti tega člena izvesti „trajnostni in odgovorni digitalni načrt“ za zmanjšanje porabe energije in emisije toplogrednih plinov pri svojih dejavnostih, zlasti z ozaveščanjem o povečanju porabe mobilnih podatkov. Načrt zajema obdobje petih let in se obnovi za vsako naslednje petletno obdobje. Načrt pred izvedbo odobri bruseljska agencija za okolje. </w:t>
            </w:r>
          </w:p>
          <w:p w14:paraId="7B128E52"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Vlada določi pogoje za pripravo in izvajanje načrta. Določi zlasti minimalno vsebino načrta in njegove pogoje za sprejetje, spremembo in podaljšanje veljavnosti ter količinsko opredeljene cilje, ki jih je treba doseči z načrtom. Vlada lahko obveznost izvajanja „trajnostnega in odgovornega digitalnega načrta“ razširi tudi na druge pravne osebe. </w:t>
            </w:r>
          </w:p>
          <w:p w14:paraId="11EADCD9" w14:textId="77777777" w:rsidR="00873667" w:rsidRPr="00E81EE8" w:rsidRDefault="00873667">
            <w:pPr>
              <w:spacing w:after="0" w:line="240" w:lineRule="auto"/>
              <w:jc w:val="both"/>
              <w:rPr>
                <w:rFonts w:asciiTheme="minorHAnsi" w:hAnsiTheme="minorHAnsi"/>
                <w:b/>
                <w:sz w:val="20"/>
                <w:szCs w:val="20"/>
              </w:rPr>
            </w:pPr>
          </w:p>
          <w:p w14:paraId="7A272A73"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Oddelek 3. Člen 2.6.6 odloka se dopolni s točko (f), ki se glasi:</w:t>
            </w:r>
          </w:p>
          <w:p w14:paraId="4B9471C4"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„(f) operaterji, radiodifuzijske hiše in pravne osebe, za katere velja obveznost, določena v členu 2.5.8 ali na njegovi podlagi, te obveznosti ne izpolnjujejo.“.</w:t>
            </w:r>
          </w:p>
          <w:p w14:paraId="18DD4CF0" w14:textId="77777777" w:rsidR="00873667" w:rsidRPr="00E81EE8" w:rsidRDefault="00873667">
            <w:pPr>
              <w:spacing w:after="0" w:line="240" w:lineRule="auto"/>
              <w:jc w:val="both"/>
              <w:rPr>
                <w:rFonts w:asciiTheme="minorHAnsi" w:hAnsiTheme="minorHAnsi"/>
                <w:b/>
                <w:sz w:val="20"/>
                <w:szCs w:val="20"/>
              </w:rPr>
            </w:pPr>
          </w:p>
        </w:tc>
      </w:tr>
      <w:tr w:rsidR="00873667" w:rsidRPr="00404725" w14:paraId="1FB6048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9B873"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Poglavje 5. Spremembe, prehodne določbe in določbe o začetku veljavnosti</w:t>
            </w:r>
          </w:p>
        </w:tc>
      </w:tr>
      <w:tr w:rsidR="00873667" w:rsidRPr="00404725" w14:paraId="75774D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93080"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Člen 12.</w:t>
            </w:r>
          </w:p>
          <w:p w14:paraId="3B265679"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Člen 10 Odloka z dne 1. marca 2007 o varstvu okolja pred možnimi škodljivimi in motečimi vplivi neionizirajočega sevanja se razveljavi. </w:t>
            </w:r>
          </w:p>
          <w:p w14:paraId="48D02DBB" w14:textId="77777777" w:rsidR="00873667" w:rsidRPr="00E81EE8" w:rsidRDefault="00873667">
            <w:pPr>
              <w:spacing w:after="0" w:line="240" w:lineRule="auto"/>
              <w:jc w:val="both"/>
              <w:rPr>
                <w:rFonts w:asciiTheme="minorHAnsi" w:hAnsiTheme="minorHAnsi"/>
                <w:b/>
                <w:sz w:val="20"/>
                <w:szCs w:val="20"/>
              </w:rPr>
            </w:pPr>
          </w:p>
        </w:tc>
      </w:tr>
      <w:tr w:rsidR="00873667" w:rsidRPr="00404725" w14:paraId="1453FE5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F1A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Člen 13.</w:t>
            </w:r>
          </w:p>
          <w:p w14:paraId="0F8B4BF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Bruseljska agencija za okolje v 30 dneh od začetka veljavnosti tega odloka operaterje, katerih okoljska dovoljenja prispevajo k preseganju standardov iz člena 3(1a), Odloka z dne 1. marca 2007 o varstvu okolja pred možnimi škodljivimi in motečimi vplivi neionizirajočega sevanja, vstavljenega s tem odlokom, obvesti o tem, da morajo v dveh mesecih predložiti vlogo za izdajo okoljskega dovoljenja z namenom izpolnitve obveznosti iz Odloka z dne 1. marca 2007 o varstvu okolja pred možnimi škodljivimi in motečimi vplivi neionizirajočega sevanja, kakor je bil spremenjen s tem odlokom. </w:t>
            </w:r>
          </w:p>
          <w:p w14:paraId="6DED1FE9"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Operaterji lahko zadevne antene še naprej uporabljajo ne glede na standarde iz člena 3(1a) Odloka z dne 1. marca 2007 o varstvu okolja pred možnimi škodljivimi in motečimi vplivi neionizirajočega sevanja, vstavljenega s tem odlokom, do vročitve odločbe o vlogi za izdajo okoljskega dovoljenja. </w:t>
            </w:r>
          </w:p>
          <w:p w14:paraId="3CEE12CC" w14:textId="77777777" w:rsidR="00873667" w:rsidRPr="00E81EE8" w:rsidRDefault="00873667">
            <w:pPr>
              <w:spacing w:after="0" w:line="240" w:lineRule="auto"/>
              <w:jc w:val="both"/>
              <w:rPr>
                <w:rFonts w:asciiTheme="minorHAnsi" w:hAnsiTheme="minorHAnsi"/>
                <w:b/>
                <w:sz w:val="20"/>
                <w:szCs w:val="20"/>
              </w:rPr>
            </w:pPr>
          </w:p>
        </w:tc>
      </w:tr>
      <w:tr w:rsidR="00873667" w:rsidRPr="00404725" w14:paraId="6715F84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2E76"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 xml:space="preserve">Člen 14. </w:t>
            </w:r>
          </w:p>
          <w:p w14:paraId="4670636C" w14:textId="77777777" w:rsidR="00873667" w:rsidRDefault="00873667">
            <w:pPr>
              <w:spacing w:after="0" w:line="240" w:lineRule="auto"/>
              <w:jc w:val="both"/>
              <w:rPr>
                <w:rFonts w:asciiTheme="minorHAnsi" w:hAnsiTheme="minorHAnsi"/>
                <w:b/>
                <w:sz w:val="20"/>
                <w:szCs w:val="20"/>
              </w:rPr>
            </w:pPr>
            <w:r>
              <w:rPr>
                <w:rFonts w:asciiTheme="minorHAnsi" w:hAnsiTheme="minorHAnsi"/>
                <w:sz w:val="20"/>
              </w:rPr>
              <w:lastRenderedPageBreak/>
              <w:t xml:space="preserve">Ta odlok začne veljati prvi dan meseca, ki sledi izteku desetdnevnega roka, ki se začne dan po objavi v belgijskem uradnem listu, razen člena 5(2) (samo v zvezi s členom 4(3) Odloka z dne 1. marca 2007 o varstvu okolja pred možnimi škodljivimi in motečimi vplivi neionizirajočega sevanja), 8 in 11, katerih datum začetka veljavnosti določi vlada. </w:t>
            </w:r>
          </w:p>
          <w:p w14:paraId="60A2F821" w14:textId="77777777" w:rsidR="00873667" w:rsidRPr="00E81EE8" w:rsidRDefault="00873667">
            <w:pPr>
              <w:spacing w:after="0" w:line="240" w:lineRule="auto"/>
              <w:jc w:val="both"/>
              <w:rPr>
                <w:rFonts w:asciiTheme="minorHAnsi" w:hAnsiTheme="minorHAnsi"/>
                <w:b/>
                <w:sz w:val="20"/>
                <w:szCs w:val="20"/>
              </w:rPr>
            </w:pPr>
          </w:p>
        </w:tc>
      </w:tr>
    </w:tbl>
    <w:p w14:paraId="155A3904" w14:textId="414A1C9B" w:rsidR="00873667" w:rsidRPr="00E81EE8" w:rsidRDefault="00873667" w:rsidP="00873667"/>
    <w:tbl>
      <w:tblPr>
        <w:tblW w:w="9782" w:type="dxa"/>
        <w:tblInd w:w="-318" w:type="dxa"/>
        <w:tblLayout w:type="fixed"/>
        <w:tblCellMar>
          <w:left w:w="10" w:type="dxa"/>
          <w:right w:w="10" w:type="dxa"/>
        </w:tblCellMar>
        <w:tblLook w:val="04A0" w:firstRow="1" w:lastRow="0" w:firstColumn="1" w:lastColumn="0" w:noHBand="0" w:noVBand="1"/>
      </w:tblPr>
      <w:tblGrid>
        <w:gridCol w:w="4821"/>
        <w:gridCol w:w="4961"/>
      </w:tblGrid>
      <w:tr w:rsidR="00873667" w:rsidRPr="00746272" w14:paraId="3DDA5F8F" w14:textId="77777777" w:rsidTr="00242999">
        <w:trPr>
          <w:gridAfter w:val="1"/>
          <w:wAfter w:w="4961" w:type="dxa"/>
        </w:trPr>
        <w:tc>
          <w:tcPr>
            <w:tcW w:w="4821" w:type="dxa"/>
            <w:tcMar>
              <w:top w:w="0" w:type="dxa"/>
              <w:left w:w="108" w:type="dxa"/>
              <w:bottom w:w="0" w:type="dxa"/>
              <w:right w:w="108" w:type="dxa"/>
            </w:tcMar>
          </w:tcPr>
          <w:p w14:paraId="143E8754" w14:textId="77777777" w:rsidR="00873667" w:rsidRPr="00746272" w:rsidRDefault="00873667" w:rsidP="00242999">
            <w:pPr>
              <w:spacing w:after="0" w:line="240" w:lineRule="auto"/>
              <w:jc w:val="both"/>
              <w:rPr>
                <w:rFonts w:asciiTheme="minorHAnsi" w:hAnsiTheme="minorHAnsi"/>
                <w:sz w:val="20"/>
                <w:szCs w:val="20"/>
              </w:rPr>
            </w:pPr>
            <w:r>
              <w:rPr>
                <w:rFonts w:asciiTheme="minorHAnsi" w:hAnsiTheme="minorHAnsi"/>
                <w:sz w:val="20"/>
              </w:rPr>
              <w:t>Bruselj,</w:t>
            </w:r>
          </w:p>
        </w:tc>
      </w:tr>
      <w:tr w:rsidR="00873667" w:rsidRPr="00404725" w14:paraId="334B20E3" w14:textId="77777777" w:rsidTr="00242999">
        <w:trPr>
          <w:gridAfter w:val="1"/>
          <w:wAfter w:w="4961" w:type="dxa"/>
        </w:trPr>
        <w:tc>
          <w:tcPr>
            <w:tcW w:w="4821" w:type="dxa"/>
            <w:tcMar>
              <w:top w:w="0" w:type="dxa"/>
              <w:left w:w="108" w:type="dxa"/>
              <w:bottom w:w="0" w:type="dxa"/>
              <w:right w:w="108" w:type="dxa"/>
            </w:tcMar>
          </w:tcPr>
          <w:p w14:paraId="7D90B3B5" w14:textId="77777777" w:rsidR="00873667" w:rsidRPr="00873667" w:rsidRDefault="00873667" w:rsidP="00242999">
            <w:pPr>
              <w:spacing w:after="0" w:line="240" w:lineRule="auto"/>
              <w:jc w:val="both"/>
              <w:rPr>
                <w:rFonts w:asciiTheme="minorHAnsi" w:hAnsiTheme="minorHAnsi"/>
                <w:sz w:val="20"/>
                <w:szCs w:val="20"/>
              </w:rPr>
            </w:pPr>
            <w:r>
              <w:rPr>
                <w:rFonts w:asciiTheme="minorHAnsi" w:hAnsiTheme="minorHAnsi"/>
                <w:sz w:val="20"/>
              </w:rPr>
              <w:t>v imenu vlade regije glavnega mesta Bruselj</w:t>
            </w:r>
          </w:p>
        </w:tc>
      </w:tr>
      <w:tr w:rsidR="00873667" w:rsidRPr="00404725" w14:paraId="55B38421" w14:textId="77777777" w:rsidTr="00242999">
        <w:tc>
          <w:tcPr>
            <w:tcW w:w="4821" w:type="dxa"/>
            <w:shd w:val="clear" w:color="auto" w:fill="auto"/>
            <w:tcMar>
              <w:top w:w="0" w:type="dxa"/>
              <w:left w:w="108" w:type="dxa"/>
              <w:bottom w:w="0" w:type="dxa"/>
              <w:right w:w="108" w:type="dxa"/>
            </w:tcMar>
          </w:tcPr>
          <w:p w14:paraId="52DDBFBC" w14:textId="77777777" w:rsidR="00873667" w:rsidRPr="00E81EE8" w:rsidRDefault="00873667" w:rsidP="00873667">
            <w:pPr>
              <w:spacing w:after="0" w:line="240" w:lineRule="auto"/>
              <w:rPr>
                <w:rFonts w:asciiTheme="minorHAnsi" w:hAnsiTheme="minorHAnsi"/>
                <w:sz w:val="20"/>
                <w:szCs w:val="20"/>
                <w:lang w:val="sv-SE"/>
              </w:rPr>
            </w:pPr>
          </w:p>
        </w:tc>
        <w:tc>
          <w:tcPr>
            <w:tcW w:w="4961" w:type="dxa"/>
            <w:shd w:val="clear" w:color="auto" w:fill="auto"/>
          </w:tcPr>
          <w:p w14:paraId="20116099" w14:textId="77777777" w:rsidR="00873667" w:rsidRPr="00E81EE8" w:rsidRDefault="00873667" w:rsidP="00242999">
            <w:pPr>
              <w:suppressAutoHyphens w:val="0"/>
              <w:autoSpaceDE w:val="0"/>
              <w:adjustRightInd w:val="0"/>
              <w:spacing w:after="0" w:line="240" w:lineRule="auto"/>
              <w:jc w:val="both"/>
              <w:rPr>
                <w:rFonts w:asciiTheme="minorHAnsi" w:eastAsiaTheme="minorHAnsi" w:hAnsiTheme="minorHAnsi" w:cs="TimesNewRoman"/>
                <w:kern w:val="0"/>
                <w:sz w:val="20"/>
                <w:szCs w:val="20"/>
                <w:lang w:val="sv-SE"/>
              </w:rPr>
            </w:pPr>
          </w:p>
        </w:tc>
      </w:tr>
    </w:tbl>
    <w:p w14:paraId="62E0C8D1" w14:textId="77777777" w:rsidR="00873667" w:rsidRPr="00E81EE8" w:rsidRDefault="00873667" w:rsidP="00873667">
      <w:pPr>
        <w:spacing w:after="0" w:line="240" w:lineRule="auto"/>
        <w:jc w:val="both"/>
        <w:rPr>
          <w:rFonts w:asciiTheme="minorHAnsi" w:hAnsiTheme="minorHAnsi" w:cstheme="minorHAnsi"/>
          <w:sz w:val="20"/>
          <w:szCs w:val="20"/>
          <w:lang w:val="sv-SE"/>
        </w:rPr>
      </w:pPr>
    </w:p>
    <w:p w14:paraId="6484EA2B" w14:textId="77777777" w:rsidR="00873667" w:rsidRPr="00E81EE8" w:rsidRDefault="00873667" w:rsidP="00873667">
      <w:pPr>
        <w:spacing w:after="0" w:line="240" w:lineRule="auto"/>
        <w:jc w:val="both"/>
        <w:rPr>
          <w:rFonts w:asciiTheme="minorHAnsi" w:hAnsiTheme="minorHAnsi" w:cstheme="minorHAnsi"/>
          <w:sz w:val="20"/>
          <w:szCs w:val="20"/>
          <w:lang w:val="sv-SE"/>
        </w:rPr>
      </w:pPr>
    </w:p>
    <w:p w14:paraId="5A185135"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R. VERVOORT,</w:t>
      </w:r>
    </w:p>
    <w:p w14:paraId="4D31CE76" w14:textId="3E9F61CF"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predsednik vlade regije glavnega mesta Bruselj</w:t>
      </w:r>
    </w:p>
    <w:p w14:paraId="0ACA50B3" w14:textId="77777777" w:rsidR="00873667" w:rsidRPr="00E81EE8" w:rsidRDefault="00873667" w:rsidP="00873667">
      <w:pPr>
        <w:spacing w:after="0" w:line="240" w:lineRule="auto"/>
        <w:jc w:val="center"/>
        <w:rPr>
          <w:rFonts w:asciiTheme="minorHAnsi" w:hAnsiTheme="minorHAnsi" w:cstheme="minorHAnsi"/>
          <w:sz w:val="20"/>
          <w:szCs w:val="20"/>
          <w:lang w:val="sv-SE"/>
        </w:rPr>
      </w:pPr>
    </w:p>
    <w:p w14:paraId="0E868F9D"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E. VAN DEN BRANDT,</w:t>
      </w:r>
    </w:p>
    <w:p w14:paraId="0FD79330" w14:textId="037809FC" w:rsid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ministrica za mobilnost, javna dela in varnost v cestnem prometu</w:t>
      </w:r>
    </w:p>
    <w:p w14:paraId="2F23BC79" w14:textId="77777777" w:rsidR="00873667" w:rsidRPr="00E81EE8" w:rsidRDefault="00873667" w:rsidP="00873667">
      <w:pPr>
        <w:spacing w:after="0" w:line="240" w:lineRule="auto"/>
        <w:jc w:val="center"/>
        <w:rPr>
          <w:rFonts w:asciiTheme="minorHAnsi" w:hAnsiTheme="minorHAnsi" w:cstheme="minorHAnsi"/>
          <w:sz w:val="20"/>
          <w:szCs w:val="20"/>
          <w:lang w:val="sv-SE"/>
        </w:rPr>
      </w:pPr>
    </w:p>
    <w:p w14:paraId="5C36561A" w14:textId="77777777" w:rsidR="00873667" w:rsidRPr="00404725"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A. MARON,</w:t>
      </w:r>
    </w:p>
    <w:p w14:paraId="67F20717" w14:textId="3CC9598F" w:rsidR="00873667" w:rsidRPr="00AD5588"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 za podnebni prehod, okolje, energijo in participativno demokracijo</w:t>
      </w:r>
    </w:p>
    <w:p w14:paraId="4B06F6AA"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S. GATZ,</w:t>
      </w:r>
    </w:p>
    <w:p w14:paraId="215BED01" w14:textId="5190AA1C"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ministerz a finance, proračun, javno upravo, spodbujanje večjezičnosti in podobe Bruslja</w:t>
      </w:r>
    </w:p>
    <w:p w14:paraId="5E9FF636" w14:textId="77777777" w:rsidR="00873667" w:rsidRPr="00E81EE8" w:rsidRDefault="00873667" w:rsidP="00873667">
      <w:pPr>
        <w:spacing w:after="0" w:line="240" w:lineRule="auto"/>
        <w:jc w:val="center"/>
        <w:rPr>
          <w:rFonts w:asciiTheme="minorHAnsi" w:hAnsiTheme="minorHAnsi" w:cstheme="minorHAnsi"/>
          <w:sz w:val="20"/>
          <w:szCs w:val="20"/>
        </w:rPr>
      </w:pPr>
    </w:p>
    <w:p w14:paraId="39B54DF5"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B. CERLFAYT,</w:t>
      </w:r>
    </w:p>
    <w:p w14:paraId="5443ECE7" w14:textId="4C81C041"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 za zaposlovanje in poklicno usposabljanje, digitalni prehod, lokalne oblasti in dobrobit živali</w:t>
      </w:r>
    </w:p>
    <w:p w14:paraId="76D391AC" w14:textId="77777777" w:rsidR="00873667" w:rsidRPr="00E81EE8" w:rsidRDefault="00873667" w:rsidP="00873667">
      <w:pPr>
        <w:spacing w:after="0" w:line="240" w:lineRule="auto"/>
        <w:jc w:val="center"/>
        <w:rPr>
          <w:rFonts w:asciiTheme="minorHAnsi" w:hAnsiTheme="minorHAnsi" w:cstheme="minorHAnsi"/>
          <w:sz w:val="20"/>
          <w:szCs w:val="20"/>
        </w:rPr>
      </w:pPr>
    </w:p>
    <w:p w14:paraId="2D887231"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N. BEN HAMOU,</w:t>
      </w:r>
    </w:p>
    <w:p w14:paraId="66917B45" w14:textId="77777777" w:rsidR="00873667" w:rsidRPr="00B93F33"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državna sekretarka za stanovanja in enake možnosti</w:t>
      </w:r>
    </w:p>
    <w:p w14:paraId="6FA2FE24" w14:textId="77777777" w:rsidR="00873667" w:rsidRPr="00E81EE8" w:rsidRDefault="00873667" w:rsidP="00873667">
      <w:pPr>
        <w:spacing w:after="0" w:line="240" w:lineRule="auto"/>
        <w:jc w:val="center"/>
        <w:rPr>
          <w:rFonts w:asciiTheme="minorHAnsi" w:hAnsiTheme="minorHAnsi" w:cstheme="minorHAnsi"/>
          <w:sz w:val="20"/>
          <w:szCs w:val="20"/>
        </w:rPr>
      </w:pPr>
    </w:p>
    <w:p w14:paraId="5AFC9699"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B. TRACHTE,</w:t>
      </w:r>
    </w:p>
    <w:p w14:paraId="272A5E99" w14:textId="77777777" w:rsidR="00873667" w:rsidRPr="00B93F33"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državna sekretarka za gospodarski prehod in znanstvene raziskave</w:t>
      </w:r>
    </w:p>
    <w:p w14:paraId="42F74CF6" w14:textId="77777777" w:rsidR="00873667" w:rsidRPr="00E81EE8" w:rsidRDefault="00873667" w:rsidP="00873667">
      <w:pPr>
        <w:spacing w:after="0" w:line="240" w:lineRule="auto"/>
        <w:rPr>
          <w:rFonts w:asciiTheme="minorHAnsi" w:hAnsiTheme="minorHAnsi" w:cstheme="minorHAnsi"/>
          <w:sz w:val="20"/>
          <w:szCs w:val="20"/>
          <w:lang w:val="pl-PL"/>
        </w:rPr>
      </w:pPr>
    </w:p>
    <w:p w14:paraId="03B3C3B2"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P. SMET,</w:t>
      </w:r>
    </w:p>
    <w:p w14:paraId="2267296E" w14:textId="77777777" w:rsidR="00873667" w:rsidRPr="00B93F33" w:rsidRDefault="00873667" w:rsidP="00873667">
      <w:pPr>
        <w:spacing w:after="0" w:line="240" w:lineRule="auto"/>
        <w:jc w:val="center"/>
        <w:rPr>
          <w:rFonts w:asciiTheme="minorHAnsi" w:hAnsiTheme="minorHAnsi" w:cstheme="minorHAnsi"/>
          <w:b/>
          <w:bCs/>
          <w:caps/>
          <w:sz w:val="20"/>
          <w:szCs w:val="20"/>
          <w:u w:val="single"/>
        </w:rPr>
      </w:pPr>
      <w:r>
        <w:rPr>
          <w:rFonts w:asciiTheme="minorHAnsi" w:hAnsiTheme="minorHAnsi"/>
          <w:sz w:val="20"/>
        </w:rPr>
        <w:t>državni sekretar za urbanistično načrtovanje in dediščino, evropske in mednarodne odnose, zunanjo trgovino ter preprečevanje požarov in nujno medicinsko pomoč</w:t>
      </w:r>
    </w:p>
    <w:p w14:paraId="53382B18" w14:textId="28B96DA2" w:rsidR="00873667" w:rsidRPr="00E81EE8" w:rsidRDefault="00873667" w:rsidP="00873667">
      <w:pPr>
        <w:rPr>
          <w:lang w:val="pl-PL"/>
        </w:rPr>
      </w:pPr>
    </w:p>
    <w:sectPr w:rsidR="00873667" w:rsidRPr="00E81E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79A7"/>
    <w:multiLevelType w:val="hybridMultilevel"/>
    <w:tmpl w:val="7E88C574"/>
    <w:lvl w:ilvl="0" w:tplc="3982BAE0">
      <w:numFmt w:val="bullet"/>
      <w:lvlText w:val="-"/>
      <w:lvlJc w:val="left"/>
      <w:pPr>
        <w:ind w:left="712" w:hanging="360"/>
      </w:pPr>
      <w:rPr>
        <w:rFonts w:ascii="Arial" w:eastAsia="Times New Roman" w:hAnsi="Arial" w:cs="Arial" w:hint="default"/>
      </w:rPr>
    </w:lvl>
    <w:lvl w:ilvl="1" w:tplc="080C0003">
      <w:start w:val="1"/>
      <w:numFmt w:val="bullet"/>
      <w:lvlText w:val="o"/>
      <w:lvlJc w:val="left"/>
      <w:pPr>
        <w:ind w:left="1432" w:hanging="360"/>
      </w:pPr>
      <w:rPr>
        <w:rFonts w:ascii="Courier New" w:hAnsi="Courier New" w:cs="Courier New" w:hint="default"/>
      </w:rPr>
    </w:lvl>
    <w:lvl w:ilvl="2" w:tplc="080C0005">
      <w:start w:val="1"/>
      <w:numFmt w:val="bullet"/>
      <w:lvlText w:val=""/>
      <w:lvlJc w:val="left"/>
      <w:pPr>
        <w:ind w:left="2152" w:hanging="360"/>
      </w:pPr>
      <w:rPr>
        <w:rFonts w:ascii="Wingdings" w:hAnsi="Wingdings" w:hint="default"/>
      </w:rPr>
    </w:lvl>
    <w:lvl w:ilvl="3" w:tplc="080C0001">
      <w:start w:val="1"/>
      <w:numFmt w:val="bullet"/>
      <w:lvlText w:val=""/>
      <w:lvlJc w:val="left"/>
      <w:pPr>
        <w:ind w:left="2872" w:hanging="360"/>
      </w:pPr>
      <w:rPr>
        <w:rFonts w:ascii="Symbol" w:hAnsi="Symbol" w:hint="default"/>
      </w:rPr>
    </w:lvl>
    <w:lvl w:ilvl="4" w:tplc="080C0003">
      <w:start w:val="1"/>
      <w:numFmt w:val="bullet"/>
      <w:lvlText w:val="o"/>
      <w:lvlJc w:val="left"/>
      <w:pPr>
        <w:ind w:left="3592" w:hanging="360"/>
      </w:pPr>
      <w:rPr>
        <w:rFonts w:ascii="Courier New" w:hAnsi="Courier New" w:cs="Courier New" w:hint="default"/>
      </w:rPr>
    </w:lvl>
    <w:lvl w:ilvl="5" w:tplc="080C0005">
      <w:start w:val="1"/>
      <w:numFmt w:val="bullet"/>
      <w:lvlText w:val=""/>
      <w:lvlJc w:val="left"/>
      <w:pPr>
        <w:ind w:left="4312" w:hanging="360"/>
      </w:pPr>
      <w:rPr>
        <w:rFonts w:ascii="Wingdings" w:hAnsi="Wingdings" w:hint="default"/>
      </w:rPr>
    </w:lvl>
    <w:lvl w:ilvl="6" w:tplc="080C0001">
      <w:start w:val="1"/>
      <w:numFmt w:val="bullet"/>
      <w:lvlText w:val=""/>
      <w:lvlJc w:val="left"/>
      <w:pPr>
        <w:ind w:left="5032" w:hanging="360"/>
      </w:pPr>
      <w:rPr>
        <w:rFonts w:ascii="Symbol" w:hAnsi="Symbol" w:hint="default"/>
      </w:rPr>
    </w:lvl>
    <w:lvl w:ilvl="7" w:tplc="080C0003">
      <w:start w:val="1"/>
      <w:numFmt w:val="bullet"/>
      <w:lvlText w:val="o"/>
      <w:lvlJc w:val="left"/>
      <w:pPr>
        <w:ind w:left="5752" w:hanging="360"/>
      </w:pPr>
      <w:rPr>
        <w:rFonts w:ascii="Courier New" w:hAnsi="Courier New" w:cs="Courier New" w:hint="default"/>
      </w:rPr>
    </w:lvl>
    <w:lvl w:ilvl="8" w:tplc="080C0005">
      <w:start w:val="1"/>
      <w:numFmt w:val="bullet"/>
      <w:lvlText w:val=""/>
      <w:lvlJc w:val="left"/>
      <w:pPr>
        <w:ind w:left="6472" w:hanging="360"/>
      </w:pPr>
      <w:rPr>
        <w:rFonts w:ascii="Wingdings" w:hAnsi="Wingdings" w:hint="default"/>
      </w:rPr>
    </w:lvl>
  </w:abstractNum>
  <w:abstractNum w:abstractNumId="1" w15:restartNumberingAfterBreak="0">
    <w:nsid w:val="358434A5"/>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2" w15:restartNumberingAfterBreak="0">
    <w:nsid w:val="35FC517B"/>
    <w:multiLevelType w:val="hybridMultilevel"/>
    <w:tmpl w:val="C5BE886A"/>
    <w:lvl w:ilvl="0" w:tplc="BB6A7E18">
      <w:start w:val="1"/>
      <w:numFmt w:val="decimal"/>
      <w:lvlText w:val="%1."/>
      <w:lvlJc w:val="left"/>
      <w:pPr>
        <w:ind w:left="560" w:hanging="360"/>
      </w:pPr>
    </w:lvl>
    <w:lvl w:ilvl="1" w:tplc="080C0019">
      <w:start w:val="1"/>
      <w:numFmt w:val="lowerLetter"/>
      <w:lvlText w:val="%2."/>
      <w:lvlJc w:val="left"/>
      <w:pPr>
        <w:ind w:left="1280" w:hanging="360"/>
      </w:pPr>
    </w:lvl>
    <w:lvl w:ilvl="2" w:tplc="080C001B">
      <w:start w:val="1"/>
      <w:numFmt w:val="lowerRoman"/>
      <w:lvlText w:val="%3."/>
      <w:lvlJc w:val="right"/>
      <w:pPr>
        <w:ind w:left="2000" w:hanging="180"/>
      </w:pPr>
    </w:lvl>
    <w:lvl w:ilvl="3" w:tplc="080C000F">
      <w:start w:val="1"/>
      <w:numFmt w:val="decimal"/>
      <w:lvlText w:val="%4."/>
      <w:lvlJc w:val="left"/>
      <w:pPr>
        <w:ind w:left="2720" w:hanging="360"/>
      </w:pPr>
    </w:lvl>
    <w:lvl w:ilvl="4" w:tplc="080C0019">
      <w:start w:val="1"/>
      <w:numFmt w:val="lowerLetter"/>
      <w:lvlText w:val="%5."/>
      <w:lvlJc w:val="left"/>
      <w:pPr>
        <w:ind w:left="3440" w:hanging="360"/>
      </w:pPr>
    </w:lvl>
    <w:lvl w:ilvl="5" w:tplc="080C001B">
      <w:start w:val="1"/>
      <w:numFmt w:val="lowerRoman"/>
      <w:lvlText w:val="%6."/>
      <w:lvlJc w:val="right"/>
      <w:pPr>
        <w:ind w:left="4160" w:hanging="180"/>
      </w:pPr>
    </w:lvl>
    <w:lvl w:ilvl="6" w:tplc="080C000F">
      <w:start w:val="1"/>
      <w:numFmt w:val="decimal"/>
      <w:lvlText w:val="%7."/>
      <w:lvlJc w:val="left"/>
      <w:pPr>
        <w:ind w:left="4880" w:hanging="360"/>
      </w:pPr>
    </w:lvl>
    <w:lvl w:ilvl="7" w:tplc="080C0019">
      <w:start w:val="1"/>
      <w:numFmt w:val="lowerLetter"/>
      <w:lvlText w:val="%8."/>
      <w:lvlJc w:val="left"/>
      <w:pPr>
        <w:ind w:left="5600" w:hanging="360"/>
      </w:pPr>
    </w:lvl>
    <w:lvl w:ilvl="8" w:tplc="080C001B">
      <w:start w:val="1"/>
      <w:numFmt w:val="lowerRoman"/>
      <w:lvlText w:val="%9."/>
      <w:lvlJc w:val="right"/>
      <w:pPr>
        <w:ind w:left="6320" w:hanging="180"/>
      </w:pPr>
    </w:lvl>
  </w:abstractNum>
  <w:abstractNum w:abstractNumId="3" w15:restartNumberingAfterBreak="0">
    <w:nsid w:val="4DB14E4F"/>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4" w15:restartNumberingAfterBreak="0">
    <w:nsid w:val="539B2EF4"/>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num w:numId="1" w16cid:durableId="196163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034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330790">
    <w:abstractNumId w:val="0"/>
  </w:num>
  <w:num w:numId="4" w16cid:durableId="166369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91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67"/>
    <w:rsid w:val="003D1F7F"/>
    <w:rsid w:val="00404725"/>
    <w:rsid w:val="00457E53"/>
    <w:rsid w:val="00873667"/>
    <w:rsid w:val="00AC2FE0"/>
    <w:rsid w:val="00C4092C"/>
    <w:rsid w:val="00DA344D"/>
    <w:rsid w:val="00E81EE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94F7"/>
  <w15:chartTrackingRefBased/>
  <w15:docId w15:val="{36913070-18DD-44A6-BEE9-0B7FBDBF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67"/>
    <w:pPr>
      <w:widowControl w:val="0"/>
      <w:suppressAutoHyphens/>
      <w:autoSpaceDN w:val="0"/>
      <w:spacing w:after="200" w:line="276" w:lineRule="auto"/>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873667"/>
    <w:rPr>
      <w:rFonts w:ascii="Calibri" w:eastAsia="SimSun" w:hAnsi="Calibri" w:cs="Calibri"/>
      <w:kern w:val="3"/>
    </w:rPr>
  </w:style>
  <w:style w:type="paragraph" w:styleId="ListParagraph">
    <w:name w:val="List Paragraph"/>
    <w:basedOn w:val="Normal"/>
    <w:link w:val="ListParagraphChar"/>
    <w:uiPriority w:val="34"/>
    <w:qFormat/>
    <w:rsid w:val="00873667"/>
    <w:pPr>
      <w:ind w:left="720"/>
      <w:contextualSpacing/>
    </w:pPr>
  </w:style>
  <w:style w:type="paragraph" w:customStyle="1" w:styleId="Textbody">
    <w:name w:val="Text body"/>
    <w:basedOn w:val="Normal"/>
    <w:rsid w:val="00873667"/>
    <w:pPr>
      <w:widowControl/>
      <w:spacing w:after="120" w:line="200" w:lineRule="exact"/>
    </w:pPr>
    <w:rPr>
      <w:rFonts w:ascii="Times New Roman" w:eastAsia="Times New Roman" w:hAnsi="Times New Roman" w:cs="Times New Roman"/>
      <w:sz w:val="18"/>
      <w:szCs w:val="24"/>
      <w:lang w:eastAsia="ar-SA"/>
    </w:rPr>
  </w:style>
  <w:style w:type="table" w:styleId="TableGrid">
    <w:name w:val="Table Grid"/>
    <w:basedOn w:val="TableNormal"/>
    <w:uiPriority w:val="59"/>
    <w:rsid w:val="008736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3667"/>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3390</Words>
  <Characters>19329</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 Naim</dc:creator>
  <cp:keywords/>
  <dc:description/>
  <cp:lastModifiedBy>Dimitris Dimitriadis</cp:lastModifiedBy>
  <cp:revision>6</cp:revision>
  <dcterms:created xsi:type="dcterms:W3CDTF">2022-10-04T13:25:00Z</dcterms:created>
  <dcterms:modified xsi:type="dcterms:W3CDTF">2022-10-19T14:29:00Z</dcterms:modified>
</cp:coreProperties>
</file>