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392" w:type="dxa"/>
        <w:jc w:val="center"/>
        <w:tblLayout w:type="fixed"/>
        <w:tblCellMar>
          <w:left w:w="70" w:type="dxa"/>
          <w:right w:w="70" w:type="dxa"/>
        </w:tblCellMar>
        <w:tblLook w:val="0000" w:firstRow="0" w:lastRow="0" w:firstColumn="0" w:lastColumn="0" w:noHBand="0" w:noVBand="0"/>
      </w:tblPr>
      <w:tblGrid>
        <w:gridCol w:w="18"/>
        <w:gridCol w:w="4356"/>
        <w:gridCol w:w="18"/>
      </w:tblGrid>
      <w:tr w:rsidR="00293B53" w:rsidRPr="00293B53" w14:paraId="50CF83BF" w14:textId="77777777" w:rsidTr="00293B53">
        <w:trPr>
          <w:gridAfter w:val="1"/>
          <w:wAfter w:w="18" w:type="dxa"/>
          <w:trHeight w:val="151"/>
          <w:jc w:val="center"/>
        </w:trPr>
        <w:tc>
          <w:tcPr>
            <w:tcW w:w="4374" w:type="dxa"/>
            <w:gridSpan w:val="2"/>
          </w:tcPr>
          <w:p w14:paraId="4A92B424" w14:textId="77777777" w:rsidR="00293B53" w:rsidRPr="00293B53" w:rsidRDefault="00293B53" w:rsidP="00293B53">
            <w:pPr>
              <w:keepNext/>
              <w:spacing w:after="0" w:line="240" w:lineRule="auto"/>
              <w:jc w:val="center"/>
              <w:outlineLvl w:val="1"/>
              <w:rPr>
                <w:b/>
                <w:rFonts w:ascii="Garamond" w:eastAsia="Times New Roman" w:hAnsi="Garamond" w:cs="Times New Roman"/>
              </w:rPr>
            </w:pPr>
            <w:r>
              <w:rPr>
                <w:b/>
                <w:rFonts w:ascii="Garamond" w:hAnsi="Garamond"/>
              </w:rPr>
              <w:t xml:space="preserve">Reino de Bélgica</w:t>
            </w:r>
          </w:p>
        </w:tc>
      </w:tr>
      <w:tr w:rsidR="00293B53" w:rsidRPr="00293B53" w14:paraId="4E7674DA" w14:textId="77777777" w:rsidTr="00293B53">
        <w:trPr>
          <w:gridAfter w:val="1"/>
          <w:wAfter w:w="18" w:type="dxa"/>
          <w:jc w:val="center"/>
        </w:trPr>
        <w:tc>
          <w:tcPr>
            <w:tcW w:w="4374" w:type="dxa"/>
            <w:gridSpan w:val="2"/>
          </w:tcPr>
          <w:p w14:paraId="43FE0FED" w14:textId="77777777" w:rsidR="00293B53" w:rsidRPr="00293B53" w:rsidRDefault="00293B53" w:rsidP="00293B53">
            <w:pPr>
              <w:tabs>
                <w:tab w:val="left" w:pos="2410"/>
              </w:tabs>
              <w:spacing w:after="0" w:line="240" w:lineRule="auto"/>
              <w:jc w:val="center"/>
              <w:rPr>
                <w:rFonts w:ascii="Garamond" w:eastAsia="Times New Roman" w:hAnsi="Garamond" w:cs="Times New Roman"/>
              </w:rPr>
            </w:pPr>
            <w:r>
              <w:rPr>
                <w:rFonts w:ascii="Garamond" w:hAnsi="Garamond"/>
              </w:rPr>
              <w:t xml:space="preserve">_________</w:t>
            </w:r>
          </w:p>
        </w:tc>
      </w:tr>
      <w:tr w:rsidR="00293B53" w:rsidRPr="00293B53" w14:paraId="034E8714" w14:textId="77777777" w:rsidTr="00293B53">
        <w:trPr>
          <w:gridAfter w:val="1"/>
          <w:wAfter w:w="18" w:type="dxa"/>
          <w:jc w:val="center"/>
        </w:trPr>
        <w:tc>
          <w:tcPr>
            <w:tcW w:w="4374" w:type="dxa"/>
            <w:gridSpan w:val="2"/>
          </w:tcPr>
          <w:p w14:paraId="316D9BEC" w14:textId="77777777" w:rsidR="00293B53" w:rsidRPr="00293B53" w:rsidRDefault="00293B53" w:rsidP="00293B53">
            <w:pPr>
              <w:tabs>
                <w:tab w:val="left" w:pos="2410"/>
              </w:tabs>
              <w:spacing w:after="0" w:line="240" w:lineRule="auto"/>
              <w:jc w:val="center"/>
              <w:rPr>
                <w:rFonts w:ascii="Garamond" w:eastAsia="Times New Roman" w:hAnsi="Garamond" w:cs="Times New Roman"/>
                <w:lang w:eastAsia="nl-NL"/>
              </w:rPr>
            </w:pPr>
          </w:p>
        </w:tc>
      </w:tr>
      <w:tr w:rsidR="00293B53" w:rsidRPr="00293B53" w14:paraId="573A68C9" w14:textId="77777777" w:rsidTr="00293B53">
        <w:trPr>
          <w:gridAfter w:val="1"/>
          <w:wAfter w:w="18" w:type="dxa"/>
          <w:jc w:val="center"/>
        </w:trPr>
        <w:tc>
          <w:tcPr>
            <w:tcW w:w="4374" w:type="dxa"/>
            <w:gridSpan w:val="2"/>
          </w:tcPr>
          <w:p w14:paraId="76A0BD4A" w14:textId="77777777" w:rsidR="00293B53" w:rsidRPr="00293B53" w:rsidRDefault="00293B53" w:rsidP="00293B53">
            <w:pPr>
              <w:tabs>
                <w:tab w:val="left" w:pos="2410"/>
                <w:tab w:val="left" w:pos="3616"/>
                <w:tab w:val="left" w:pos="3899"/>
              </w:tabs>
              <w:spacing w:after="0" w:line="240" w:lineRule="auto"/>
              <w:jc w:val="center"/>
              <w:rPr>
                <w:b/>
                <w:bCs/>
                <w:rFonts w:ascii="Garamond" w:eastAsia="Times New Roman" w:hAnsi="Garamond" w:cs="Times New Roman"/>
              </w:rPr>
            </w:pPr>
            <w:r>
              <w:rPr>
                <w:b/>
                <w:rFonts w:ascii="Garamond" w:hAnsi="Garamond"/>
              </w:rPr>
              <w:t xml:space="preserve">SERVICIO PÚBLICO FEDERAL DE SALUD PÚBLICA, SEGURIDAD DE LA CADENA ALIMENTARIA Y MEDIO AMBIENTE</w:t>
            </w:r>
          </w:p>
        </w:tc>
      </w:tr>
      <w:tr w:rsidR="00293B53" w:rsidRPr="00293B53" w14:paraId="361212FE" w14:textId="77777777" w:rsidTr="00293B53">
        <w:trPr>
          <w:gridAfter w:val="1"/>
          <w:wAfter w:w="18" w:type="dxa"/>
          <w:jc w:val="center"/>
        </w:trPr>
        <w:tc>
          <w:tcPr>
            <w:tcW w:w="4374" w:type="dxa"/>
            <w:gridSpan w:val="2"/>
          </w:tcPr>
          <w:p w14:paraId="76D2D742" w14:textId="77777777" w:rsidR="00293B53" w:rsidRPr="00293B53" w:rsidRDefault="00293B53" w:rsidP="00293B53">
            <w:pPr>
              <w:tabs>
                <w:tab w:val="left" w:pos="2410"/>
              </w:tabs>
              <w:spacing w:after="0" w:line="240" w:lineRule="auto"/>
              <w:jc w:val="center"/>
              <w:rPr>
                <w:bCs/>
                <w:rFonts w:ascii="Garamond" w:eastAsia="Times New Roman" w:hAnsi="Garamond" w:cs="Times New Roman"/>
              </w:rPr>
            </w:pPr>
            <w:r>
              <w:rPr>
                <w:rFonts w:ascii="Garamond" w:hAnsi="Garamond"/>
              </w:rPr>
              <w:t xml:space="preserve">________________________</w:t>
            </w:r>
          </w:p>
        </w:tc>
      </w:tr>
      <w:tr w:rsidR="00293B53" w:rsidRPr="00293B53" w14:paraId="4D46C327" w14:textId="77777777" w:rsidTr="00293B53">
        <w:trPr>
          <w:gridAfter w:val="1"/>
          <w:wAfter w:w="18" w:type="dxa"/>
          <w:jc w:val="center"/>
        </w:trPr>
        <w:tc>
          <w:tcPr>
            <w:tcW w:w="4374" w:type="dxa"/>
            <w:gridSpan w:val="2"/>
          </w:tcPr>
          <w:p w14:paraId="6E6F6C64"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p w14:paraId="439E3B87" w14:textId="77777777" w:rsidR="00293B53" w:rsidRPr="00293B53" w:rsidRDefault="00293B53" w:rsidP="00293B53">
            <w:pPr>
              <w:tabs>
                <w:tab w:val="left" w:pos="2410"/>
              </w:tabs>
              <w:spacing w:after="0" w:line="240" w:lineRule="auto"/>
              <w:jc w:val="center"/>
              <w:rPr>
                <w:rFonts w:ascii="Garamond" w:eastAsia="Times New Roman" w:hAnsi="Garamond" w:cs="Times New Roman"/>
                <w:lang w:val="fr-FR" w:eastAsia="nl-NL"/>
              </w:rPr>
            </w:pPr>
          </w:p>
        </w:tc>
      </w:tr>
      <w:tr w:rsidR="00293B53" w:rsidRPr="00293B53" w14:paraId="73657689" w14:textId="77777777" w:rsidTr="00293B53">
        <w:trPr>
          <w:gridAfter w:val="1"/>
          <w:wAfter w:w="18" w:type="dxa"/>
          <w:jc w:val="center"/>
        </w:trPr>
        <w:tc>
          <w:tcPr>
            <w:tcW w:w="4374" w:type="dxa"/>
            <w:gridSpan w:val="2"/>
          </w:tcPr>
          <w:p w14:paraId="2EB98842" w14:textId="77777777" w:rsidR="00293B53" w:rsidRPr="00293B53" w:rsidRDefault="00293B53" w:rsidP="00293B53">
            <w:pPr>
              <w:tabs>
                <w:tab w:val="left" w:pos="2410"/>
              </w:tabs>
              <w:spacing w:after="0" w:line="240" w:lineRule="auto"/>
              <w:jc w:val="center"/>
              <w:rPr>
                <w:b/>
                <w:bCs/>
                <w:rFonts w:ascii="Garamond" w:eastAsia="Times New Roman" w:hAnsi="Garamond" w:cs="Times New Roman"/>
              </w:rPr>
            </w:pPr>
            <w:r>
              <w:rPr>
                <w:b/>
                <w:color w:val="000000"/>
                <w:rFonts w:ascii="Garamond" w:hAnsi="Garamond"/>
              </w:rPr>
              <w:t xml:space="preserve">Real Decreto por el que se prohíbe la fabricación y comercialización de determinados productos similares</w:t>
            </w:r>
            <w:r>
              <w:rPr>
                <w:b/>
                <w:color w:val="000000"/>
                <w:rFonts w:ascii="Garamond" w:hAnsi="Garamond"/>
              </w:rPr>
              <w:t xml:space="preserve"> </w:t>
            </w:r>
          </w:p>
        </w:tc>
      </w:tr>
      <w:tr w:rsidR="00293B53" w:rsidRPr="00293B53" w14:paraId="4F0A5BD4" w14:textId="77777777" w:rsidTr="00293B53">
        <w:trPr>
          <w:gridAfter w:val="1"/>
          <w:wAfter w:w="18" w:type="dxa"/>
          <w:jc w:val="center"/>
        </w:trPr>
        <w:tc>
          <w:tcPr>
            <w:tcW w:w="4374" w:type="dxa"/>
            <w:gridSpan w:val="2"/>
          </w:tcPr>
          <w:p w14:paraId="1681569D" w14:textId="77777777" w:rsidR="00293B53" w:rsidRPr="00293B53" w:rsidRDefault="00293B53" w:rsidP="00293B53">
            <w:pPr>
              <w:spacing w:after="0" w:line="240" w:lineRule="auto"/>
              <w:rPr>
                <w:rFonts w:ascii="Garamond" w:eastAsia="Times New Roman" w:hAnsi="Garamond" w:cs="Times New Roman"/>
                <w:b/>
                <w:lang w:eastAsia="nl-NL"/>
              </w:rPr>
            </w:pPr>
          </w:p>
        </w:tc>
      </w:tr>
      <w:tr w:rsidR="00293B53" w:rsidRPr="00293B53" w14:paraId="6F74941D" w14:textId="77777777" w:rsidTr="00293B53">
        <w:trPr>
          <w:gridAfter w:val="1"/>
          <w:wAfter w:w="18" w:type="dxa"/>
          <w:jc w:val="center"/>
        </w:trPr>
        <w:tc>
          <w:tcPr>
            <w:tcW w:w="4374" w:type="dxa"/>
            <w:gridSpan w:val="2"/>
          </w:tcPr>
          <w:p w14:paraId="5B71A77C" w14:textId="77777777" w:rsidR="00293B53" w:rsidRPr="00293B53" w:rsidRDefault="00293B53" w:rsidP="00293B53">
            <w:pPr>
              <w:spacing w:after="0" w:line="240" w:lineRule="auto"/>
              <w:jc w:val="center"/>
              <w:rPr>
                <w:b/>
                <w:bCs/>
                <w:rFonts w:ascii="Garamond" w:eastAsia="Times New Roman" w:hAnsi="Garamond" w:cs="Times New Roman"/>
              </w:rPr>
            </w:pPr>
            <w:r>
              <w:rPr>
                <w:b/>
                <w:rFonts w:ascii="Garamond" w:hAnsi="Garamond"/>
              </w:rPr>
              <w:t xml:space="preserve">FELIPE, Rey de los belgas,</w:t>
            </w:r>
            <w:r>
              <w:rPr>
                <w:b/>
                <w:rFonts w:ascii="Garamond" w:hAnsi="Garamond"/>
              </w:rPr>
              <w:t xml:space="preserve"> </w:t>
            </w:r>
          </w:p>
        </w:tc>
      </w:tr>
      <w:tr w:rsidR="00293B53" w:rsidRPr="00293B53" w14:paraId="5E588F65" w14:textId="77777777" w:rsidTr="00293B53">
        <w:trPr>
          <w:gridAfter w:val="1"/>
          <w:wAfter w:w="18" w:type="dxa"/>
          <w:jc w:val="center"/>
        </w:trPr>
        <w:tc>
          <w:tcPr>
            <w:tcW w:w="4374" w:type="dxa"/>
            <w:gridSpan w:val="2"/>
          </w:tcPr>
          <w:p w14:paraId="666317A4" w14:textId="77777777" w:rsidR="00293B53" w:rsidRPr="00293B53" w:rsidRDefault="00293B53" w:rsidP="00293B53">
            <w:pPr>
              <w:spacing w:after="0" w:line="240" w:lineRule="auto"/>
              <w:jc w:val="center"/>
              <w:rPr>
                <w:rFonts w:ascii="Garamond" w:eastAsia="Times New Roman" w:hAnsi="Garamond" w:cs="Times New Roman"/>
                <w:bCs/>
                <w:lang w:eastAsia="nl-NL"/>
              </w:rPr>
            </w:pPr>
          </w:p>
        </w:tc>
      </w:tr>
      <w:tr w:rsidR="00293B53" w:rsidRPr="00293B53" w14:paraId="125F9B8B" w14:textId="77777777" w:rsidTr="00293B53">
        <w:trPr>
          <w:gridAfter w:val="1"/>
          <w:wAfter w:w="18" w:type="dxa"/>
          <w:jc w:val="center"/>
        </w:trPr>
        <w:tc>
          <w:tcPr>
            <w:tcW w:w="4374" w:type="dxa"/>
            <w:gridSpan w:val="2"/>
          </w:tcPr>
          <w:p w14:paraId="0682021E"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 xml:space="preserve">A todos los presentes y a los que vienen, saludos.</w:t>
            </w:r>
          </w:p>
        </w:tc>
      </w:tr>
      <w:tr w:rsidR="00293B53" w:rsidRPr="00293B53" w14:paraId="6EE6F2B3" w14:textId="77777777" w:rsidTr="00293B53">
        <w:trPr>
          <w:gridAfter w:val="1"/>
          <w:wAfter w:w="18" w:type="dxa"/>
          <w:jc w:val="center"/>
        </w:trPr>
        <w:tc>
          <w:tcPr>
            <w:tcW w:w="4374" w:type="dxa"/>
            <w:gridSpan w:val="2"/>
          </w:tcPr>
          <w:p w14:paraId="78DEDB8A" w14:textId="77777777" w:rsidR="00293B53" w:rsidRPr="00293B53" w:rsidRDefault="00293B53" w:rsidP="00293B53">
            <w:pPr>
              <w:keepNext/>
              <w:tabs>
                <w:tab w:val="left" w:pos="567"/>
                <w:tab w:val="left" w:pos="2410"/>
              </w:tabs>
              <w:spacing w:after="0" w:line="240" w:lineRule="auto"/>
              <w:outlineLvl w:val="0"/>
              <w:rPr>
                <w:rFonts w:ascii="Garamond" w:eastAsia="Times New Roman" w:hAnsi="Garamond" w:cs="Times New Roman"/>
                <w:lang w:eastAsia="nl-NL"/>
              </w:rPr>
            </w:pPr>
          </w:p>
        </w:tc>
      </w:tr>
      <w:tr w:rsidR="00293B53" w:rsidRPr="00293B53" w14:paraId="7E32D738" w14:textId="77777777" w:rsidTr="00293B53">
        <w:trPr>
          <w:gridAfter w:val="1"/>
          <w:wAfter w:w="18" w:type="dxa"/>
          <w:trHeight w:val="824"/>
          <w:jc w:val="center"/>
        </w:trPr>
        <w:tc>
          <w:tcPr>
            <w:tcW w:w="4374" w:type="dxa"/>
            <w:gridSpan w:val="2"/>
          </w:tcPr>
          <w:p w14:paraId="2CF9BA62" w14:textId="77777777" w:rsidR="00293B53" w:rsidRPr="00293B53" w:rsidRDefault="00293B53" w:rsidP="00293B53">
            <w:pPr>
              <w:keepNext/>
              <w:tabs>
                <w:tab w:val="left" w:pos="355"/>
                <w:tab w:val="left" w:pos="2410"/>
              </w:tabs>
              <w:spacing w:after="0" w:line="240" w:lineRule="auto"/>
              <w:jc w:val="both"/>
              <w:outlineLvl w:val="0"/>
              <w:rPr>
                <w:rFonts w:ascii="Garamond" w:eastAsia="Times New Roman" w:hAnsi="Garamond" w:cs="Times New Roman"/>
              </w:rPr>
            </w:pPr>
            <w:r>
              <w:rPr>
                <w:rFonts w:ascii="Garamond" w:hAnsi="Garamond"/>
              </w:rPr>
              <w:t xml:space="preserve">Visto el artículo 6, apartado 1, letra a), de la Ley, de 24 de enero de 1977, sobre la protección de la salud de los consumidores en lo que respecta a los productos alimenticios y otros productos, en su versión modificada por la Ley de 22 de marzo de 1989 y el artículo 18, apartado 1, sustituido por la Ley de 22 de marzo de 1989 y modificado por la Ley de 22 de diciembre de 2003;</w:t>
            </w:r>
          </w:p>
        </w:tc>
      </w:tr>
      <w:tr w:rsidR="00293B53" w:rsidRPr="00293B53" w14:paraId="4817417F" w14:textId="77777777" w:rsidTr="00293B53">
        <w:trPr>
          <w:gridAfter w:val="1"/>
          <w:wAfter w:w="18" w:type="dxa"/>
          <w:trHeight w:val="206"/>
          <w:jc w:val="center"/>
        </w:trPr>
        <w:tc>
          <w:tcPr>
            <w:tcW w:w="4374" w:type="dxa"/>
            <w:gridSpan w:val="2"/>
          </w:tcPr>
          <w:p w14:paraId="7F7787EF" w14:textId="77777777" w:rsidR="00293B53" w:rsidRPr="00293B53" w:rsidRDefault="00293B53" w:rsidP="00293B53">
            <w:pPr>
              <w:tabs>
                <w:tab w:val="left" w:pos="355"/>
                <w:tab w:val="left" w:pos="2410"/>
              </w:tabs>
              <w:spacing w:after="0" w:line="240" w:lineRule="auto"/>
              <w:jc w:val="both"/>
              <w:rPr>
                <w:rFonts w:ascii="Garamond" w:eastAsia="Times New Roman" w:hAnsi="Garamond" w:cs="Times New Roman"/>
                <w:bCs/>
                <w:lang w:eastAsia="nl-NL"/>
              </w:rPr>
            </w:pPr>
          </w:p>
        </w:tc>
      </w:tr>
      <w:tr w:rsidR="00293B53" w:rsidRPr="00293B53" w14:paraId="147A46B6" w14:textId="77777777" w:rsidTr="00293B53">
        <w:trPr>
          <w:gridAfter w:val="1"/>
          <w:wAfter w:w="18" w:type="dxa"/>
          <w:jc w:val="center"/>
        </w:trPr>
        <w:tc>
          <w:tcPr>
            <w:tcW w:w="4374" w:type="dxa"/>
            <w:gridSpan w:val="2"/>
          </w:tcPr>
          <w:p w14:paraId="3F3879C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Visto el Dictamen de la Inspección de Finanzas, emitido el </w:t>
            </w:r>
            <w:r>
              <w:rPr>
                <w:highlight w:val="yellow"/>
                <w:rFonts w:ascii="Garamond" w:hAnsi="Garamond"/>
              </w:rPr>
              <w:t xml:space="preserve">XXX</w:t>
            </w:r>
            <w:r>
              <w:rPr>
                <w:rFonts w:ascii="Garamond" w:hAnsi="Garamond"/>
              </w:rPr>
              <w:t xml:space="preserve">;</w:t>
            </w:r>
          </w:p>
        </w:tc>
      </w:tr>
      <w:tr w:rsidR="00293B53" w:rsidRPr="00293B53" w14:paraId="264511E8" w14:textId="77777777" w:rsidTr="00293B53">
        <w:trPr>
          <w:gridAfter w:val="1"/>
          <w:wAfter w:w="18" w:type="dxa"/>
          <w:jc w:val="center"/>
        </w:trPr>
        <w:tc>
          <w:tcPr>
            <w:tcW w:w="4374" w:type="dxa"/>
            <w:gridSpan w:val="2"/>
          </w:tcPr>
          <w:p w14:paraId="31F7687E"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3DC097E" w14:textId="77777777" w:rsidTr="00293B53">
        <w:trPr>
          <w:gridAfter w:val="1"/>
          <w:wAfter w:w="18" w:type="dxa"/>
          <w:jc w:val="center"/>
        </w:trPr>
        <w:tc>
          <w:tcPr>
            <w:tcW w:w="4374" w:type="dxa"/>
            <w:gridSpan w:val="2"/>
          </w:tcPr>
          <w:p w14:paraId="42CCC414"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Visto el acuerdo del Secretario de Estado para el Presupuesto, emitido el </w:t>
            </w:r>
            <w:r>
              <w:rPr>
                <w:highlight w:val="yellow"/>
                <w:rFonts w:ascii="Garamond" w:hAnsi="Garamond"/>
              </w:rPr>
              <w:t xml:space="preserve">XXX</w:t>
            </w:r>
            <w:r>
              <w:rPr>
                <w:rFonts w:ascii="Garamond" w:hAnsi="Garamond"/>
              </w:rPr>
              <w:t xml:space="preserve">;</w:t>
            </w:r>
          </w:p>
        </w:tc>
      </w:tr>
      <w:tr w:rsidR="00293B53" w:rsidRPr="00293B53" w14:paraId="72A4337F" w14:textId="77777777" w:rsidTr="00293B53">
        <w:trPr>
          <w:gridAfter w:val="1"/>
          <w:wAfter w:w="18" w:type="dxa"/>
          <w:jc w:val="center"/>
        </w:trPr>
        <w:tc>
          <w:tcPr>
            <w:tcW w:w="4374" w:type="dxa"/>
            <w:gridSpan w:val="2"/>
          </w:tcPr>
          <w:p w14:paraId="4B64F825"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28E629CC" w14:textId="77777777" w:rsidTr="00293B53">
        <w:trPr>
          <w:gridAfter w:val="1"/>
          <w:wAfter w:w="18" w:type="dxa"/>
          <w:jc w:val="center"/>
        </w:trPr>
        <w:tc>
          <w:tcPr>
            <w:tcW w:w="4374" w:type="dxa"/>
            <w:gridSpan w:val="2"/>
          </w:tcPr>
          <w:p w14:paraId="20587FC2"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Vista la evaluación de impacto de la regulación de </w:t>
            </w:r>
            <w:r>
              <w:rPr>
                <w:highlight w:val="yellow"/>
                <w:rFonts w:ascii="Garamond" w:hAnsi="Garamond"/>
              </w:rPr>
              <w:t xml:space="preserve">XXX</w:t>
            </w:r>
            <w:r>
              <w:rPr>
                <w:rFonts w:ascii="Garamond" w:hAnsi="Garamond"/>
              </w:rPr>
              <w:t xml:space="preserve">, realizada de conformidad con los artículos 6 y 7 de la Ley de 15 de diciembre de 2013, que contiene diversas disposiciones relativas a la simplificación administrativa;</w:t>
            </w:r>
          </w:p>
        </w:tc>
      </w:tr>
      <w:tr w:rsidR="00293B53" w:rsidRPr="00293B53" w14:paraId="6CD5DB28" w14:textId="77777777" w:rsidTr="00293B53">
        <w:trPr>
          <w:gridAfter w:val="1"/>
          <w:wAfter w:w="18" w:type="dxa"/>
          <w:jc w:val="center"/>
        </w:trPr>
        <w:tc>
          <w:tcPr>
            <w:tcW w:w="4374" w:type="dxa"/>
            <w:gridSpan w:val="2"/>
          </w:tcPr>
          <w:p w14:paraId="20DE402B"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472FB668" w14:textId="77777777" w:rsidTr="00293B53">
        <w:trPr>
          <w:gridAfter w:val="1"/>
          <w:wAfter w:w="18" w:type="dxa"/>
          <w:jc w:val="center"/>
        </w:trPr>
        <w:tc>
          <w:tcPr>
            <w:tcW w:w="4374" w:type="dxa"/>
            <w:gridSpan w:val="2"/>
          </w:tcPr>
          <w:p w14:paraId="63457A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Vista la notificación a la Comisión Europea, de </w:t>
            </w:r>
            <w:r>
              <w:rPr>
                <w:highlight w:val="yellow"/>
                <w:rFonts w:ascii="Garamond" w:hAnsi="Garamond"/>
              </w:rPr>
              <w:t xml:space="preserve">XXX</w:t>
            </w:r>
            <w:r>
              <w:rPr>
                <w:rFonts w:ascii="Garamond" w:hAnsi="Garamond"/>
              </w:rPr>
              <w:t xml:space="preserve">, de conformidad con el artículo 5, apartado 1, de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7B89B76D"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6D4ECEED"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[Teniendo en cuenta la observación de la Comisión Europea a raíz de la comunicación......... de...............;]</w:t>
            </w:r>
          </w:p>
          <w:p w14:paraId="03653D88"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p w14:paraId="5DF63F6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Visto el Dictamen </w:t>
            </w:r>
            <w:r>
              <w:rPr>
                <w:highlight w:val="yellow"/>
                <w:rFonts w:ascii="Garamond" w:hAnsi="Garamond"/>
              </w:rPr>
              <w:t xml:space="preserve">XX</w:t>
            </w:r>
            <w:r>
              <w:rPr>
                <w:rFonts w:ascii="Garamond" w:hAnsi="Garamond"/>
              </w:rPr>
              <w:t xml:space="preserve"> del Consejo de Estado, emitido el </w:t>
            </w:r>
            <w:r>
              <w:rPr>
                <w:highlight w:val="yellow"/>
                <w:rFonts w:ascii="Garamond" w:hAnsi="Garamond"/>
              </w:rPr>
              <w:t xml:space="preserve">XXX</w:t>
            </w:r>
            <w:r>
              <w:rPr>
                <w:rFonts w:ascii="Garamond" w:hAnsi="Garamond"/>
              </w:rPr>
              <w:t xml:space="preserve">, de conformidad con el artículo 84, apartado 1, punto 1, párrafo segundo, de la Ley del Consejo de Estado, consolidada el 12 de enero de 1973;</w:t>
            </w:r>
          </w:p>
        </w:tc>
      </w:tr>
      <w:tr w:rsidR="00293B53" w:rsidRPr="00293B53" w14:paraId="757AB588" w14:textId="77777777" w:rsidTr="00293B53">
        <w:trPr>
          <w:gridAfter w:val="1"/>
          <w:wAfter w:w="18" w:type="dxa"/>
          <w:jc w:val="center"/>
        </w:trPr>
        <w:tc>
          <w:tcPr>
            <w:tcW w:w="4374" w:type="dxa"/>
            <w:gridSpan w:val="2"/>
          </w:tcPr>
          <w:p w14:paraId="0C758169" w14:textId="77777777" w:rsidR="00293B53" w:rsidRPr="004C1DD3" w:rsidRDefault="00293B53" w:rsidP="00293B53">
            <w:pPr>
              <w:tabs>
                <w:tab w:val="left" w:pos="2410"/>
              </w:tabs>
              <w:spacing w:after="0" w:line="240" w:lineRule="auto"/>
              <w:jc w:val="both"/>
              <w:rPr>
                <w:rFonts w:ascii="Garamond" w:eastAsia="Times New Roman" w:hAnsi="Garamond" w:cs="Times New Roman"/>
                <w:lang w:val="fr-FR" w:eastAsia="nl-NL"/>
              </w:rPr>
            </w:pPr>
          </w:p>
        </w:tc>
      </w:tr>
      <w:tr w:rsidR="00293B53" w:rsidRPr="00293B53" w14:paraId="42291B66" w14:textId="77777777" w:rsidTr="00293B53">
        <w:trPr>
          <w:gridAfter w:val="1"/>
          <w:wAfter w:w="18" w:type="dxa"/>
          <w:jc w:val="center"/>
        </w:trPr>
        <w:tc>
          <w:tcPr>
            <w:tcW w:w="4374" w:type="dxa"/>
            <w:gridSpan w:val="2"/>
          </w:tcPr>
          <w:p w14:paraId="7F9326A7" w14:textId="77777777" w:rsidR="00293B53" w:rsidRPr="00293B53" w:rsidRDefault="00293B53" w:rsidP="00293B53">
            <w:pPr>
              <w:tabs>
                <w:tab w:val="left" w:pos="355"/>
                <w:tab w:val="left" w:pos="567"/>
                <w:tab w:val="left" w:pos="2410"/>
              </w:tabs>
              <w:spacing w:after="0" w:line="240" w:lineRule="auto"/>
              <w:jc w:val="both"/>
              <w:rPr>
                <w:rFonts w:ascii="Garamond" w:eastAsia="Times New Roman" w:hAnsi="Garamond" w:cs="Times New Roman"/>
              </w:rPr>
            </w:pPr>
            <w:r>
              <w:rPr>
                <w:rFonts w:ascii="Garamond" w:hAnsi="Garamond"/>
              </w:rPr>
              <w:t xml:space="preserve">A propuesta del Ministro de Salud Pública,</w:t>
            </w:r>
            <w:r>
              <w:rPr>
                <w:rFonts w:ascii="Garamond" w:hAnsi="Garamond"/>
              </w:rPr>
              <w:t xml:space="preserve"> </w:t>
            </w:r>
          </w:p>
        </w:tc>
      </w:tr>
      <w:tr w:rsidR="00293B53" w:rsidRPr="00293B53" w14:paraId="3DC3CC19" w14:textId="77777777" w:rsidTr="00293B53">
        <w:trPr>
          <w:gridAfter w:val="1"/>
          <w:wAfter w:w="18" w:type="dxa"/>
          <w:jc w:val="center"/>
        </w:trPr>
        <w:tc>
          <w:tcPr>
            <w:tcW w:w="4374" w:type="dxa"/>
            <w:gridSpan w:val="2"/>
          </w:tcPr>
          <w:p w14:paraId="3E0CFD5C" w14:textId="77777777" w:rsidR="00293B53" w:rsidRPr="00293B53" w:rsidRDefault="00293B53" w:rsidP="00293B53">
            <w:pPr>
              <w:tabs>
                <w:tab w:val="left" w:pos="2410"/>
              </w:tabs>
              <w:spacing w:after="0" w:line="240" w:lineRule="auto"/>
              <w:jc w:val="both"/>
              <w:rPr>
                <w:rFonts w:ascii="Garamond" w:eastAsia="Times New Roman" w:hAnsi="Garamond" w:cs="Times New Roman"/>
                <w:lang w:eastAsia="nl-NL"/>
              </w:rPr>
            </w:pPr>
          </w:p>
        </w:tc>
      </w:tr>
      <w:tr w:rsidR="00293B53" w:rsidRPr="00293B53" w14:paraId="6546F921" w14:textId="77777777" w:rsidTr="00293B53">
        <w:trPr>
          <w:gridAfter w:val="1"/>
          <w:wAfter w:w="18" w:type="dxa"/>
          <w:jc w:val="center"/>
        </w:trPr>
        <w:tc>
          <w:tcPr>
            <w:tcW w:w="4374" w:type="dxa"/>
            <w:gridSpan w:val="2"/>
          </w:tcPr>
          <w:p w14:paraId="1B79A530" w14:textId="77777777" w:rsidR="00293B53" w:rsidRPr="00293B53" w:rsidRDefault="00293B53" w:rsidP="00293B53">
            <w:pPr>
              <w:tabs>
                <w:tab w:val="left" w:pos="355"/>
                <w:tab w:val="left" w:pos="2410"/>
              </w:tabs>
              <w:spacing w:after="0" w:line="240" w:lineRule="auto"/>
              <w:jc w:val="center"/>
              <w:rPr>
                <w:rFonts w:ascii="Garamond" w:eastAsia="Times New Roman" w:hAnsi="Garamond" w:cs="Times New Roman"/>
              </w:rPr>
            </w:pPr>
            <w:r>
              <w:rPr>
                <w:rFonts w:ascii="Garamond" w:hAnsi="Garamond"/>
              </w:rPr>
              <w:t xml:space="preserve">HE DECRETADO Y DECRETO:</w:t>
            </w:r>
          </w:p>
        </w:tc>
      </w:tr>
      <w:tr w:rsidR="00293B53" w:rsidRPr="00293B53" w14:paraId="554EB2BA" w14:textId="77777777" w:rsidTr="00293B53">
        <w:trPr>
          <w:gridAfter w:val="1"/>
          <w:wAfter w:w="18" w:type="dxa"/>
          <w:jc w:val="center"/>
        </w:trPr>
        <w:tc>
          <w:tcPr>
            <w:tcW w:w="4374" w:type="dxa"/>
            <w:gridSpan w:val="2"/>
          </w:tcPr>
          <w:p w14:paraId="6ED059A0" w14:textId="77777777" w:rsidR="00293B53" w:rsidRPr="00293B53" w:rsidRDefault="00293B53" w:rsidP="00293B53">
            <w:pPr>
              <w:tabs>
                <w:tab w:val="left" w:pos="567"/>
                <w:tab w:val="left" w:pos="2410"/>
              </w:tabs>
              <w:spacing w:after="0" w:line="240" w:lineRule="auto"/>
              <w:jc w:val="center"/>
              <w:rPr>
                <w:rFonts w:ascii="Garamond" w:eastAsia="Times New Roman" w:hAnsi="Garamond" w:cs="Times New Roman"/>
                <w:lang w:eastAsia="nl-NL"/>
              </w:rPr>
            </w:pPr>
          </w:p>
        </w:tc>
      </w:tr>
      <w:tr w:rsidR="00293B53" w:rsidRPr="00293B53" w14:paraId="4971376B" w14:textId="77777777" w:rsidTr="00293B53">
        <w:trPr>
          <w:gridAfter w:val="1"/>
          <w:wAfter w:w="18" w:type="dxa"/>
          <w:jc w:val="center"/>
        </w:trPr>
        <w:tc>
          <w:tcPr>
            <w:tcW w:w="4374" w:type="dxa"/>
            <w:gridSpan w:val="2"/>
          </w:tcPr>
          <w:p w14:paraId="472B68CE" w14:textId="77777777" w:rsidR="00293B53" w:rsidRPr="00293B53" w:rsidRDefault="00293B53" w:rsidP="00293B53">
            <w:pPr>
              <w:tabs>
                <w:tab w:val="left" w:pos="2410"/>
              </w:tabs>
              <w:spacing w:after="0" w:line="240" w:lineRule="auto"/>
              <w:jc w:val="both"/>
              <w:rPr>
                <w:b/>
                <w:bCs/>
                <w:rFonts w:ascii="Garamond" w:eastAsia="Times New Roman" w:hAnsi="Garamond" w:cs="Times New Roman"/>
              </w:rPr>
            </w:pPr>
            <w:r>
              <w:rPr>
                <w:b/>
                <w:rFonts w:ascii="Garamond" w:hAnsi="Garamond"/>
              </w:rPr>
              <w:t xml:space="preserve">Artículo 1.</w:t>
            </w:r>
            <w:r>
              <w:rPr>
                <w:rFonts w:ascii="Garamond" w:hAnsi="Garamond"/>
              </w:rPr>
              <w:t xml:space="preserve"> </w:t>
            </w:r>
            <w:r>
              <w:rPr>
                <w:b/>
                <w:rFonts w:ascii="Garamond" w:hAnsi="Garamond"/>
              </w:rPr>
              <w:t xml:space="preserve">Definiciones</w:t>
            </w:r>
          </w:p>
          <w:p w14:paraId="67607B8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Para la aplicación del presente Decreto, se entenderá por:</w:t>
            </w:r>
          </w:p>
          <w:p w14:paraId="7B6EE771"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1) bolsas de nicotina:</w:t>
            </w:r>
            <w:r>
              <w:rPr>
                <w:sz w:val="20"/>
                <w:rFonts w:ascii="Times New Roman" w:hAnsi="Times New Roman"/>
              </w:rPr>
              <w:t xml:space="preserve"> </w:t>
            </w:r>
            <w:r>
              <w:rPr>
                <w:rFonts w:ascii="Garamond" w:hAnsi="Garamond"/>
              </w:rPr>
              <w:t xml:space="preserve">cualquier producto sin tabaco para uso oral consistente en nicotina total o parcialmente sintética o natural en forma de polvo, partículas o pasta o en cualquier combinación de dichas formas, en particular las que se presentan en bolsitas o en sobres porosos;</w:t>
            </w:r>
          </w:p>
          <w:p w14:paraId="68B1C33F" w14:textId="42A6D7BF"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2) bolsa cannabinoide: cualquier producto de uso oral que consista en uno o varios cannabinoides o sus derivados, o que contenga uno o más cannabinoides, en forma de polvo, partículas o pasta o en cualquier combinación de dichas formas, incluidas las que se presentan en bolsitas o en sobres porosos;</w:t>
            </w:r>
          </w:p>
          <w:p w14:paraId="069C48FE"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3) comercialización: poner los productos, independientemente de su lugar de fabricación, a disposición de los consumidores en Bélgica, sea o no a título oneroso, incluso mediante venta a distancia;</w:t>
            </w:r>
          </w:p>
          <w:p w14:paraId="34A8EA7A"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4) fabricante: toda persona física o jurídica que fabrique un producto o tenga un producto diseñado o fabricado, y que comercialice el producto bajo su propio nombre o marca;</w:t>
            </w:r>
          </w:p>
          <w:p w14:paraId="4F38189F"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5) importador en Bélgica: el propietario o la persona facultada para disponer de los productos introducidos en el territorio de Bélgica;</w:t>
            </w:r>
          </w:p>
          <w:p w14:paraId="36155E7C"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6)</w:t>
            </w:r>
            <w:r>
              <w:rPr>
                <w:sz w:val="20"/>
                <w:rFonts w:ascii="Times New Roman" w:hAnsi="Times New Roman"/>
              </w:rPr>
              <w:t xml:space="preserve"> </w:t>
            </w:r>
            <w:r>
              <w:rPr>
                <w:rFonts w:ascii="Garamond" w:hAnsi="Garamond"/>
              </w:rPr>
              <w:t xml:space="preserve">minorista:</w:t>
            </w:r>
            <w:r>
              <w:rPr>
                <w:sz w:val="20"/>
                <w:rFonts w:ascii="Times New Roman" w:hAnsi="Times New Roman"/>
              </w:rPr>
              <w:t xml:space="preserve"> </w:t>
            </w:r>
            <w:r>
              <w:rPr>
                <w:rFonts w:ascii="Garamond" w:hAnsi="Garamond"/>
              </w:rPr>
              <w:t xml:space="preserve">cualquier punto de venta en el que los productos se comercialicen, incluso por una persona física.</w:t>
            </w:r>
          </w:p>
        </w:tc>
      </w:tr>
      <w:tr w:rsidR="00293B53" w:rsidRPr="00293B53" w14:paraId="75877B49" w14:textId="77777777" w:rsidTr="00293B53">
        <w:trPr>
          <w:gridAfter w:val="1"/>
          <w:wAfter w:w="18" w:type="dxa"/>
          <w:trHeight w:val="331"/>
          <w:jc w:val="center"/>
        </w:trPr>
        <w:tc>
          <w:tcPr>
            <w:tcW w:w="4374" w:type="dxa"/>
            <w:gridSpan w:val="2"/>
          </w:tcPr>
          <w:p w14:paraId="1767DBFD"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1DC59148" w14:textId="77777777" w:rsidTr="00293B53">
        <w:trPr>
          <w:gridAfter w:val="1"/>
          <w:wAfter w:w="18" w:type="dxa"/>
          <w:trHeight w:val="322"/>
          <w:jc w:val="center"/>
        </w:trPr>
        <w:tc>
          <w:tcPr>
            <w:tcW w:w="4374" w:type="dxa"/>
            <w:gridSpan w:val="2"/>
          </w:tcPr>
          <w:p w14:paraId="69918B7D"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Artículo 2.</w:t>
            </w:r>
            <w:r>
              <w:rPr>
                <w:b/>
                <w:rFonts w:ascii="Garamond" w:hAnsi="Garamond"/>
              </w:rPr>
              <w:t xml:space="preserve">  </w:t>
            </w:r>
            <w:r>
              <w:rPr>
                <w:b/>
                <w:rFonts w:ascii="Garamond" w:hAnsi="Garamond"/>
              </w:rPr>
              <w:t xml:space="preserve">Prohibición</w:t>
            </w:r>
          </w:p>
          <w:p w14:paraId="0FA130E0"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Queda prohibido introducir bolsas de nicotina y bolsas de cannabinoides en el mercado.</w:t>
            </w:r>
          </w:p>
          <w:p w14:paraId="35DCBB85"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 </w:t>
            </w:r>
          </w:p>
        </w:tc>
      </w:tr>
      <w:tr w:rsidR="00293B53" w:rsidRPr="00293B53" w14:paraId="5552DB58" w14:textId="77777777" w:rsidTr="00293B53">
        <w:trPr>
          <w:gridAfter w:val="1"/>
          <w:wAfter w:w="18" w:type="dxa"/>
          <w:trHeight w:val="322"/>
          <w:jc w:val="center"/>
        </w:trPr>
        <w:tc>
          <w:tcPr>
            <w:tcW w:w="4374" w:type="dxa"/>
            <w:gridSpan w:val="2"/>
          </w:tcPr>
          <w:p w14:paraId="3F633FB0"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22918896" w14:textId="77777777" w:rsidTr="00293B53">
        <w:trPr>
          <w:gridAfter w:val="1"/>
          <w:wAfter w:w="18" w:type="dxa"/>
          <w:trHeight w:val="322"/>
          <w:jc w:val="center"/>
        </w:trPr>
        <w:tc>
          <w:tcPr>
            <w:tcW w:w="4374" w:type="dxa"/>
            <w:gridSpan w:val="2"/>
          </w:tcPr>
          <w:p w14:paraId="66B5A9BD"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Artículo 3.</w:t>
            </w:r>
            <w:r>
              <w:rPr>
                <w:b/>
                <w:rFonts w:ascii="Garamond" w:hAnsi="Garamond"/>
              </w:rPr>
              <w:t xml:space="preserve"> </w:t>
            </w:r>
            <w:r>
              <w:rPr>
                <w:b/>
                <w:rFonts w:ascii="Garamond" w:hAnsi="Garamond"/>
              </w:rPr>
              <w:t xml:space="preserve">Sanciones penales</w:t>
            </w:r>
          </w:p>
          <w:p w14:paraId="623DB1A4"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Apartado 1.</w:t>
            </w:r>
            <w:r>
              <w:rPr>
                <w:b/>
                <w:rFonts w:ascii="Garamond" w:hAnsi="Garamond"/>
              </w:rPr>
              <w:t xml:space="preserve"> </w:t>
            </w:r>
            <w:r>
              <w:rPr>
                <w:sz w:val="20"/>
                <w:sz w:val="20"/>
                <w:rFonts w:ascii="Garamond" w:hAnsi="Garamond"/>
              </w:rPr>
              <w:t xml:space="preserve">Los productos enumerados en el artículo 2 de este Decreto se considerarán nocivos en el sentido del artículo 18 de la Ley, de 24 de enero de 1977, sobre la protección de la salud de los consumidores en lo que respecta a los productos alimenticios y otros productos.</w:t>
            </w:r>
          </w:p>
          <w:p w14:paraId="73D4D5B0"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Apartado 2.</w:t>
            </w:r>
            <w:r>
              <w:rPr>
                <w:rFonts w:ascii="Garamond" w:hAnsi="Garamond"/>
              </w:rPr>
              <w:t xml:space="preserve"> </w:t>
            </w:r>
            <w:r>
              <w:rPr>
                <w:rFonts w:ascii="Garamond" w:hAnsi="Garamond"/>
              </w:rPr>
              <w:t xml:space="preserve">Las infracciones de este Decreto se buscarán, detectarán y perseguirán de acuerdo con las disposiciones de la Ley de 24 de enero de 1977 antes mencionada.</w:t>
            </w:r>
          </w:p>
          <w:p w14:paraId="4716BD78" w14:textId="77777777" w:rsidR="00293B53" w:rsidRPr="00293B53" w:rsidRDefault="00293B53" w:rsidP="00293B53">
            <w:pPr>
              <w:tabs>
                <w:tab w:val="left" w:pos="2410"/>
              </w:tabs>
              <w:spacing w:after="0" w:line="240" w:lineRule="auto"/>
              <w:jc w:val="both"/>
              <w:rPr>
                <w:bCs/>
                <w:rFonts w:ascii="Garamond" w:eastAsia="Times New Roman" w:hAnsi="Garamond" w:cs="Times New Roman"/>
              </w:rPr>
            </w:pPr>
            <w:r>
              <w:rPr>
                <w:rFonts w:ascii="Garamond" w:hAnsi="Garamond"/>
              </w:rPr>
              <w:t xml:space="preserve">Apartado 3.</w:t>
            </w:r>
            <w:r>
              <w:rPr>
                <w:rFonts w:ascii="Garamond" w:hAnsi="Garamond"/>
              </w:rPr>
              <w:t xml:space="preserve"> </w:t>
            </w:r>
            <w:r>
              <w:rPr>
                <w:rFonts w:ascii="Garamond" w:hAnsi="Garamond"/>
              </w:rPr>
              <w:t xml:space="preserve">Las sanciones previstas en el artículo 13 de la Ley, de 24 de enero de 1977, sobre la protección de la salud de los consumidores en lo que respecta a los productos alimenticios y otros productos serán sancionadas si infringen la prohibición establecida en el artículo 2 del presente Decreto.</w:t>
            </w:r>
          </w:p>
          <w:p w14:paraId="4E6F7A3C"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rFonts w:ascii="Garamond" w:hAnsi="Garamond"/>
              </w:rPr>
              <w:t xml:space="preserve">Apartado 4.</w:t>
            </w:r>
            <w:r>
              <w:rPr>
                <w:b/>
                <w:rFonts w:ascii="Garamond" w:hAnsi="Garamond"/>
              </w:rPr>
              <w:t xml:space="preserve"> </w:t>
            </w:r>
            <w:r>
              <w:rPr>
                <w:rFonts w:ascii="Garamond" w:hAnsi="Garamond"/>
              </w:rPr>
              <w:t xml:space="preserve">El fabricante, el importador en Bélgica y el minorista podrán ser considerados responsables del incumplimiento del artículo 2 del presente Decreto.</w:t>
            </w:r>
          </w:p>
        </w:tc>
      </w:tr>
      <w:tr w:rsidR="00293B53" w:rsidRPr="00293B53" w14:paraId="5529DEA8" w14:textId="77777777" w:rsidTr="00293B53">
        <w:trPr>
          <w:gridAfter w:val="1"/>
          <w:wAfter w:w="18" w:type="dxa"/>
          <w:trHeight w:val="322"/>
          <w:jc w:val="center"/>
        </w:trPr>
        <w:tc>
          <w:tcPr>
            <w:tcW w:w="4374" w:type="dxa"/>
            <w:gridSpan w:val="2"/>
          </w:tcPr>
          <w:p w14:paraId="4431B98F" w14:textId="77777777" w:rsidR="00293B53" w:rsidRPr="004C1DD3" w:rsidRDefault="00293B53" w:rsidP="00293B53">
            <w:pPr>
              <w:tabs>
                <w:tab w:val="left" w:pos="2410"/>
              </w:tabs>
              <w:spacing w:after="0" w:line="240" w:lineRule="auto"/>
              <w:jc w:val="both"/>
              <w:rPr>
                <w:rFonts w:ascii="Garamond" w:eastAsia="Times New Roman" w:hAnsi="Garamond" w:cs="Times New Roman"/>
                <w:b/>
                <w:lang w:val="fr-FR" w:eastAsia="nl-NL"/>
              </w:rPr>
            </w:pPr>
          </w:p>
        </w:tc>
      </w:tr>
      <w:tr w:rsidR="00293B53" w:rsidRPr="00293B53" w14:paraId="395EDD39" w14:textId="77777777" w:rsidTr="00293B53">
        <w:trPr>
          <w:gridAfter w:val="1"/>
          <w:wAfter w:w="18" w:type="dxa"/>
          <w:trHeight w:val="322"/>
          <w:jc w:val="center"/>
        </w:trPr>
        <w:tc>
          <w:tcPr>
            <w:tcW w:w="4374" w:type="dxa"/>
            <w:gridSpan w:val="2"/>
          </w:tcPr>
          <w:p w14:paraId="424FB9C2"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Artículo 4.</w:t>
            </w:r>
            <w:r>
              <w:rPr>
                <w:b/>
                <w:rFonts w:ascii="Garamond" w:hAnsi="Garamond"/>
              </w:rPr>
              <w:t xml:space="preserve"> </w:t>
            </w:r>
            <w:r>
              <w:rPr>
                <w:b/>
                <w:rFonts w:ascii="Garamond" w:hAnsi="Garamond"/>
              </w:rPr>
              <w:t xml:space="preserve">Entrada en vigor</w:t>
            </w:r>
          </w:p>
          <w:p w14:paraId="07962271"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rFonts w:ascii="Garamond" w:hAnsi="Garamond"/>
              </w:rPr>
              <w:t xml:space="preserve">El presente Decreto entrará en vigor tres meses después de su publicación en el Boletín Oficial belga, excepto en el caso del minorista para el que el presente Decreto entra en vigor seis meses después de su publicación en el Boletín Oficial belga.</w:t>
            </w:r>
          </w:p>
        </w:tc>
      </w:tr>
      <w:tr w:rsidR="00293B53" w:rsidRPr="00293B53" w14:paraId="75DA5B78" w14:textId="77777777" w:rsidTr="00293B53">
        <w:trPr>
          <w:gridAfter w:val="1"/>
          <w:wAfter w:w="18" w:type="dxa"/>
          <w:trHeight w:val="322"/>
          <w:jc w:val="center"/>
        </w:trPr>
        <w:tc>
          <w:tcPr>
            <w:tcW w:w="4374" w:type="dxa"/>
            <w:gridSpan w:val="2"/>
          </w:tcPr>
          <w:p w14:paraId="0759B75E" w14:textId="77777777" w:rsidR="00293B53" w:rsidRPr="004C1DD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ab/>
            </w:r>
          </w:p>
        </w:tc>
      </w:tr>
      <w:tr w:rsidR="00293B53" w:rsidRPr="00293B53" w14:paraId="14538C3B" w14:textId="77777777" w:rsidTr="00293B53">
        <w:trPr>
          <w:gridBefore w:val="1"/>
          <w:wBefore w:w="18" w:type="dxa"/>
          <w:trHeight w:val="322"/>
          <w:jc w:val="center"/>
        </w:trPr>
        <w:tc>
          <w:tcPr>
            <w:tcW w:w="4374" w:type="dxa"/>
            <w:gridSpan w:val="2"/>
          </w:tcPr>
          <w:p w14:paraId="54F409E5" w14:textId="77777777" w:rsidR="00293B53" w:rsidRPr="00293B53" w:rsidRDefault="00293B53" w:rsidP="00293B53">
            <w:pPr>
              <w:tabs>
                <w:tab w:val="left" w:pos="2410"/>
              </w:tabs>
              <w:spacing w:after="0" w:line="240" w:lineRule="auto"/>
              <w:jc w:val="both"/>
              <w:rPr>
                <w:b/>
                <w:rFonts w:ascii="Garamond" w:eastAsia="Times New Roman" w:hAnsi="Garamond" w:cs="Times New Roman"/>
              </w:rPr>
            </w:pPr>
            <w:r>
              <w:rPr>
                <w:b/>
                <w:rFonts w:ascii="Garamond" w:hAnsi="Garamond"/>
              </w:rPr>
              <w:t xml:space="preserve">Artículo 5.</w:t>
            </w:r>
            <w:r>
              <w:rPr>
                <w:b/>
                <w:rFonts w:ascii="Garamond" w:hAnsi="Garamond"/>
              </w:rPr>
              <w:t xml:space="preserve"> </w:t>
            </w:r>
            <w:r>
              <w:rPr>
                <w:b/>
                <w:rFonts w:ascii="Garamond" w:hAnsi="Garamond"/>
              </w:rPr>
              <w:t xml:space="preserve">Disposición final</w:t>
            </w:r>
            <w:r>
              <w:rPr>
                <w:b/>
                <w:rFonts w:ascii="Garamond" w:hAnsi="Garamond"/>
              </w:rPr>
              <w:t xml:space="preserve"> </w:t>
            </w:r>
          </w:p>
          <w:p w14:paraId="312C8769" w14:textId="77777777" w:rsidR="00293B53" w:rsidRPr="00293B53" w:rsidRDefault="00293B53" w:rsidP="00293B53">
            <w:pPr>
              <w:tabs>
                <w:tab w:val="left" w:pos="2410"/>
              </w:tabs>
              <w:spacing w:after="0" w:line="240" w:lineRule="auto"/>
              <w:jc w:val="both"/>
              <w:rPr>
                <w:rFonts w:ascii="Garamond" w:eastAsia="Times New Roman" w:hAnsi="Garamond" w:cs="Times New Roman"/>
              </w:rPr>
            </w:pPr>
            <w:r>
              <w:rPr>
                <w:rFonts w:ascii="Garamond" w:hAnsi="Garamond"/>
              </w:rPr>
              <w:t xml:space="preserve">El Ministro de Salud Pública será responsable de la aplicación del presente Decreto.</w:t>
            </w:r>
            <w:r>
              <w:rPr>
                <w:rFonts w:ascii="Garamond" w:hAnsi="Garamond"/>
              </w:rPr>
              <w:t xml:space="preserve"> </w:t>
            </w:r>
          </w:p>
        </w:tc>
      </w:tr>
      <w:tr w:rsidR="00293B53" w:rsidRPr="00293B53" w14:paraId="1A5B13FB" w14:textId="77777777" w:rsidTr="00293B53">
        <w:trPr>
          <w:gridBefore w:val="1"/>
          <w:wBefore w:w="18" w:type="dxa"/>
          <w:trHeight w:val="322"/>
          <w:jc w:val="center"/>
        </w:trPr>
        <w:tc>
          <w:tcPr>
            <w:tcW w:w="4374" w:type="dxa"/>
            <w:gridSpan w:val="2"/>
          </w:tcPr>
          <w:p w14:paraId="6437790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3F2B6B05"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FB5785A"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FD7173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29A2A95E"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4855E3"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213BE08"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5A6E0734"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4A174EF9"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7B3D94A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047D921C" w14:textId="77777777" w:rsidR="00293B53" w:rsidRPr="00293B53" w:rsidRDefault="00293B53" w:rsidP="00293B53">
            <w:pPr>
              <w:tabs>
                <w:tab w:val="left" w:pos="2410"/>
              </w:tabs>
              <w:spacing w:after="0" w:line="240" w:lineRule="auto"/>
              <w:jc w:val="center"/>
              <w:rPr>
                <w:rFonts w:ascii="Garamond" w:eastAsia="Times New Roman" w:hAnsi="Garamond" w:cs="Times New Roman"/>
                <w:szCs w:val="20"/>
                <w:lang w:eastAsia="nl-NL"/>
              </w:rPr>
            </w:pPr>
          </w:p>
          <w:p w14:paraId="605AE6F4" w14:textId="77777777" w:rsidR="00293B53" w:rsidRPr="00293B53" w:rsidRDefault="00293B53" w:rsidP="00293B53">
            <w:pPr>
              <w:tabs>
                <w:tab w:val="left" w:pos="2410"/>
              </w:tabs>
              <w:spacing w:after="0" w:line="240" w:lineRule="auto"/>
              <w:jc w:val="center"/>
              <w:rPr>
                <w:b/>
                <w:rFonts w:ascii="Garamond" w:eastAsia="Times New Roman" w:hAnsi="Garamond" w:cs="Times New Roman"/>
              </w:rPr>
            </w:pPr>
            <w:r>
              <w:rPr>
                <w:rFonts w:ascii="Garamond" w:hAnsi="Garamond"/>
              </w:rPr>
              <w:t xml:space="preserve">Por el Rey:</w:t>
            </w:r>
          </w:p>
        </w:tc>
      </w:tr>
      <w:tr w:rsidR="00293B53" w:rsidRPr="00293B53" w14:paraId="126B4253" w14:textId="77777777" w:rsidTr="00293B53">
        <w:trPr>
          <w:gridBefore w:val="1"/>
          <w:wBefore w:w="18" w:type="dxa"/>
          <w:trHeight w:val="322"/>
          <w:jc w:val="center"/>
        </w:trPr>
        <w:tc>
          <w:tcPr>
            <w:tcW w:w="4374" w:type="dxa"/>
            <w:gridSpan w:val="2"/>
          </w:tcPr>
          <w:p w14:paraId="331A48E5" w14:textId="77777777" w:rsidR="00293B53" w:rsidRPr="00293B53" w:rsidRDefault="00293B53" w:rsidP="00293B53">
            <w:pPr>
              <w:tabs>
                <w:tab w:val="left" w:pos="2410"/>
              </w:tabs>
              <w:spacing w:after="0" w:line="240" w:lineRule="auto"/>
              <w:jc w:val="center"/>
              <w:rPr>
                <w:rFonts w:ascii="Garamond" w:eastAsia="Times New Roman" w:hAnsi="Garamond" w:cs="Times New Roman"/>
                <w:b/>
                <w:lang w:val="fr-FR" w:eastAsia="nl-NL"/>
              </w:rPr>
            </w:pPr>
          </w:p>
        </w:tc>
      </w:tr>
      <w:tr w:rsidR="00293B53" w:rsidRPr="00293B53" w14:paraId="373FB4F2" w14:textId="77777777" w:rsidTr="00293B53">
        <w:trPr>
          <w:gridBefore w:val="1"/>
          <w:wBefore w:w="18" w:type="dxa"/>
          <w:trHeight w:val="322"/>
          <w:jc w:val="center"/>
        </w:trPr>
        <w:tc>
          <w:tcPr>
            <w:tcW w:w="4374" w:type="dxa"/>
            <w:gridSpan w:val="2"/>
          </w:tcPr>
          <w:p w14:paraId="7B423D89" w14:textId="77777777" w:rsidR="00293B53" w:rsidRPr="00293B53" w:rsidRDefault="00293B53" w:rsidP="00293B53">
            <w:pPr>
              <w:tabs>
                <w:tab w:val="left" w:pos="2410"/>
              </w:tabs>
              <w:spacing w:after="0" w:line="240" w:lineRule="auto"/>
              <w:jc w:val="center"/>
              <w:rPr>
                <w:b/>
                <w:rFonts w:ascii="Garamond" w:eastAsia="Times New Roman" w:hAnsi="Garamond" w:cs="Times New Roman"/>
              </w:rPr>
            </w:pPr>
            <w:r>
              <w:rPr>
                <w:sz w:val="20"/>
                <w:rFonts w:ascii="Garamond" w:hAnsi="Garamond"/>
              </w:rPr>
              <w:t xml:space="preserve">El Ministro de Salud Pública,</w:t>
            </w:r>
          </w:p>
        </w:tc>
      </w:tr>
      <w:tr w:rsidR="00293B53" w:rsidRPr="00293B53" w14:paraId="26504951" w14:textId="77777777" w:rsidTr="00293B53">
        <w:trPr>
          <w:gridBefore w:val="1"/>
          <w:wBefore w:w="18" w:type="dxa"/>
          <w:trHeight w:val="322"/>
          <w:jc w:val="center"/>
        </w:trPr>
        <w:tc>
          <w:tcPr>
            <w:tcW w:w="4374" w:type="dxa"/>
            <w:gridSpan w:val="2"/>
          </w:tcPr>
          <w:p w14:paraId="74A62E6F" w14:textId="77777777" w:rsidR="00293B53" w:rsidRPr="00293B53" w:rsidRDefault="00293B53" w:rsidP="00293B53">
            <w:pPr>
              <w:tabs>
                <w:tab w:val="left" w:pos="2410"/>
              </w:tabs>
              <w:spacing w:after="0" w:line="240" w:lineRule="auto"/>
              <w:jc w:val="center"/>
              <w:rPr>
                <w:rFonts w:ascii="Garamond" w:eastAsia="Times New Roman" w:hAnsi="Garamond" w:cs="Times New Roman"/>
                <w:sz w:val="20"/>
                <w:szCs w:val="20"/>
                <w:lang w:eastAsia="nl-NL"/>
              </w:rPr>
            </w:pPr>
          </w:p>
        </w:tc>
      </w:tr>
      <w:tr w:rsidR="00293B53" w:rsidRPr="00293B53" w14:paraId="7A28C210" w14:textId="77777777" w:rsidTr="00293B53">
        <w:trPr>
          <w:gridBefore w:val="1"/>
          <w:wBefore w:w="18" w:type="dxa"/>
          <w:trHeight w:val="322"/>
          <w:jc w:val="center"/>
        </w:trPr>
        <w:tc>
          <w:tcPr>
            <w:tcW w:w="4374" w:type="dxa"/>
            <w:gridSpan w:val="2"/>
          </w:tcPr>
          <w:p w14:paraId="71197EF7" w14:textId="3F909246" w:rsidR="00293B53" w:rsidRPr="00293B53" w:rsidRDefault="00293B53" w:rsidP="00293B53">
            <w:pPr>
              <w:tabs>
                <w:tab w:val="left" w:pos="2410"/>
              </w:tabs>
              <w:spacing w:after="0" w:line="240" w:lineRule="auto"/>
              <w:jc w:val="center"/>
              <w:rPr>
                <w:sz w:val="20"/>
                <w:szCs w:val="20"/>
                <w:rFonts w:ascii="Garamond" w:eastAsia="Times New Roman" w:hAnsi="Garamond" w:cs="Times New Roman"/>
              </w:rPr>
            </w:pPr>
            <w:r>
              <w:rPr>
                <w:sz w:val="20"/>
                <w:rFonts w:ascii="Garamond" w:hAnsi="Garamond"/>
              </w:rPr>
              <w:t xml:space="preserve">Frank VANDENBROUCKE</w:t>
            </w:r>
          </w:p>
        </w:tc>
      </w:tr>
    </w:tbl>
    <w:p w14:paraId="2EF75113" w14:textId="77777777" w:rsidR="00493F25" w:rsidRPr="00293B53" w:rsidRDefault="00493F25">
      <w:pPr>
        <w:rPr>
          <w:lang w:val="fr-FR"/>
        </w:rPr>
      </w:pPr>
    </w:p>
    <w:sectPr w:rsidR="00493F25" w:rsidRPr="00293B53"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B53"/>
    <w:rsid w:val="00293B53"/>
    <w:rsid w:val="00493F25"/>
    <w:rsid w:val="004C1DD3"/>
    <w:rsid w:val="007A2CB6"/>
    <w:rsid w:val="00CD02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A695"/>
  <w15:chartTrackingRefBased/>
  <w15:docId w15:val="{8D0CE7A6-4027-4852-96A3-1A6BF3AC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Dimitris Dimitriadis</cp:lastModifiedBy>
  <cp:revision>4</cp:revision>
  <dcterms:created xsi:type="dcterms:W3CDTF">2022-06-15T09:12:00Z</dcterms:created>
  <dcterms:modified xsi:type="dcterms:W3CDTF">2022-06-15T09:57:00Z</dcterms:modified>
</cp:coreProperties>
</file>