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00"/>
        <w:gridCol w:w="1785"/>
        <w:gridCol w:w="1838"/>
        <w:gridCol w:w="1963"/>
        <w:gridCol w:w="162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Egységes szerkezetbe foglalt jogszabályok</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Befejezés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Első szó</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Utolsó szó</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Preambulum</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Jelentés a királynak</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Tartalomjegyzék</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Aláírások</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Befejezés</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Holland változat</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belgiquelex.be     -     Banque Carrefour de la législation (a belga jogszabályok adatbázisa)</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Az európai jogszabály-azonosítót használó navigációs rendszer</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Cím</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2023. MÁRCIUS 14. - Királyi rendelet egyes hasonló termékek forgalomba hozatalának tilalmáról</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Forrás: </w:t>
            </w:r>
            <w:r>
              <w:rPr>
                <w:rFonts w:ascii="Times New Roman" w:hAnsi="Times New Roman"/>
                <w:b/>
                <w:sz w:val="24"/>
              </w:rPr>
              <w:t>KÖZEGÉSZSÉGÜGY, ÉLELMISZERLÁNC-BIZTONSÁG ÉS A KÖRNYEZET</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Közzététel: </w:t>
            </w:r>
            <w:r>
              <w:rPr>
                <w:rFonts w:ascii="Times New Roman" w:hAnsi="Times New Roman"/>
                <w:b/>
                <w:sz w:val="24"/>
              </w:rPr>
              <w:t xml:space="preserve">2023–03–24 </w:t>
            </w:r>
            <w:r>
              <w:rPr>
                <w:rFonts w:ascii="Times New Roman" w:hAnsi="Times New Roman"/>
                <w:b/>
                <w:color w:val="FF0000"/>
                <w:sz w:val="24"/>
              </w:rPr>
              <w:t>szám: </w:t>
            </w:r>
            <w:r>
              <w:rPr>
                <w:rFonts w:ascii="Times New Roman" w:hAnsi="Times New Roman"/>
                <w:b/>
                <w:sz w:val="24"/>
              </w:rPr>
              <w:t>  2023041247 </w:t>
            </w:r>
            <w:r>
              <w:rPr>
                <w:rFonts w:ascii="Times New Roman" w:hAnsi="Times New Roman"/>
                <w:b/>
                <w:color w:val="FF0000"/>
                <w:sz w:val="24"/>
              </w:rPr>
              <w:t>oldalszám: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eredeti változat</w:t>
              </w:r>
            </w:hyperlink>
            <w:r>
              <w:rPr>
                <w:rFonts w:ascii="Times New Roman" w:hAnsi="Times New Roman"/>
                <w:b/>
                <w:sz w:val="24"/>
              </w:rPr>
              <w:t>    </w:t>
            </w:r>
            <w:hyperlink r:id="rId14" w:history="1">
              <w:r>
                <w:rPr>
                  <w:rFonts w:ascii="Times New Roman" w:hAnsi="Times New Roman"/>
                  <w:b/>
                  <w:color w:val="0000FF"/>
                  <w:sz w:val="24"/>
                  <w:u w:val="single"/>
                </w:rPr>
                <w:t>egységes szerkezetbe foglalt változat</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Iktatószám: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Hatálybalépés/érvény:</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2023-07-01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2023-10-01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Tartalomjegyzék</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Szöveg</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Kezdés</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1-5. cikk</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53"/>
        <w:gridCol w:w="1837"/>
        <w:gridCol w:w="920"/>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Szöveg</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Tartalomjegyzék</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Kezdés</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hyperlink r:id="rId19" w:anchor="Art.2" w:history="1">
              <w:r>
                <w:rPr>
                  <w:rFonts w:ascii="Times New Roman" w:hAnsi="Times New Roman"/>
                  <w:b/>
                  <w:color w:val="0000FF"/>
                  <w:sz w:val="24"/>
                  <w:u w:val="single"/>
                </w:rPr>
                <w:t>1.</w:t>
              </w:r>
            </w:hyperlink>
            <w:r>
              <w:rPr>
                <w:rFonts w:ascii="Times New Roman" w:hAnsi="Times New Roman"/>
                <w:b/>
                <w:sz w:val="24"/>
              </w:rPr>
              <w:t>.</w:t>
            </w:r>
            <w:bookmarkStart w:id="3" w:name="Art.1er"/>
            <w:r>
              <w:rPr>
                <w:rFonts w:ascii="Times New Roman" w:hAnsi="Times New Roman"/>
                <w:b/>
                <w:sz w:val="24"/>
              </w:rPr>
              <w:t xml:space="preserve"> cikk</w:t>
            </w:r>
            <w:bookmarkEnd w:id="3"/>
            <w:r>
              <w:rPr>
                <w:rFonts w:ascii="Times New Roman" w:hAnsi="Times New Roman"/>
                <w:b/>
                <w:sz w:val="24"/>
              </w:rPr>
              <w:t xml:space="preserve"> Fogalommeghatározások</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 rendelet alkalmazásában:</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nikotinos tasak: bármely olyan, szájon át történő felhasználásra szánt dohánymentes termék, amely részben vagy egészben szintetikus vagy természetes nikotint tartalmaz, ideértve a tasakos vagy porózus tasakos kiszerelésű termékeket; por, kisebb darabkák vagy paszta formájában, vagy ezek bármilyen kombinációjában;</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kannabinoidos tasak: bármely olyan, szájon át történő felhasználásra szánt termék, amely egy vagy több kannabinoidot vagy ezek származékait tartalmazza, ideértve a tasakos vagy porózus tasakos kiszerelésű termékeket, por, kisebb darabkák vagy paszta formájában vagy ezek bármely kombinációjában;</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kiskereskedő: minden olyan értékesítési hely, ahol a termékeket forgalomba hozzák, beleértve a természetes személy általi forgalomba hozatalt.</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cikk</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20" w:anchor="Art.3" w:history="1">
              <w:r>
                <w:rPr>
                  <w:rFonts w:ascii="Times New Roman" w:hAnsi="Times New Roman"/>
                  <w:b/>
                  <w:color w:val="0000FF"/>
                  <w:sz w:val="24"/>
                  <w:u w:val="single"/>
                </w:rPr>
                <w:t>2</w:t>
              </w:r>
            </w:hyperlink>
            <w:r>
              <w:rPr>
                <w:rFonts w:ascii="Times New Roman" w:hAnsi="Times New Roman"/>
                <w:b/>
                <w:sz w:val="24"/>
              </w:rPr>
              <w:t>. Tiltás</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Tilos nikotinos tasakokat és kannabinoidos tasakokat forgalomba hozni.</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cikk</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1" w:anchor="Art.4" w:history="1">
              <w:r>
                <w:rPr>
                  <w:rFonts w:ascii="Times New Roman" w:hAnsi="Times New Roman"/>
                  <w:b/>
                  <w:color w:val="0000FF"/>
                  <w:sz w:val="24"/>
                  <w:u w:val="single"/>
                </w:rPr>
                <w:t>3</w:t>
              </w:r>
            </w:hyperlink>
            <w:r>
              <w:rPr>
                <w:rFonts w:ascii="Times New Roman" w:hAnsi="Times New Roman"/>
                <w:b/>
                <w:sz w:val="24"/>
              </w:rPr>
              <w:t>. Büntetőjogi szankciók</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 A jelen rendelet 2. cikkében felsorolt termékeket az élelmiszerek és egyéb termékek tekintetében a fogyasztók egészségének védelméről szóló 1977. január 24-i törvény 18. cikke értelmében károsnak kell tekinteni.</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 A jelen rendelet rendelkezéseinek megsértését az élelmiszerek és egyéb termékek tekintetében a fogyasztók egészségének védelméről szóló, 1977. január 24-i törvény 11–19. cikkével összhangban kivizsgálják, nyilvántartásba veszik, vádeljárás alá vetik és szankciókkal sújtják.</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cikk</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2" w:anchor="Art.5" w:history="1">
              <w:r>
                <w:rPr>
                  <w:rFonts w:ascii="Times New Roman" w:hAnsi="Times New Roman"/>
                  <w:b/>
                  <w:color w:val="0000FF"/>
                  <w:sz w:val="24"/>
                  <w:u w:val="single"/>
                </w:rPr>
                <w:t>4</w:t>
              </w:r>
            </w:hyperlink>
            <w:r>
              <w:rPr>
                <w:rFonts w:ascii="Times New Roman" w:hAnsi="Times New Roman"/>
                <w:b/>
                <w:sz w:val="24"/>
              </w:rPr>
              <w:t>. Hatálybalépés</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Ez a rendelet a Belga Közlönyben való közzétételétől számított negyedik hónap első napján lép hatályba, kivéve a kiskereskedők esetét, akik tekintetében ez a rendelet a Belga Közlönyben való közzétételétől számított hetedik hónap első napján lép hatályba.</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cikk</w:t>
            </w:r>
            <w:r w:rsidRPr="005F0E16">
              <w:rPr>
                <w:rFonts w:ascii="Times New Roman" w:eastAsia="Times New Roman" w:hAnsi="Times New Roman" w:cs="Times New Roman"/>
                <w:b/>
                <w:sz w:val="24"/>
              </w:rPr>
              <w:fldChar w:fldCharType="end"/>
            </w:r>
            <w:bookmarkEnd w:id="7"/>
            <w:r>
              <w:rPr>
                <w:rFonts w:ascii="Times New Roman" w:hAnsi="Times New Roman"/>
                <w:b/>
                <w:sz w:val="24"/>
              </w:rPr>
              <w:t> 5. Záró rendelkezés</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 rendelet végrehajtásáért a közegészségügyi miniszter felel.</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537"/>
        <w:gridCol w:w="797"/>
        <w:gridCol w:w="1837"/>
        <w:gridCol w:w="839"/>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Aláírások</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23" w:anchor="texte" w:history="1">
              <w:r w:rsidR="000F54ED">
                <w:rPr>
                  <w:rFonts w:ascii="Times New Roman" w:hAnsi="Times New Roman"/>
                  <w:b/>
                  <w:color w:val="0000FF"/>
                  <w:sz w:val="24"/>
                  <w:u w:val="single"/>
                </w:rPr>
                <w:t>Szöveg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24" w:anchor="tablematiere" w:history="1">
              <w:r w:rsidR="000F54ED">
                <w:rPr>
                  <w:rFonts w:ascii="Times New Roman" w:hAnsi="Times New Roman"/>
                  <w:b/>
                  <w:color w:val="0000FF"/>
                  <w:sz w:val="24"/>
                  <w:u w:val="single"/>
                </w:rPr>
                <w:t>Tartalomjegyzék</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25" w:anchor="top" w:history="1">
              <w:r w:rsidR="000F54ED">
                <w:rPr>
                  <w:rFonts w:ascii="Times New Roman" w:hAnsi="Times New Roman"/>
                  <w:b/>
                  <w:color w:val="0000FF"/>
                  <w:sz w:val="24"/>
                  <w:u w:val="single"/>
                </w:rPr>
                <w:t>Kezdés</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Brüsszel, 2023. március 14.</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FÜLÖP</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 Király nevében:</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a közegészségügyi miniszter,</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49"/>
        <w:gridCol w:w="904"/>
        <w:gridCol w:w="1837"/>
        <w:gridCol w:w="920"/>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Preambulum</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26" w:anchor="texte" w:history="1">
              <w:r w:rsidR="000F54ED">
                <w:rPr>
                  <w:rFonts w:ascii="Times New Roman" w:hAnsi="Times New Roman"/>
                  <w:b/>
                  <w:color w:val="0000FF"/>
                  <w:sz w:val="24"/>
                  <w:u w:val="single"/>
                </w:rPr>
                <w:t>Szöveg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27" w:anchor="tablematiere" w:history="1">
              <w:r w:rsidR="000F54ED">
                <w:rPr>
                  <w:rFonts w:ascii="Times New Roman" w:hAnsi="Times New Roman"/>
                  <w:b/>
                  <w:color w:val="0000FF"/>
                  <w:sz w:val="24"/>
                  <w:u w:val="single"/>
                </w:rPr>
                <w:t>Tartalomjegyzék</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28" w:anchor="top" w:history="1">
              <w:r w:rsidR="000F54ED">
                <w:rPr>
                  <w:rFonts w:ascii="Times New Roman" w:hAnsi="Times New Roman"/>
                  <w:b/>
                  <w:color w:val="0000FF"/>
                  <w:sz w:val="24"/>
                  <w:u w:val="single"/>
                </w:rPr>
                <w:t>Kezdés</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FÜLÖP, a belgák királya,</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Üdvözlet a jelenlevőknek és az ezután érkezőknek!</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Tekintettel az 1989. március 22-i törvénnyel módosított, az élelmiszerek és egyéb termékek tekintetében a fogyasztók egészségének védelméről szóló, 1977. január 24-i törvénynek az 1989. március 22-i törvénnyel módosított 2. cikke (1) bekezdésére, 6. cikke (1) bekezdése a) pontjára, valamint az 1989. március 22-i törvénnyel felváltott és a 2003. december 22-i törvénnyel módosított 18. cikkének (1) bekezdésére;</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tekintettel a Pénzügyi Felügyelőség 2023. január 4-én kiadott véleményére;</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tekintettel a műszaki szabályokkal és az információs társadalom szolgáltatásaira vonatkozó szabályokkal kapcsolatos információszolgáltatási eljárás megállapításáról szóló, 2015. szeptember 9-i (EU) 2015/1535 európai parlamenti és tanácsi irányelv 5. cikke (1) bekezdése értelmében az Európai Bizottság részére elküldött 2022. június 15-i értesítésre;</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tekintettel az Államtanácsnak az 1973. január 12-én egységes szerkezetbe foglalt, Államtanácsról szóló törvények 84. cikke 1. §-a (1) bekezdésének 2. pontja alapján 2023. február 20-án kiadott 72.952/3. sz. véleményére;</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közegészségügyi miniszter javaslatára,</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AZ ALÁBBIAKAT RENDELTEM ÉS RENDELEM EL:</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49"/>
        <w:gridCol w:w="904"/>
        <w:gridCol w:w="1837"/>
        <w:gridCol w:w="920"/>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Jelentés a királynak</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29" w:anchor="texte" w:history="1">
              <w:r w:rsidR="000F54ED">
                <w:rPr>
                  <w:rFonts w:ascii="Times New Roman" w:hAnsi="Times New Roman"/>
                  <w:b/>
                  <w:color w:val="0000FF"/>
                  <w:sz w:val="24"/>
                  <w:u w:val="single"/>
                </w:rPr>
                <w:t>Szöveg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30" w:anchor="tablematiere" w:history="1">
              <w:r w:rsidR="000F54ED">
                <w:rPr>
                  <w:rFonts w:ascii="Times New Roman" w:hAnsi="Times New Roman"/>
                  <w:b/>
                  <w:color w:val="0000FF"/>
                  <w:sz w:val="24"/>
                  <w:u w:val="single"/>
                </w:rPr>
                <w:t>Tartalomjegyzék</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FE416E" w:rsidP="005F0E16">
            <w:pPr>
              <w:spacing w:after="0" w:line="240" w:lineRule="auto"/>
              <w:jc w:val="center"/>
              <w:rPr>
                <w:rFonts w:ascii="Times New Roman" w:eastAsia="Times New Roman" w:hAnsi="Times New Roman" w:cs="Times New Roman"/>
                <w:b/>
                <w:bCs/>
                <w:sz w:val="24"/>
                <w:szCs w:val="24"/>
              </w:rPr>
            </w:pPr>
            <w:hyperlink r:id="rId31" w:anchor="top" w:history="1">
              <w:r w:rsidR="000F54ED">
                <w:rPr>
                  <w:rFonts w:ascii="Times New Roman" w:hAnsi="Times New Roman"/>
                  <w:b/>
                  <w:color w:val="0000FF"/>
                  <w:sz w:val="24"/>
                  <w:u w:val="single"/>
                </w:rPr>
                <w:t>Kezdés</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JELENTÉS A KIRÁLYNAK</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Felség,</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 királyi rendelettervezet célja a nikotinos tasakok és a kannabinoidos tasakok betiltása.</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Ezek a termékek nikotint, CBD-t vagy más kannabinoidokat tartalmazó, de dohányt nem tartalmazó kis portasakok. Ezeket a felső ajak alá helyezik, és a nikotin vagy kannabinoid a nyálkahártyán és a nyálon keresztül szívódik fel.</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nikotinos tasakok megjelenése közegészségügyi veszélyt jelent.</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tilalom célja, hogy megelőzze ezen új termékek használatának ismert és potenciálisan káros egészségügyi hatásait, hogy visszatartsa a fiatalokat a használatuktól, és hogy megakadályozza ezeknek a dohányzás elleni küzdelemre gyakorolt esetleges negatív hatásait.</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Összetételük vagy címkézésük tekintetében eddig nem vonatkoztak rájuk külön szabályok. Nem tartoznak a dohánytermékek és a gyógynövényalapú dohánytermékek gyártásáról és kereskedelméről szóló, 2016. február 5-i királyi rendelet hatálya alá.</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Ugyanakkor ezek a dohánytermékekhez hasonló termékeknek tekinthetők. Az Alkotmánybíróság 2021. december 16-án hozott ítéletében a következőképpen döntött:</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meghatározás szerint a „hasonló termékek” olyan termékek, amelyek nem tartalmaznak dohányt, de hasonlítanak a dohánytermékekre. A hasonlóságnak a hasonló termék fogyasztásának módjára vagy a termék által elérni kívánt hatásra kell vonatkoznia. A „hasonló termékek” fogalma megfelel a kiszámíthatóság követelményének.</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Belgium a dohányra vonatkozó ellenőrzés terén nagyon magas szintű védelem biztosítására törekszik. Ugyanez vonatkozik a hasonló termékekre is.</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nikotinos tasakok a hagyományos dohány alapú termékek helyettesítésére szolgálnak, és hasonló egészségügyi kockázatokkal és társadalmi következményekkel járhatnak.</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Pontosabban leírva, nagyon hasonló a megjelenésük és a hatásuk, mint a snüsszé, egy dohányalapú terméké, amelyet már betiltottak. Ezért valós veszélye van annak, hogy a nikotinos tasakot használók áttérnek a snüsszre.</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Az emberek, beleértve még a rendőrséget is, ezeket a kifejezéseket gyakran keverve használják. Snüsszről beszélnek, de valójában a nikotinos tasakokra gondolnak. A nyelvi keveredés érthető, mivel a nikotinos tasakokat a kereskedők snüssznek is nevezik, szándékosan, esetleg kereskedelmi okokból, vagy akaratlanul. Például: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dohánytermékek és kapcsolódó termékek gyártásáról, kiszereléséről és értékesítéséről szóló 2014/40/EU irányelv 32. preambuluma a következőket mondja ki:</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 szájon át fogyasztott dohánytermékek árusításának tilalmát fenn kell tartani annak megakadályozása érdekében, hogy az Unióba (Svédországtól eltekintve) olyan termék kerülhessen, amely függőséget okoz és káros hatást gyakorol az egészségre.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Hasonló érvelés vonatkozik a nikotinos tasakokra is.</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Ami a dohánytermékekhez hasonló termékek külön szabályozását illeti, ugyanezen irányelv (55) preambulumbekezdése a következőket mondja ki: " A tagállamok szabadon fenntarthatnak vagy bevezethetnek a nemzeti piacon forgalomba hozott összes termékre egyaránt alkalmazandó nemzeti jogszabályokat az irányelv által nem szabályozott szempontok tekintetében, amennyiben ezek összeegyeztethetők az EUMSZ-szel, és nem veszélyeztetik az irányelv teljes körű alkalmazását. Ennek </w:t>
            </w:r>
            <w:r>
              <w:rPr>
                <w:rFonts w:ascii="Times New Roman" w:hAnsi="Times New Roman"/>
                <w:b/>
                <w:sz w:val="24"/>
              </w:rPr>
              <w:lastRenderedPageBreak/>
              <w:t>megfelelően és e feltételek mellett a tagállamok többek között szabályozhatják vagy betilthatják a dohánytermékekhez (ideértve a vízipipákat is) és a dohányzási célú gyógynövénytermékekhez használt tartozékokat, valamint szabályozhatják és betilthatják a dohány- vagy kapcsolódó termékek bizonyos típusaihoz megjelenésükben hasonló termékeket A 98/34/EK irányelvvel összhangban a nemzeti műszaki szabályok esetében előzetes bejelentés szükséges”</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Ezenkívül a WHO Dohányzás-ellenőrzési Keretegyezménye 5. cikke (2) bekezdésének b) pontja szintén indokolja e termékek szigorú szabályozását:</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5. cikk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Ebből a célból minden Részes Fél adottságainak megfelelően:</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elfogad és foganatosít hatásos jogalkotási, végrehajtási, adminisztratív és/vagy egyéb intézkedéseket, és együttműködik, értelemszerűen, más Részes Felekkel a dohányfogyasztás, nikotinaddikció és dohányfüst-expozíció megelőzését és csökkentését szolgáló megfelelő szakmapolitikai irányvonalak kidolgozása terén.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 tekintetben „az egyezmény részes felei megállapodtak abban, hogy nemzeti jogszabályaikkal és közegészségügyi célkitűzéseikkel összhangban mérlegelik az ENDS gyártásának, behozatalának, forgalmazásának, kiszerelésének, értékesítésének és felhasználásának megtiltására vagy korlátozására irányuló szabályozási intézkedések alkalmazását. Ha más új dohány- vagy nikotintermékek jelennek meg, a megközelítésük módját azonos módon kell mérlegelni.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Külföldön a nikotinos tasakokat is hasonló termékeknek tekintik és szabályozzák. Az ezeket a termékeket dohányhelyettesítőként szabályozó országok közé tartozik Ausztrália (teljes tilalommal), Magyarország, Dánia, Lettország, Luxemburg, Új-Zéland és Norvégia. Az utóbbi két országban tiltottak, amíg be nem bizonyosodik, hogy kevésbé károsak, mint a hagyományos dohányalapú termékek. Ez eddig nem történt meg.</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nikotinos tasakok károsak az egészségre, különösen a függőség kialakulásának lehetősége miatt.</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Hollandiában már vizsgálták is ezt. Az elkészült tanulmány egyértelműen rámutat a nikotinos tasakok veszélyére.</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„Elegendő nikotint tartalmaznak ahhoz, hogy hatással legyenek a szívritmusra, nikotinfüggőséget idézzenek elő és tartsanak fenn, valamint károsan befolyásolják a fiatal agy fejlődését.</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nikotinos tasakok a nikotinfüggőség fenntartását is megkönnyíthetik, mivel olyan helyeken is használhatók, ahol a dohányzás tilos."</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Ezek a termékek különösen veszélyesek a kiskorúakra nézve, mivel fogyasztásuk nehezen észrevehető. Ennek eredményeként hiányzik a szülők vagy más felnőttek részéről a társadalmi kontroll, ami állandósíthatja a lehetséges függőséget. Ezenkívül a kis testsúlyuk miatt a gyermekek hajlamosabbak a káros mellékhatásokra.</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Ezért ezek a termékek Hollandiában jelenleg is tiltottak. Ha a nikotinos tasak több mint 0,035 mg nikotint tartalmaz, veszélyes és káros élelmiszerterméknek minősül.</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Azt, hogy ezek a termékek valós veszélyt jelentenek a közegészségre, nemcsak a holland RIVM által végzett kutatás bizonyítja, hanem a FAMHP is rámutat a lehetséges kockázatokra:</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A termék azonban továbbra is nikotin alapú termék marad, amely anyag mérgezőnek bizonyulhat."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A véletlen expozíció vagy a túlzott nikotinfogyasztás súlyos következményekkel járhat. A toxikológiai központ szerint egy 10 mg-os nikotinadag a gyermekeknél súlyos </w:t>
            </w:r>
            <w:r>
              <w:rPr>
                <w:rFonts w:ascii="Times New Roman" w:hAnsi="Times New Roman"/>
                <w:b/>
                <w:sz w:val="24"/>
              </w:rPr>
              <w:lastRenderedPageBreak/>
              <w:t>mérgezést okozhat. A halálos dózis felnőttek esetében a testsúlytól függően legalább 0,5-1 g nikotin.</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BfR (Németország) elemzése szerint a piacon 47,5 mg nikotint tartalmazó tasakok kaphatók.</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Végül, de nem utolsósorban a nikotinos tasakok népszerűsége egyre nő.</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Egy friss hollandiai felmérés azt mutatja, hogy a megkérdezett fiatalok 75%-a ismeri a nikotinos tasakokat, 25%-uk pedig használja is ezeket. A 12 év alatti gyermekek 1,2%-a használja a nikotinos tasakot. Dánia arról is beszámol, hogy a nikotinos tasakokat a fiatalok használják. Használt csomagolóanyagokat és tasakokat találtak az iskolai hulladékban, többek között általános iskolákban is.</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Kétségtelen, hogy e termékek jelenléte folyamatosan növekszik Belgiumban.</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Rák Alapítvány már 2021 októberében figyelmeztetett e termékek fokozott jelenlétére. Az elmúlt hónapokban több újságcikk is megerősítette ezt a tendenciát.</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Ez a növekedés valószínűleg e termékek tényleges értékesítésére is vonatkozik, bár hivatalos számadatok nem állnak rendelkezésre, mivel a nikotinos tasakokat nem kell bejelenteni.</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Az FPS közegészségügyi megfigyelői a közelmúltban felfedezték ezeket a termékeket olyan helyeken, amelyek vonzzák a fiatalokat, például táncos kávézókban, klubokban és tömegrendezvényeken, például fesztiválokon.</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Jelzések és panaszok az ellenőrző szolgálaton keresztül is érkeznek az iskoláktól. Az egyik iskola megjegyezte, hogy a termékek a fiúk körében tűnnek népszerűnek, és hogy ebben szerepet játszik az, hogy „keménynek kell lenni”. A nikotinos tasakok az iskola helyiségeiben cserélnek gazdát a gyerekek között. A tanárok szerint azok a gyerekek, akik nikotint fogyasztottak, kevésbé figyelnek, és ingerlékenyebbek az osztályban.</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Emellett a hagyományos dohánygyártók, akik felvették ezeket a termékeket a kínálatukba, egyre inkább népszerűsítik azokat, egyebek között a közösségi hálózatokon keresztül.</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British American Tobacco honlapján a nikotinos tasakokat a hagyományos dohány alapú termékek egészséges alternatívájaként mutatják be, mivel tiszta összetevőket tartalmaznak. Azt a benyomást keltik, hogy nincs egészségügyi kockázat.</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termékek többféle ízesítésben is kaphatók, beleértve a mentolos ízesítésűeket is, amelyeket a hagyományos dohány alapú termékekben a közelmúltban tiltottak be. Ez egy olyan elem, amely még vonzóbbá teszi a terméket a fiatalok és a nemdohányzók körében is.</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nikotinos tasakok ráadásul sokkal olcsóbbak, mint a hagyományos dohány alapú termékek, ami még tovább növeli a népszerűségüket a lakosság és a nemdohányzók között.</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Röviden, a nikotinos tasakok azért károsak, mert a dohány alapú termékekhez hasonlóan (nikotin) függőséget képesek fenntartani vagy előidézni. Egy ilyen terméknek nincs helye a piacon.</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Ezeknek a termékeknek a növekvő népszerűsége miatt a gyermekeket és a serdülőket jogszabályi úton kell megvédeni a nikotinhasználattal és -függőséggel szemben. Ezt a tilalmat az elővigyázatosság elvére alapozzuk.</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CBD-termékekről kevesebb információ áll rendelkezésre, de a nagy hasonlóságok (megjelenés, felhasználási mód) miatt ezek is tiltottak.</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Megjegyzések cikkenként</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cikk Az 1. cikk a rendeletben szereplő fogalommeghatározásokra vonatkozik.</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cikk A 2. cikk magukra a tilalmakra hivatkozik: a nikotinos tasakok és kannabinoidos tasakok betiltására.</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3. cikk. A 3. cikk a jogsértések kivizsgálásával, felderítésével, büntetőeljárás alá vonásával és büntetésével foglalkozik.</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cikk A 4. cikk határozza meg a rendelet hatálybalépésének időpontját. A kiskereskedők esetében a rendelet 3 hónappal később lép hatályba.</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cikk Az 5. cikk kijelöli az illetékes minisztert, akinek e rendelet rendelkezéseinek alkalmazásáról kell gondoskodnia. Ő az egészségügyi miniszter.</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Maradok tisztelettel,</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Felség,</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felséged</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legalázatosabb</w:t>
            </w:r>
            <w:r>
              <w:rPr>
                <w:rFonts w:ascii="Times New Roman" w:hAnsi="Times New Roman"/>
                <w:b/>
                <w:sz w:val="24"/>
              </w:rPr>
              <w:br/>
              <w:t>és leghűségesebb szolgája,</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 közegészségügyi miniszter,</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Megjegyzések</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NOS-vizsgálat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“Use of Tobacco and Nicotine Products among Young People in Denmark-Status in Single and Dual Use” International Journal of Environmental Research and Public Health 19, no.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24"/>
        <w:gridCol w:w="1509"/>
        <w:gridCol w:w="1837"/>
        <w:gridCol w:w="1661"/>
        <w:gridCol w:w="1547"/>
        <w:gridCol w:w="932"/>
      </w:tblGrid>
      <w:tr w:rsidR="005F0E16" w:rsidRPr="005F0E16" w14:paraId="49A3E5C4" w14:textId="77777777" w:rsidTr="00FE416E">
        <w:trPr>
          <w:gridAfter w:val="1"/>
          <w:wAfter w:w="417" w:type="pct"/>
          <w:tblCellSpacing w:w="15" w:type="dxa"/>
          <w:jc w:val="center"/>
        </w:trPr>
        <w:tc>
          <w:tcPr>
            <w:tcW w:w="83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32" w:anchor="top" w:tgtFrame="_self" w:history="1">
              <w:r w:rsidR="000F54ED">
                <w:rPr>
                  <w:rFonts w:ascii="Times New Roman" w:hAnsi="Times New Roman"/>
                  <w:b/>
                  <w:color w:val="0000FF"/>
                  <w:sz w:val="24"/>
                  <w:u w:val="single"/>
                </w:rPr>
                <w:t>Kezdés</w:t>
              </w:r>
            </w:hyperlink>
          </w:p>
        </w:tc>
        <w:tc>
          <w:tcPr>
            <w:tcW w:w="83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33" w:anchor="hit1" w:tgtFrame="_self" w:history="1">
              <w:r w:rsidR="000F54ED">
                <w:rPr>
                  <w:rFonts w:ascii="Times New Roman" w:hAnsi="Times New Roman"/>
                  <w:b/>
                  <w:color w:val="0000FF"/>
                  <w:sz w:val="24"/>
                  <w:u w:val="single"/>
                </w:rPr>
                <w:t>Első szó</w:t>
              </w:r>
            </w:hyperlink>
          </w:p>
        </w:tc>
        <w:tc>
          <w:tcPr>
            <w:tcW w:w="1003"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34" w:anchor="hit0" w:tgtFrame="_self" w:history="1">
              <w:r w:rsidR="000F54ED">
                <w:rPr>
                  <w:rFonts w:ascii="Times New Roman" w:hAnsi="Times New Roman"/>
                  <w:b/>
                  <w:color w:val="0000FF"/>
                  <w:sz w:val="24"/>
                  <w:u w:val="single"/>
                </w:rPr>
                <w:t>Utolsó szó</w:t>
              </w:r>
            </w:hyperlink>
          </w:p>
        </w:tc>
        <w:tc>
          <w:tcPr>
            <w:tcW w:w="935"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85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35" w:anchor="preambule" w:history="1">
              <w:r w:rsidR="000F54ED">
                <w:rPr>
                  <w:rFonts w:ascii="Times New Roman" w:hAnsi="Times New Roman"/>
                  <w:b/>
                  <w:color w:val="0000FF"/>
                  <w:sz w:val="24"/>
                  <w:u w:val="single"/>
                </w:rPr>
                <w:t>Preambulum</w:t>
              </w:r>
            </w:hyperlink>
          </w:p>
        </w:tc>
      </w:tr>
      <w:tr w:rsidR="005F0E16" w:rsidRPr="005F0E16" w14:paraId="5F48B02B" w14:textId="77777777" w:rsidTr="00FE416E">
        <w:trPr>
          <w:gridAfter w:val="1"/>
          <w:wAfter w:w="417" w:type="pct"/>
          <w:tblCellSpacing w:w="15" w:type="dxa"/>
          <w:jc w:val="center"/>
        </w:trPr>
        <w:tc>
          <w:tcPr>
            <w:tcW w:w="83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36" w:anchor="rapportroi" w:history="1">
              <w:r w:rsidR="000F54ED">
                <w:rPr>
                  <w:rFonts w:ascii="Times New Roman" w:hAnsi="Times New Roman"/>
                  <w:b/>
                  <w:color w:val="0000FF"/>
                  <w:sz w:val="24"/>
                  <w:u w:val="single"/>
                </w:rPr>
                <w:t>Jelentés a királynak</w:t>
              </w:r>
            </w:hyperlink>
          </w:p>
        </w:tc>
        <w:tc>
          <w:tcPr>
            <w:tcW w:w="83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3"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37" w:anchor="tablematiere" w:history="1">
              <w:r w:rsidR="000F54ED">
                <w:rPr>
                  <w:rFonts w:ascii="Times New Roman" w:hAnsi="Times New Roman"/>
                  <w:b/>
                  <w:color w:val="0000FF"/>
                  <w:sz w:val="24"/>
                  <w:u w:val="single"/>
                </w:rPr>
                <w:t>Tartalomjegyzék</w:t>
              </w:r>
            </w:hyperlink>
          </w:p>
        </w:tc>
        <w:tc>
          <w:tcPr>
            <w:tcW w:w="935"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85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FE416E">
        <w:trPr>
          <w:tblCellSpacing w:w="15" w:type="dxa"/>
          <w:jc w:val="center"/>
        </w:trPr>
        <w:tc>
          <w:tcPr>
            <w:tcW w:w="83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83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3"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35"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856"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417"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FE416E" w:rsidP="005F0E16">
            <w:pPr>
              <w:spacing w:after="0" w:line="240" w:lineRule="auto"/>
              <w:jc w:val="center"/>
              <w:rPr>
                <w:rFonts w:ascii="Times New Roman" w:eastAsia="Times New Roman" w:hAnsi="Times New Roman" w:cs="Times New Roman"/>
                <w:sz w:val="24"/>
                <w:szCs w:val="24"/>
              </w:rPr>
            </w:pPr>
            <w:hyperlink r:id="rId38" w:tgtFrame="_blank" w:history="1">
              <w:r w:rsidR="000F54ED">
                <w:rPr>
                  <w:rFonts w:ascii="Times New Roman" w:hAnsi="Times New Roman"/>
                  <w:b/>
                  <w:color w:val="FF0000"/>
                  <w:sz w:val="24"/>
                  <w:u w:val="single"/>
                </w:rPr>
                <w:t>Holland változat</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A6478F"/>
    <w:rsid w:val="00CD028E"/>
    <w:rsid w:val="00EE6A8B"/>
    <w:rsid w:val="00FE41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fontTable" Target="fontTable.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hyperlink" Target="https://www.ejustice.just.fgov.be/cgi_loi/change_lg.pl?language=nl&amp;la=N&amp;cn=2023031404&amp;table_name=wet" TargetMode="Externa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eli/arrete/2023/03/14/2023041247/justel" TargetMode="External"/><Relationship Id="rId40" Type="http://schemas.openxmlformats.org/officeDocument/2006/relationships/theme" Target="theme/theme1.xm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17342</Characters>
  <Application>Microsoft Office Word</Application>
  <DocSecurity>0</DocSecurity>
  <Lines>412</Lines>
  <Paragraphs>205</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2023-04-25T11:06:00Z</dcterms:created>
  <dcterms:modified xsi:type="dcterms:W3CDTF">2023-04-25T11:06:00Z</dcterms:modified>
</cp:coreProperties>
</file>