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DEN FRANSKE REPUBLIK</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Ministeriet for økologisk omstilling</w:t>
            </w:r>
            <w:r>
              <w:br/>
              <w:t>og national samhørighed</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Dekret nr.</w:t>
      </w:r>
      <w:r>
        <w:rPr>
          <w:b/>
        </w:rPr>
        <w:tab/>
        <w:t xml:space="preserve">af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om forpligtelsen til at sælge uforarbejdede friske frugter og grøntsager uden emballage, der helt eller delvist er fremstillet af plast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bCs/>
          <w:i/>
        </w:rPr>
        <w:t>Målgruppe:</w:t>
      </w:r>
      <w:r>
        <w:rPr>
          <w:i/>
        </w:rPr>
        <w:t xml:space="preserve"> detailsalgssteder, der er specialiserede eller ikke er specialiserede i salg af frugter og grøntsager i butikker og markeder.</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bCs/>
          <w:i/>
        </w:rPr>
        <w:t xml:space="preserve">Emne: </w:t>
      </w:r>
      <w:r>
        <w:rPr>
          <w:i/>
        </w:rPr>
        <w:t>betingelser for gennemførelse af forpligtelsen om, at uforarbejdede friske frugter og grøntsager ikke må sælges i emballage, der består helt eller delvist af plast.</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 xml:space="preserve">Ikrafttræden: </w:t>
      </w:r>
      <w:r>
        <w:rPr>
          <w:i/>
        </w:rPr>
        <w:t>dekretet træder i kraft dagen efter offentliggørelsen.</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bCs/>
          <w:i/>
        </w:rPr>
        <w:t>Meddelelse:</w:t>
      </w:r>
      <w:r>
        <w:rPr>
          <w:i/>
        </w:rPr>
        <w:t xml:space="preserve"> dekretet fastsætter betingelserne for gennemførelse af bestemmelsen fastsat i lov af 10. februar 2020 om bekæmpelse af affald og om den cirkulære økonomi, hvoraf det fremgår, at alle detailforretninger skal sælge uforarbejdede frugter og grøntsager uden plastemballage.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Det præciserer, at bestemmelsen finder anvendelse på uforarbejdede friske frugter og grøntsager, dvs. frugter og grøntsager, der sælges i deres oprindelige stand eller er rengjorte, afpudsede, drænede eller tørrede.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Det præciserer også definitionen af plastemballage. Det indeholder en liste over friske frugter og grøntsager, der ikke er omfattet af denne forpligtelse, da de risikerer at gå i fordærv, hvis de sælges uden emballage.</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 xml:space="preserve">Referencer: </w:t>
      </w:r>
      <w:r>
        <w:rPr>
          <w:i/>
        </w:rPr>
        <w:t>miljøloven ændret ved dekretet kan findes på Légifrance's websted (https://legifrance.gouv.fr) i det udkast, der følger af denne ændring.</w:t>
      </w:r>
    </w:p>
    <w:p w14:paraId="3B319840" w14:textId="77777777" w:rsidR="006E305A" w:rsidRPr="006E305A" w:rsidRDefault="006E305A" w:rsidP="006E305A">
      <w:pPr>
        <w:spacing w:before="600"/>
        <w:ind w:firstLine="709"/>
        <w:jc w:val="both"/>
        <w:rPr>
          <w:b/>
          <w:bCs/>
        </w:rPr>
      </w:pPr>
      <w:r>
        <w:rPr>
          <w:b/>
        </w:rPr>
        <w:t>Premierministeren,</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efter underretning fra ministeren for økologisk omstilling og national samhørighed,</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under henvisning til Kommissionens gennemførelsesforordning (EU) nr. 543/2011 af 7. juni 2011 om nærmere bestemmelser for anvendelsen af Rådets forordning (EF) nr. 1234/2007 for så vidt angår frugter og grøntsager og forarbejdede frugter og grøntsager, </w:t>
      </w:r>
    </w:p>
    <w:p w14:paraId="37F0C46A" w14:textId="434CC72A" w:rsidR="00A155FD" w:rsidRPr="00D61874" w:rsidRDefault="00A155FD" w:rsidP="005024FC">
      <w:pPr>
        <w:pStyle w:val="SNConsultation"/>
      </w:pPr>
      <w:r>
        <w:lastRenderedPageBreak/>
        <w:t xml:space="preserve">under henvisning til Kommissionens gennemførelsesforordning (EU) nr. 1333/2011 af 19. december 2011 om handelsnormer for bananer, bestemmelser for kontrollen med, at disse handelsnormer overholdes og bestemmelser for så vidt angår meddelelser i banansektoren,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under henvisning til lov nr. 2020-105 af 10. februar 2020 om bekæmpelse af affald og om den cirkulære økonomi, særlig artikel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under henvisning til miljøloven, særlig artikel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under henvisning til dekret nr. 55-1126 af 19. august 1955 om gennemførelse af artikel L. 214-1 i lov om forbrug for så vidt angår handel med frugter og grøntsager,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under henvisning til bemærkningerne fra den offentlige høring, der blev gennemført mellem </w:t>
      </w:r>
      <w:r>
        <w:rPr>
          <w:highlight w:val="yellow"/>
        </w:rPr>
        <w:t>XX</w:t>
      </w:r>
      <w:r>
        <w:t xml:space="preserve"> december 2022 og </w:t>
      </w:r>
      <w:r>
        <w:rPr>
          <w:highlight w:val="yellow"/>
        </w:rPr>
        <w:t>XX</w:t>
      </w:r>
      <w:r>
        <w:t xml:space="preserve"> januar 2023 i henhold til miljølovens artikel L. 123-19-1,</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udsteder følgende dekret:</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Artikel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Til bog V, titel IV, kapitel I, afsnit 10 af miljølovens regulerende del tilføjes følgende artikel D. 541-334:</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Artikel D. 541-334. – I. </w:t>
      </w:r>
      <w:r>
        <w:t xml:space="preserve">– Med henblik på artikel L. 541-15-10, stk. 16 i III, forstås ved: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"frugter og grøntsager": planter eller dele heraf, såsom stilke, rødder, rodknolde, blade, frugter, frø, der er bestemt til konsum, og spiselige svampe.</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"Uforarbejdede friske frugter og grøntsager": friske frugter og grøntsager, hvis tilberedning er i overensstemmelse med følgende: </w:t>
      </w:r>
    </w:p>
    <w:p w14:paraId="742076DE" w14:textId="77777777" w:rsidR="00FA2A1F" w:rsidRDefault="00FA2A1F" w:rsidP="005A05C8">
      <w:pPr>
        <w:ind w:firstLine="709"/>
        <w:jc w:val="both"/>
      </w:pPr>
    </w:p>
    <w:p w14:paraId="273AD17D" w14:textId="15CDEE10" w:rsidR="005A05C8" w:rsidRDefault="005A05C8" w:rsidP="00FA2A1F">
      <w:pPr>
        <w:ind w:left="1134" w:hanging="425"/>
        <w:jc w:val="both"/>
      </w:pPr>
      <w:r>
        <w:t xml:space="preserve">– </w:t>
      </w:r>
      <w:r w:rsidR="00672401">
        <w:tab/>
      </w:r>
      <w:r>
        <w:t xml:space="preserve">handelsnormer som omhandlet i Kommissionens gennemførelsesforordning (EC) nr. 543/2011 af 7. juni 2011 om nærmere bestemmelser for anvendelsen af Rådets forordning (EF) nr. 1234/2007 for så vidt angår frugter og grøntsager og forarbejdede frugter og grøntsager </w:t>
      </w:r>
    </w:p>
    <w:p w14:paraId="4D8D69E8" w14:textId="624BECF2" w:rsidR="005A05C8" w:rsidRDefault="005A05C8" w:rsidP="00FA2A1F">
      <w:pPr>
        <w:ind w:left="1134" w:hanging="425"/>
        <w:jc w:val="both"/>
      </w:pPr>
      <w:r>
        <w:t xml:space="preserve">– </w:t>
      </w:r>
      <w:r w:rsidR="00672401">
        <w:tab/>
      </w:r>
      <w:r>
        <w:t xml:space="preserve">handelsnormer som omhandlet i Kommissionens gennemførelsesforordning (EU) nr. 1333/2011 af 19. december 2011 om handelsnormer for bananer, bestemmelser for kontrollen med, at disse handelsnormer overholdes og bestemmelser for så vidt angår meddelelser i banansektoren </w:t>
      </w:r>
    </w:p>
    <w:p w14:paraId="2C33E934" w14:textId="60D83A92" w:rsidR="005A05C8" w:rsidRPr="005A05C8" w:rsidRDefault="005A05C8" w:rsidP="00FA2A1F">
      <w:pPr>
        <w:ind w:left="1134" w:hanging="425"/>
        <w:jc w:val="both"/>
      </w:pPr>
      <w:r>
        <w:t xml:space="preserve">– </w:t>
      </w:r>
      <w:r w:rsidR="00672401">
        <w:tab/>
      </w:r>
      <w:r>
        <w:t xml:space="preserve">bekendtgørelser udstedt i henhold til artikel 4 i dekret nr. 55-1126 af 19. august 1955 om gennemførelse af artikel L. 214-1 i lov om forbrug for så vidt angår handel med frugter og grøntsager.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"Emballage": en beholder, ydre indpakning eller omsluttende anordning, der helt eller delvist dækker frugten og grøntsagerne, så de udgør en salgsenhed for forbrugeren, og som sikrer dens præsentation på salgsstedet.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4. "Plastmateriale": materiale som defineret i artikel D. 541-330 i miljøloven.</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frugter og grøntsager, der risikerer at gå i fordærv, når de sælges uden emballage, jf. artikel L. 541-15-10, stk. 16, andet punktum, er: </w:t>
      </w:r>
    </w:p>
    <w:p w14:paraId="5AC6333E" w14:textId="77777777" w:rsidR="00341726" w:rsidRDefault="00341726" w:rsidP="00341726">
      <w:pPr>
        <w:jc w:val="both"/>
      </w:pPr>
    </w:p>
    <w:p w14:paraId="72EBB9D2" w14:textId="49DD29CF" w:rsidR="00341726" w:rsidRDefault="0052407B" w:rsidP="00341726">
      <w:pPr>
        <w:jc w:val="both"/>
      </w:pPr>
      <w:r>
        <w:lastRenderedPageBreak/>
        <w:t>–</w:t>
      </w:r>
      <w:r w:rsidR="00341726">
        <w:t xml:space="preserve"> vårsalat, rodskud, aromatiske urter, spiselige blomster, mungbønnespirer</w:t>
      </w:r>
    </w:p>
    <w:p w14:paraId="5844973D" w14:textId="5A13C487" w:rsidR="00341726" w:rsidRDefault="0052407B" w:rsidP="00341726">
      <w:pPr>
        <w:jc w:val="both"/>
      </w:pPr>
      <w:r>
        <w:t>–</w:t>
      </w:r>
      <w:r w:rsidR="00341726">
        <w:t xml:space="preserve"> spirer</w:t>
      </w:r>
    </w:p>
    <w:p w14:paraId="0BB479B0" w14:textId="6E5DC102" w:rsidR="0016162C" w:rsidRDefault="0052407B" w:rsidP="0016162C">
      <w:pPr>
        <w:jc w:val="both"/>
      </w:pPr>
      <w:r>
        <w:t>–</w:t>
      </w:r>
      <w:r w:rsidR="009B5670">
        <w:t xml:space="preserve"> modne frugter</w:t>
      </w:r>
    </w:p>
    <w:p w14:paraId="6024C5B2" w14:textId="37C7022E" w:rsidR="00B12D5E" w:rsidRDefault="0052407B" w:rsidP="00341726">
      <w:pPr>
        <w:jc w:val="both"/>
      </w:pPr>
      <w:r>
        <w:t>–</w:t>
      </w:r>
      <w:r w:rsidR="0016162C">
        <w:t xml:space="preserve"> tranebær, tyttebær, blærebæger, og blåbær, hindbær, jordbær, brombær, ribs, hyldebær, stikkelsbær og ribs, solbær og kiwier</w:t>
      </w:r>
    </w:p>
    <w:p w14:paraId="5ED21BA4" w14:textId="0FFA15F0" w:rsidR="00B12D5E" w:rsidRDefault="0052407B" w:rsidP="00B12D5E">
      <w:pPr>
        <w:jc w:val="both"/>
      </w:pPr>
      <w:r>
        <w:t>–</w:t>
      </w:r>
      <w:r w:rsidR="00B12D5E">
        <w:t xml:space="preserve"> endivier</w:t>
      </w:r>
    </w:p>
    <w:p w14:paraId="3D7B41BD" w14:textId="0CBD8C81" w:rsidR="00B12D5E" w:rsidRDefault="0052407B" w:rsidP="00B12D5E">
      <w:pPr>
        <w:ind w:left="-5"/>
      </w:pPr>
      <w:r>
        <w:t>–</w:t>
      </w:r>
      <w:r w:rsidR="009B5670">
        <w:t xml:space="preserve"> svampe</w:t>
      </w:r>
    </w:p>
    <w:p w14:paraId="3C95BD5D" w14:textId="1A6C82AE" w:rsidR="00B12D5E" w:rsidRDefault="0052407B" w:rsidP="00B12D5E">
      <w:pPr>
        <w:ind w:left="-5"/>
      </w:pPr>
      <w:r>
        <w:t>–</w:t>
      </w:r>
      <w:r w:rsidR="009B5670">
        <w:t xml:space="preserve"> små gulerødder</w:t>
      </w:r>
    </w:p>
    <w:p w14:paraId="578E5A1F" w14:textId="1362AAE3" w:rsidR="00B12D5E" w:rsidRDefault="0052407B" w:rsidP="00B12D5E">
      <w:pPr>
        <w:ind w:left="-5"/>
      </w:pPr>
      <w:r>
        <w:t>–</w:t>
      </w:r>
      <w:r w:rsidR="00B12D5E">
        <w:t xml:space="preserve"> spinat og syre.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Artikel 2</w:t>
      </w:r>
    </w:p>
    <w:p w14:paraId="683E9D53" w14:textId="77777777" w:rsidR="009C04CC" w:rsidRDefault="009C04CC" w:rsidP="00195C7C">
      <w:pPr>
        <w:ind w:firstLine="709"/>
        <w:jc w:val="both"/>
      </w:pPr>
    </w:p>
    <w:p w14:paraId="57BD3D37" w14:textId="2AAC4DD6" w:rsidR="00341726" w:rsidRDefault="009C04CC" w:rsidP="00341726">
      <w:pPr>
        <w:jc w:val="both"/>
      </w:pPr>
      <w:r>
        <w:t>For at muliggøre bortskaffelse af emballage kan følgende frugter og grøntsager frembydes til salg i emballage, der helt eller delvist er fremstillet af plastmateriale, indtil den 31. december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ribbede tomater, aflange hjerteformede tomater, kirsebær- eller cocktailtomater (miniaturesorter) </w:t>
      </w:r>
    </w:p>
    <w:p w14:paraId="6FED6CDF" w14:textId="27E595B4" w:rsidR="00B12D5E" w:rsidRDefault="009B5670" w:rsidP="00B12D5E">
      <w:pPr>
        <w:pStyle w:val="ListParagraph"/>
        <w:numPr>
          <w:ilvl w:val="0"/>
          <w:numId w:val="23"/>
        </w:numPr>
      </w:pPr>
      <w:r>
        <w:t>asparges</w:t>
      </w:r>
    </w:p>
    <w:p w14:paraId="027696F5" w14:textId="6354DDB6" w:rsidR="00B12D5E" w:rsidRDefault="00B12D5E" w:rsidP="00B12D5E">
      <w:pPr>
        <w:pStyle w:val="ListParagraph"/>
        <w:numPr>
          <w:ilvl w:val="0"/>
          <w:numId w:val="23"/>
        </w:numPr>
      </w:pPr>
      <w:r>
        <w:t>broccoli</w:t>
      </w:r>
    </w:p>
    <w:p w14:paraId="1A89F6DE" w14:textId="068BB10A" w:rsidR="00B12D5E" w:rsidRDefault="00B12D5E" w:rsidP="00B12D5E">
      <w:pPr>
        <w:pStyle w:val="ListParagraph"/>
        <w:numPr>
          <w:ilvl w:val="0"/>
          <w:numId w:val="23"/>
        </w:numPr>
      </w:pPr>
      <w:r>
        <w:t>nye kartofler og tidlige gulerødder</w:t>
      </w:r>
    </w:p>
    <w:p w14:paraId="39D06F87" w14:textId="15776A2D" w:rsidR="00B12D5E" w:rsidRDefault="009B5670" w:rsidP="00B12D5E">
      <w:pPr>
        <w:pStyle w:val="ListParagraph"/>
        <w:numPr>
          <w:ilvl w:val="0"/>
          <w:numId w:val="23"/>
        </w:numPr>
      </w:pPr>
      <w:r>
        <w:t>salat</w:t>
      </w:r>
    </w:p>
    <w:p w14:paraId="79B57C4C" w14:textId="3F8C1E57" w:rsidR="00B12D5E" w:rsidRDefault="009B5670" w:rsidP="00341726">
      <w:pPr>
        <w:pStyle w:val="ListParagraph"/>
        <w:numPr>
          <w:ilvl w:val="0"/>
          <w:numId w:val="23"/>
        </w:numPr>
        <w:jc w:val="both"/>
      </w:pPr>
      <w:r>
        <w:t xml:space="preserve">tidlige løg </w:t>
      </w:r>
    </w:p>
    <w:p w14:paraId="1ECA92A8" w14:textId="1D34F630" w:rsidR="00B12D5E" w:rsidRDefault="009B5670" w:rsidP="00341726">
      <w:pPr>
        <w:pStyle w:val="ListParagraph"/>
        <w:numPr>
          <w:ilvl w:val="0"/>
          <w:numId w:val="23"/>
        </w:numPr>
        <w:jc w:val="both"/>
      </w:pPr>
      <w:r>
        <w:t>tidlige majroer</w:t>
      </w:r>
    </w:p>
    <w:p w14:paraId="44ADB8B6" w14:textId="77777777" w:rsidR="00B12D5E" w:rsidRDefault="00341726" w:rsidP="00341726">
      <w:pPr>
        <w:pStyle w:val="ListParagraph"/>
        <w:numPr>
          <w:ilvl w:val="0"/>
          <w:numId w:val="23"/>
        </w:numPr>
        <w:jc w:val="both"/>
      </w:pPr>
      <w:r>
        <w:t xml:space="preserve">rosenkål </w:t>
      </w:r>
    </w:p>
    <w:p w14:paraId="627CA519" w14:textId="0D26E63D" w:rsidR="00B12D5E" w:rsidRDefault="009B5670" w:rsidP="00341726">
      <w:pPr>
        <w:pStyle w:val="ListParagraph"/>
        <w:numPr>
          <w:ilvl w:val="0"/>
          <w:numId w:val="23"/>
        </w:numPr>
        <w:jc w:val="both"/>
      </w:pPr>
      <w:r>
        <w:t>havebønner</w:t>
      </w:r>
    </w:p>
    <w:p w14:paraId="3DBEF345" w14:textId="77777777" w:rsidR="00B12D5E" w:rsidRDefault="00B12D5E" w:rsidP="00B12D5E">
      <w:pPr>
        <w:pStyle w:val="ListParagraph"/>
        <w:numPr>
          <w:ilvl w:val="0"/>
          <w:numId w:val="23"/>
        </w:numPr>
        <w:jc w:val="both"/>
      </w:pPr>
      <w:r>
        <w:t>kirsebær</w:t>
      </w:r>
    </w:p>
    <w:p w14:paraId="23F8FD80" w14:textId="5A9AD835" w:rsidR="00B12D5E" w:rsidRDefault="00341726" w:rsidP="00341726">
      <w:pPr>
        <w:pStyle w:val="ListParagraph"/>
        <w:numPr>
          <w:ilvl w:val="0"/>
          <w:numId w:val="23"/>
        </w:numPr>
        <w:jc w:val="both"/>
      </w:pPr>
      <w:r>
        <w:t>druer</w:t>
      </w:r>
    </w:p>
    <w:p w14:paraId="76FB16F4" w14:textId="4222A7F6" w:rsidR="00341726" w:rsidRDefault="00341726" w:rsidP="00341726">
      <w:pPr>
        <w:pStyle w:val="ListParagraph"/>
        <w:numPr>
          <w:ilvl w:val="0"/>
          <w:numId w:val="23"/>
        </w:numPr>
        <w:jc w:val="both"/>
      </w:pPr>
      <w:r>
        <w:t>ferskner, nektariner og abrikoser.</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Artikel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Ministeren for økonomi, finans, industri og digitalisering, ministeren for landbrug og fødevarer, ministeren for økologisk omstilling og national samhørighed og statssekretæren for ministeren for økologisk omstilling og national samhørighed, der er ansvarlig for økologi, er hver især ansvarlig for gennemførelsen af dette dekret, som vil blive offentliggjort i Den Franske Republiks </w:t>
      </w:r>
      <w:r>
        <w:rPr>
          <w:i/>
          <w:iCs/>
        </w:rPr>
        <w:t>Officielle Tidende</w:t>
      </w:r>
      <w:r>
        <w:t>.</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Udfærdiget den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8E01" w14:textId="77777777" w:rsidR="00A027FD" w:rsidRDefault="00A027FD" w:rsidP="00DA07F9">
      <w:r>
        <w:separator/>
      </w:r>
    </w:p>
  </w:endnote>
  <w:endnote w:type="continuationSeparator" w:id="0">
    <w:p w14:paraId="3E8AA390" w14:textId="77777777" w:rsidR="00A027FD" w:rsidRDefault="00A027FD"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27A6" w14:textId="77777777" w:rsidR="00A027FD" w:rsidRDefault="00A027FD" w:rsidP="00DA07F9">
      <w:r>
        <w:separator/>
      </w:r>
    </w:p>
  </w:footnote>
  <w:footnote w:type="continuationSeparator" w:id="0">
    <w:p w14:paraId="757884DB" w14:textId="77777777" w:rsidR="00A027FD" w:rsidRDefault="00A027FD"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407B"/>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2401"/>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27FD"/>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6</cp:revision>
  <cp:lastPrinted>2022-11-02T13:16:00Z</cp:lastPrinted>
  <dcterms:created xsi:type="dcterms:W3CDTF">2022-12-14T16:37:00Z</dcterms:created>
  <dcterms:modified xsi:type="dcterms:W3CDTF">2022-12-22T13:05:00Z</dcterms:modified>
</cp:coreProperties>
</file>