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0017 A-- CS- ------ </w:t>
      </w:r>
      <w:r w:rsidR="00AC3260">
        <w:rPr>
          <w:rFonts w:ascii="Courier New" w:hAnsi="Courier New"/>
          <w:sz w:val="20"/>
          <w:szCs w:val="20"/>
        </w:rPr>
        <w:t>20201130</w:t>
      </w:r>
      <w:r>
        <w:rPr>
          <w:rFonts w:ascii="Courier New" w:hAnsi="Courier New"/>
          <w:sz w:val="20"/>
          <w:szCs w:val="20"/>
        </w:rPr>
        <w:t xml:space="preserve"> --- --- </w:t>
      </w:r>
      <w:r w:rsidR="00F84D55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Nařízení obecní rady města Vídně, kterým se stanovuje Energetický územní plán pro 02. obvod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Podle § 2b Stavebního řádu pro Vídeň (BO), Zemská sbírka zákonů pro Vídeň č.11/1930, naposledy změněného zákonem Zemské sbírky zákonů pro Vídeň č. 71/2018, se nařizuje: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Pro oblasti, které jsou v příloze zobrazeny oranžovým šrafováním a jsou oranžově ohraničeny, se stanovuje Energetický územní plán podle § 2b BO. Dopravní plochy jsou z platnosti nařízení vyjmuty.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Příloha (přiložený plán) tvoří součást tohoto nařízení.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V oblastech zachycených v Energetickém územním plánu jsou pro topná zařízení a zařízení na přípravu TUV v novostavbách podle § 60 odst. 1 písm. a BO přípustné pouze vysoce efektivní alternativní systémy vyjmenované v § 118 odst. 3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Toto nařízení bylo notifikováno (notifikační číslo </w:t>
      </w:r>
      <w:r w:rsidR="00B512D2">
        <w:rPr>
          <w:rFonts w:ascii="Arial" w:hAnsi="Arial"/>
        </w:rPr>
        <w:t>2020/17</w:t>
      </w:r>
      <w:r>
        <w:rPr>
          <w:rFonts w:ascii="Arial" w:hAnsi="Arial"/>
        </w:rPr>
        <w:t>/A) na základě ustanovení směrnice (EU) 2015/1535 Evropského parlamentu a Rady ze dne 9. září 2015 o informačních řízeních v oblasti norem a technických předpisů a předpisů pro služby informační společnosti, Úř. věst. č. L 241 ze dne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Toto nařízení vstupuje v platnost tři měsíce po jeho vyhlášení.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Toto nařízení se nevztahuje na žádná stavební řízení, která byla již zahájena před vstupem nařízení v platnost.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Předsedající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Příloha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Plán č. </w:t>
      </w:r>
      <w:r w:rsidR="00264D3F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00E" w:rsidRDefault="00D0700E" w:rsidP="00F76E71">
      <w:pPr>
        <w:spacing w:after="0" w:line="240" w:lineRule="auto"/>
      </w:pPr>
      <w:r>
        <w:separator/>
      </w:r>
    </w:p>
  </w:endnote>
  <w:end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00E" w:rsidRDefault="00D0700E" w:rsidP="00F76E71">
      <w:pPr>
        <w:spacing w:after="0" w:line="240" w:lineRule="auto"/>
      </w:pPr>
      <w:r>
        <w:separator/>
      </w:r>
    </w:p>
  </w:footnote>
  <w:foot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4D3F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B1B11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C3260"/>
    <w:rsid w:val="00AE15EB"/>
    <w:rsid w:val="00AE64B4"/>
    <w:rsid w:val="00B50DDB"/>
    <w:rsid w:val="00B512D2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0700E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84D55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8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