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</w:tblGrid>
      <w:tr w:rsidR="00080401" w:rsidRPr="00080401" w14:paraId="3EF4E0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1036" w14:textId="1470ADA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caps/>
                <w:sz w:val="24"/>
                <w:rFonts w:ascii="Times New Roman" w:hAnsi="Times New Roman"/>
              </w:rPr>
              <w:t xml:space="preserve">FEDERÁLNÍ VEŘEJNÁ SLUŽBA VEŘEJNÉHO ZDRAVÍ</w:t>
            </w:r>
          </w:p>
        </w:tc>
      </w:tr>
      <w:tr w:rsidR="00080401" w:rsidRPr="00080401" w14:paraId="488AE5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A416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Návrh zákona o zavedení skóre opravitelnosti a trvanlivosti a šíření informací o době trvání softwarové kompatibility výrobků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7A4BB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9BF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87188A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7B367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FILIP,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E6A3CE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BELGIČANŮ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B0270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Všem přítomným i těm budoucím,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CD592E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ZDRAVÍM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ECBB64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4354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 návrh našeho ministra pro klima, životní prostředí, udržitelný rozvoj a Zelenou dohodu,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7CE85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CE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3553BC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5F92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OBSAH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F63E4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651FB7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Účelem tohoto návrhu zákona je podpora oprav a prodloužení životnosti výrobků s cílem omezit jejich dopad na životní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Návrh zákona také poskytuje právní základ pro vytvoření skóre opravitelnosti, které bude doplněno o skóre trvanlivosti, povinnost poskytovat informace o době trvání kompatibility softwaru a prováděcí příkazy, které mají být v této souvislosti přijaty.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228D3E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3066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3F1E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AF46B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8864A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VYSVĚTLUJÍCÍ PROHLÁŠENÍ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A490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4D893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Dámy a pánové,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494FDD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DAB6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projekt si klade za cíl podporovat opravy a prodlužování životnosti výrobků s cílem omezit jejich dopad na životní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 tímto účelem stanoví na jedné straně skóre opravitelnosti a skóre trvanlivosti.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Tato skóre se skládají z skóre vypočteného na základě objektivních kritérií, která umožňují posoudit opravitelnost nebo trvanlivost výrobku.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Na druhé straně projekt stanoví povinnost informovat o době trvání kompatibility se softwarem.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Tato povinnost spočívá v informování koncového uživatele o době, po kterou bude výrobek schopen odolat následným aktualizacím, které jsou nezbytné pro jeho řádné fungování.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BA4FD2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Vytvoření skóre opravitelnosti, které bude nakonec doplněno skóre trvanlivosti, a zavedením povinnosti poskytovat informace o době trvání kompatibility softwaru, je zaměřeno na zvýšení životnosti výrobků, což je nyní z environmentálních důvodů nezbytné.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39040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Každý rok vstupuje na belgický trh přibližně 160 milionů elektrických a elektronických zařízení, což představuje hmotnost 245 000 tun.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Odhaduje se, že 420 milionů kusů je stále v oběhu, z nichž 87 % je stále v provozu.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Tyto domácí spotřebiče, které se pohybují od bílých a hnědých výrobků až po malá elektronická zařízení, jako jsou chytré telefony a notebooky, mají významný dopad na životní prostředí.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FFE810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Kromě toho se každoročně vyprodukuje přibližně 120 000 tun elektrického a elektronického odpadu.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Toto číslo je ve skutečnosti podceňováno, protože velká část tohoto odpadu zmizí prostřednictvím kanálů, u nichž se nepředpokládá žádný způsob registrace.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Část tohoto odpadu je zpracovávána nelegálními kanály.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Některá zařízení s ukončenou životností jsou dokonce vyvážena do zemí, kde neexistuje žádný způsob recyklace a kde se odstraňování odpadu provádí bez jakékoli kontroly a je škodlivé pro životní prostředí a zdraví.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Delší životnost proto sníží množství odpadu.</w:t>
            </w:r>
            <w:r>
              <w:rPr>
                <w:sz w:val="24"/>
                <w:rFonts w:ascii="Times New Roman" w:hAnsi="Times New Roman"/>
              </w:rPr>
              <w:t xml:space="preserve">    </w:t>
            </w:r>
          </w:p>
          <w:p w14:paraId="11A84A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Kromě toho rychlá likvidace těchto výrobků vede k významné ztrátě surovin.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Ve skutečnosti asi 14 % materiální stopy toho, co belgické domácnosti spotřebují jako spotřební zboží, pochází z elektrických spotřebičů.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Těžba surovin vede k vysokým environmentálním tlakům na místní úrovni v důsledku těžební činnosti.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vede k vážnému narušení ekosystému a místní kontaminaci vody a půdy.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Rostoucí poptávka po surovinách vede k plánům na otevření nových dolů v Evropě.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Roste také poptávka po rozsáhlé hlubinné těžbě.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Taková těžba by vedla k narušení mořského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Některé z těchto surovin jsou považovány za kritické, tj. jsou ekonomicky důležité, ale nejsou pořizovány z ekonomických nebo geopolitických důvodů.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03169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Seznam surovin považovaných za kritické, který Evropská komise poprvé vypracovala v roce 2011, roste, neboť je aktualizován.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proto představuje hrozbu pro transformaci energetiky a digitalizaci, které vyžadují mnoho surovin považovaných za kritické, zejména v oblasti vytváření infrastruktury pro výrobu a skladování zelené energie (solární panely, větrné turbíny a baterie).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ACEB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Výroba elektrických spotřebičů způsobuje značné emise CO2.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Přibližně 16 % uhlíkové stopy spojené se spotřebou spotřebního zboží belgickými domácnostmi pochází z elektrických spotřebičů.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Výroba elektrických spotřebičů má za následek emise přibližně 3 000 000 tun CO2 ročně.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Delší životnost spotřebičů proto vede ke snížení emisí CO2 v celém výrobním řetězci.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ED71E5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Je také zajímavé, ze sociálně-ekonomických důvodů, mít na trhu snadněji opravitelná zařízení.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Zatímco nová zařízení se vyrábějí převážně mimo Belgii, oprava má za následek vytváření pracovních míst na místní úrovni.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Dnes hraje důležitou roli opravárenský průmysl.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Belgie utratí v průměru 10 EUR ročně na opravy domácích spotřebičů.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bere v úvahu pouze část oprav, pro které existují oficiální údaje.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Odhady naznačují, že v praxi probíhá přibližně polovina oprav v neformálním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Delší životnost snižuje náklady na životní cyklus zařízení.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Jedná se o náklady, které zohledňují jak kupní cenu, tak životnost, stejně jako náklady na údržbu a opravy.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Případové studie vysavače a pračky ukazují, že oprava spotřebiče je často hospodárnější než jeho nahrazení novým.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Spotřebiče s delší životností také vytvářejí větší trh s použitým prodejem.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Téměř 40 % domácností vlastní jedno nebo více použitých spotřebičů.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10 % spotřebičů je z druhé ruky.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21 % použitých elektrických spotřebičů nahrazuje nové.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nejen snižuje škody na životním prostředí, ale také nabízí spotřebiče za nižší cenu, takže kvalitní spotřebiče jsou přístupné více lidem.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B36B3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Tato legislativní iniciativa je součástí federálního akčního plánu pro oběhové hospodářství, který přijala Rada ministrů dne 17. prosince 2021.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 z velké části inspirována Francií, která zavedla skóre opravitelnosti a povinnost poskytovat informace o kompatibilitě softwaru dne 1.</w:t>
            </w:r>
            <w:r>
              <w:rPr>
                <w:sz w:val="19"/>
                <w:vertAlign w:val="superscript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 ledna 2021 jako součást zákona o boji proti odpadu a pro oběhové hospodářství zveřejněného dne 10. února 2020.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7263BA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Tato legislativní iniciativa tedy přispívá k ochraně životního prostředí tím, že především zdůrazňuje opravitelnost a trvanlivost výrobků.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Tímto způsobem se koncový uživatel bude moci snadněji seznámit s vlastnostmi opravitelnosti a trvanlivosti výrobku, který si chce zakoupit.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Zadruhé stanoví, že uvedení dotčených výrobků na trh závisí na získání minimálního hodnocení.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0CA975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návrh zákona je tedy nástrojem boje proti předčasnému zastarávání, aby se předešlo předčasnému vyřazení výrobků a zachovaly se přírodní zdroje nezbytné pro jejich výrobu.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1C7DC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Škála těchto opatření bude prováděna postupně.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Kategorie dotčených výrobků budou definovány a mohou být rozšířeny královskými výnosy přijatými v Radě ministrů.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123C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Sdělování počtu bodů a informace o kompatibilitě se softwarem bude rovněž stanoveno královským výnosem.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je z organizačního hlediska odůvodněné.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Práce po etapách zajišťuje praktickou proveditelnost těchto opatření, která vyžadují určitý čas pro krok zpět a přizpůsobení.</w:t>
            </w:r>
            <w:r>
              <w:rPr>
                <w:sz w:val="24"/>
                <w:rFonts w:ascii="Times New Roman" w:hAnsi="Times New Roman"/>
              </w:rPr>
              <w:t xml:space="preserve">   </w:t>
            </w:r>
          </w:p>
        </w:tc>
      </w:tr>
      <w:tr w:rsidR="00080401" w:rsidRPr="00080401" w14:paraId="6E75A05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9A4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47C2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4704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KOMENTÁŘE K ČLÁNKŮM</w:t>
            </w: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8C7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E9F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Článek 1</w:t>
            </w:r>
            <w:r>
              <w:rPr>
                <w:sz w:val="19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6B68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704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ústavní základ pro pravomoci.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10BBE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B11E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AE36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8D1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obsahuje definice konkrétních pojmů používaných v zákoně a v jeho výnosech.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66F30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3EA7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3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9DD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55F6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obsahuje účel zákona.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1A44E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4332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4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64E96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1B8B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kritéria, která je třeba vzít v úvahu při určování skóre opravitelnosti.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7A929A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výnosem, který je projednán v Radě ministrů, seznam výrobků, na které se vztahuje skóre opravitelnosti, technické normy podle kategorií výrobků, které umožňují stanovit skóre pro každé z kritérií indexu, metodu výpočtu celkového skóre opravitelnosti.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B034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 způsoby komunikace a formát indexu, jakož i přístupnost k technickým normám.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5C8BF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výnosem, který je projednán v Radě ministrů, minimální skóre opravitelnosti, které má být dosaženo u každé kategorie výrobků, na které se odkazuje jako na podmínku pro jejich uvedení na trh.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Regiony jsou s tímto návrhem královského výnosu spojeny prostřednictvím meziresortní konference o životním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Ústřední hospodářská rada, Rada spotřebitelů a Spolková rada pro udržitelný rozvoj byly požádány o stanovisko k tomuto návrhu královského výnosu.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15F76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AF2741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D618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071E1F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C9B9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povinnost osoby odpovědné za uvádění výrobků na trh poskytnout informace o době trvání softwarové kompatibility těchto výrobků.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5C954F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výnosem, který je projednán v Radě ministrů seznam výrobků, na které se vztahuje.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CD0C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 podmínky sdělování informací o době trvání kompatibility se softwarem, jakož i formát, ve kterém musí být informace sdělovány.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Dále definuje přístupnost k parametrům, které umožnily určit dobu trvání kompatibility softwaru.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</w:tc>
      </w:tr>
      <w:tr w:rsidR="00080401" w:rsidRPr="00080401" w14:paraId="7299DE1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7202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0B4B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B369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výnosem, projednanou v Radě ministrů, seznam výrobků, na které se vztahuje skóre trvanlivosti, technické normy podle kategorií výrobků, které umožňují stanovit skóre pro každé z kritérií indexu a způsob výpočtu celkového skóre délky života.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198E9F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 způsoby sdělování indexu a jeho formát a přístupnost k technickým normám.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25540D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výnosem, který je projednán v Radě ministrů, minimální skóre trvanlivosti, které má být dosaženo u každé kategorie výrobků, na něž se zaměřuje, jako podmínku pro jejich uvedení na trh.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Regiony jsou s tímto návrhem královského výnosem spojeny prostřednictvím meziresortní konference o životním prostředí.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Ústřední hospodářská rada, Rada spotřebitelů a Spolková rada pro udržitelný rozvoj byly požádány o stanovisko k tomuto návrhu královského výnosu.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3BA4445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kritérium skóre trvanlivosti, které ve druhém kroku doplní skóre opravitelnosti.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DF13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4F1A1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3ABC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7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A1FD2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230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zpracování osobních údajů v článcích 8, 9, 10 a 11.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FA3C10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2EF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8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23DA8F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31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stanoví odpovědnost výrobců, dovozců, distributorů a prodejců výrobků tím, že odlišuje poskytování informací od šíření informací.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48E8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91DC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8EBBE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F4A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určuje inspektory příslušné ke kontrole tohoto návrhu zákona.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Jedná se o kontrolní služby Generálního ředitelství pro životní prostředí Spolkové služby veřejného zdraví, bezpečnosti potravinového řetězce a životního prostředí.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3F182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Král stanoví královským výnosem technické předpisy týkající se kontroly, a to i v souvislosti s kontrolou výrobků prodávaných on-line.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2095C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B730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3372E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F4B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obsahuje systém trestních sankcí podle čl. 4 odst. 4 a čl. 6 odst. 4.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E7F6B4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539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26040B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2CA8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obsahuje procesní pravidla pro trestní sankce.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717AF5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F4B4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EA16E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F9B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obsahuje systém správních sankcí návrhu zákona.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FBADDE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CD31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Článek 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B59F02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03B9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článek se zabývá vstupem zákona v platnost, konkrétně šest měsíců po jeho zveřejnění v belgickém úředním věstníku.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49F0B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011F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0A51C2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198F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JSME ROZHODLI A TÍMTO NAŘIZUJEME: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66F4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522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449058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CC4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Ministr pro klima, životní prostředí, udržitelný rozvoj a Zelenou dohodu je odpovědný za to, že Sněmovně reprezentantů předloží jménem Sněmovny reprezentantů tento návrh zákona: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95015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519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6B404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0536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I – Úvodní ustanovení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334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925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516A9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1F6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6162BDF" w14:textId="77777777" w:rsidTr="00080401">
        <w:trPr>
          <w:trHeight w:val="57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20A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zákon upravuje předmět uvedený v článku 74 Ústavy.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90569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E077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F2526A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69ED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Pro použití tohoto zákona se použijí tyto definice: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18A2F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E30465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„skóre opravitelnosti“: hodnocení proveditelnosti demontáže a opravy výrobku.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D07D11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 „kompatibilita softwaru“: informace o době, po kterou výrobce nebo dodavatel podporuje a aktualizuje operační systém nebo software, aby bylo zajištěno běžné používání výrobku obezřetným a rozumným uživatelem.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FEE77B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 „skóre trvanlivosti“: hodnocení odolnosti a spolehlivosti výrobku.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737F3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 „technická norma“: norma pro technické vlastnosti výrobku pro výpočet skóre pro každé kritérium.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BE47C1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 „příručka pro údržbu“: vzdělávací dokument, jehož účelem je vysvětlit a usnadnit údržbu výrobku.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790B5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(6) „příručka o opravách“: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vzdělávací dokument určený k vysvětlení a usnadnění opravy výrobku.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B40C8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(7) „spolehlivost výrobku“: vyjadřuje pravděpodobnost, že výrobek bude plnit své zamýšlené funkce po určitou dobu.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5152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(8) „odolnost výrobku“: vyjadřuje pevnost a pevnost výrobku.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9CF948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(9) „uvádění na trh“:</w:t>
            </w:r>
            <w:r>
              <w:rPr>
                <w:sz w:val="24"/>
                <w:rFonts w:ascii="Times New Roman" w:hAnsi="Times New Roman"/>
              </w:rPr>
              <w:t xml:space="preserve">  </w:t>
            </w:r>
            <w:r>
              <w:rPr>
                <w:sz w:val="24"/>
                <w:rFonts w:ascii="Times New Roman" w:hAnsi="Times New Roman"/>
              </w:rPr>
              <w:t xml:space="preserve">zavedení, dovoz nebo držení za účelem prodeje nebo zpřístupnění třetím stranám, nabízení k prodeji, prodeji, pronájmu, leasingu nebo postoupení za úplatu nebo bezplatně, včetně on-line prodeje.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B8244E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(10):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„odpovědný za uvádění na trh“: výrobci, dovozci, distributoři a prodejci výrobků, na něž se vztahuje opravitelnost, skóre trvanlivosti a povinnost poskytovat informace o době trvání kompatibility se softwarem.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F9B2D4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D94F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8CC7A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97EF23" w14:textId="77777777" w:rsidTr="00080401">
        <w:trPr>
          <w:trHeight w:val="48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1DF14" w14:textId="74ABF0C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hd w:val="clear" w:color="auto" w:fill="FFFFFF"/>
                <w:rStyle w:val="normaltextrun"/>
                <w:b/>
                <w:rFonts w:ascii="Times New Roman" w:hAnsi="Times New Roman"/>
              </w:rPr>
              <w:t xml:space="preserve">Kapitola II – Obecná ustanovení</w:t>
            </w:r>
            <w:r>
              <w:rPr>
                <w:color w:val="000000"/>
                <w:sz w:val="24"/>
                <w:shd w:val="clear" w:color="auto" w:fill="FFFFFF"/>
                <w:rStyle w:val="eop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8925D4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DE8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538D7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233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E5F231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F03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1B1E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Cílem tohoto zákona je chránit životní prostředí zavedením skóre opravitelnosti, které bude doplněno skóre trvanlivosti, jakož i informováním o kompatibilitě výrobků se softwarem s cílem podpořit jejich opravu a prodloužit dobu jejich používání.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Výrobky, na které se vztahuje tento zákon, se vztahují pouze na nové prodávané výrobky, s výjimkou použitých výrobků.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7876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FA3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36C3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1564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III – skóre opravitelnosti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2E45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D143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FCDCFB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E5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4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4D9F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73F2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 výrobky uvedené v čl. 4 odst. 2 se vytvoří skóre opravitelnosti vypočtené na základě těchto kritérií: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C2DBB0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Dostupnost technických informací a příručky pro údržbu a opravy.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16D579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Snadnost, s jakou lze dotčený výrobek rozebrat.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AC6C18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Dostupnost náhradních dílů na trhu a jejich dodací lhůta.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5FA5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Cena náhradních dílů.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FE076F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Další kritéria konkrétně související s výrobkem.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141F8E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AF61E0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EEA5B8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výnosem, který je projednán v Radě ministrů, seznam výrobků, na které se vztahuje skóre opravitelnosti, a podle kategorie výrobků technické normy pro stanovení skóre pro každé z výše uvedených kritérií.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Rovněž stanoví způsob výpočtu celkového skóre opravitelnosti.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FC6A00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 způsoby sdělování skóre opravitelnosti, jakož i formát, ve kterém má být sdělen.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Dále definuje dostupnost technických norem a výpočet skóre.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1F6707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výnosem, který je projednán v Radě ministrů, minimální skóre opravitelnosti, které má být dosaženo pro každou kategorii výrobků uvedených v čl. 4 odst. 2 tohoto zákona jako podmínku pro jejich uvedení na trh.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Regiony jsou s tímto návrhem královského výnosu spojeny prostřednictvím meziresortní konference o životním prostředí.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Ústřední hospodářská rada, Rada spotřebitelů a Spolková rada pro udržitelný rozvoj byly požádány o stanovisko k tomuto návrhu královského výnosu.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645F8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A8353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98AA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5BA228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DE94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IV – Informace o kompatibilitě softwaru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71089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B6C9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F3F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2A3B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27115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CAEC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U výrobků uvedených v čl. 5 odst. 2 osoba odpovědná za uvedení na trh poskytne</w:t>
            </w:r>
            <w:r>
              <w:rPr>
                <w:sz w:val="24"/>
                <w:rFonts w:ascii="Times New Roman" w:hAnsi="Times New Roman"/>
              </w:rPr>
              <w:t xml:space="preserve"> konečnému uživateli informace o době trvání kompatibility softwaru.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A597A2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Posouzení údržby stávajících prvků při nákupu výrobku zohledňuje opotřebení vzhledem k době, kdy je výrobek jeho uživatelem používán obezřetně a pilně.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5AF37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F4F33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922C6D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633F63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výnosem, který je projednán v Radě ministrů, seznam výrobků, na které se vztahuje povinnost informovat o době trvání kompatibility se softwarem.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727A2F7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47CCA7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 způsoby sdělování informací o kompatibilitě se softwarem, jakož i formát, ve kterém mají být informace sdělovány.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Definuje také dostupnost parametrů, které umožňují určit dobu trvání kompatibility softwaru.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7009B18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EEF28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60287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BE294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V – skóre trvanlivosti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116C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E7D1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D8F54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28E0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D3F0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B915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Skóre trvanlivosti, které doplňuje skóre opravitelnosti uvedené v článku 4 pro výrobky uvedené v čl. 6 odst. 2, vypočtené na základě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specifické spolehlivosti a odolnosti každé kategorie výrobků.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C4DD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výnosem, který je projednán v Radě ministrů, seznam výrobků, na které se vztahuje skóre trvanlivosti, a technické normy pro stanovení skóre a metody výpočtu skóre.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769B8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 způsoby sdělování skóre trvanlivosti a formát, ve kterém má být sdělován.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Definuje také dostupnost informací, které umožnily určit skóre trvanlivosti.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DDF5E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královským výnosem projednanou v Radě ministrů minimální skóre trvanlivosti, které má být dosaženo pro každou kategorii výrobků uvedených v čl. 6 odst. 2 tohoto zákona jako podmínku pro jejich uvedení na trh.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Regiony jsou s tímto návrhem královského výnosu spojeny prostřednictvím meziresortní konference o životním prostředí.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Ústřední hospodářská rada, Rada spotřebitelů a Spolková rada pro udržitelný rozvoj byly požádány o stanovisko k tomuto návrhu královského výnosu.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644A7C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6D0F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b/>
                <w:rFonts w:ascii="Times New Roman" w:hAnsi="Times New Roman"/>
              </w:rPr>
              <w:t xml:space="preserve">Kapitola VI – Zpracování údajů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C07B43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80BC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B0C16D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9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Článek 7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46A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4D7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Spolková služba veřejného zdraví je jedinou veřejnou službou způsobilou a odpovědnou za zpracování osobních údajů v rámci článků 8, 9, 10 a 11 tohoto zákona.</w:t>
            </w:r>
            <w:r>
              <w:rPr>
                <w:sz w:val="24"/>
                <w:rFonts w:ascii="Times New Roman" w:hAnsi="Times New Roman"/>
              </w:rPr>
              <w:t xml:space="preserve"> 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Maximální doba uchovávání osobních údajů, které mají být zpracovány, je pět let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4F4AE4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106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Kapitola VII – Odpovědnost</w:t>
            </w:r>
            <w:r>
              <w:rPr>
                <w:rFonts w:ascii="Times New Roman" w:hAnsi="Times New Roman"/>
              </w:rPr>
              <w:t xml:space="preserve"> </w:t>
            </w:r>
          </w:p>
          <w:p w14:paraId="4AE4C20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08C21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FDAC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94C3C5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B807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Článek 8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0351C5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3605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Výrobci a dovozci výrobků uvedených v čl. 4 odst. 2, čl. 5 odst. 2 a čl. 6 odst. 2 tohoto zákona jsou odpovědní za poskytování skóre opravitelnosti, skóre</w:t>
            </w:r>
            <w:r>
              <w:rPr>
                <w:sz w:val="24"/>
                <w:rFonts w:ascii="Times New Roman" w:hAnsi="Times New Roman"/>
              </w:rPr>
              <w:t xml:space="preserve"> trvanlivosti výrobků a informací o době trvání softwarové kompatibility výrobků.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88302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509AA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Prodejci a distributoři výrobků uvedených v čl. 4 odst. 2, čl. 5 odst. 2 a čl. 6 odst. 2 tohoto zákona jsou odpovědní za sdělování skóre opravitelnosti,</w:t>
            </w:r>
            <w:r>
              <w:rPr>
                <w:sz w:val="24"/>
                <w:rFonts w:ascii="Times New Roman" w:hAnsi="Times New Roman"/>
              </w:rPr>
              <w:t xml:space="preserve"> skóre trvanlivosti a informací o kompatibilitě výrobků se softwarem.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EEBE2B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Jsou také zodpovědní za přístup k technickým informacím.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65031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228710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D274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707A33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5407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VIII – Kontrola a sankce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E1657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CB75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85BB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E1A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A8AA01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3120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Provádění tohoto zákona je sledováno kontrolním oddělením Generálního ředitelství pro životní prostředí Federální služby veřejného zdraví, bezpečnosti potravinového řetězce a životního prostředí.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B97B09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55EA2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Král stanoví ministerským výnosem technická ustanovení týkající se kontroly, a to i v souvislosti s kontrolou výrobků prodávaných on-line, včetně podmínek pro správní pokuty.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22DF77F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D7B4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C4DE62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8F28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10EFB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486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Za kterou lze uložit trestní pokutu ve výši 100 až 100 000 EUR, každá osoba, která porušuje čl. 4 odst. 4 a čl. 6 odst. 4 tohoto zákona.</w:t>
            </w:r>
            <w:r>
              <w:rPr>
                <w:sz w:val="24"/>
                <w:rFonts w:ascii="Segoe UI" w:hAnsi="Segoe UI"/>
              </w:rPr>
              <w:t xml:space="preserve">  </w:t>
            </w:r>
          </w:p>
          <w:p w14:paraId="7E302A8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Trestní pokuty stanovené v § 1 musí být zvýšeny v souladu se zákonem ze dne 5. března 1952 o příplatcích k trestněprávním pokutám.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8DCBBB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1AFFC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1D33F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02598D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 účelem ochrany životního prostředí může trestní soudce nařídit následující opatření: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D64DA13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zákaz dovozu výrobku, který je předmětem deliktu;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(2) stažení výrobku, který je předmětem protiprávního jednání, z trhu;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(3) zveřejnění rozsudku způsobem, který určí, a na náklady odsouzeného.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E2B2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F76F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324B8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0BA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Členové statutárních nebo smluvních zaměstnanců jmenovaných králem v souladu s čl. 9 odst. 2 tohoto zákona zašlou protokol o zjištění trestného činu.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F14ED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0EE977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Státní zástupce rozhodne, zda bude či nebude trestně žalovat.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Trestní řízení vylučuje uložení správní pokuty, i když je osvobozující opatření uzavře.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4C35314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6FB400" w14:textId="77777777" w:rsidR="00880EA5" w:rsidRDefault="00080401" w:rsidP="00080401">
            <w:pPr>
              <w:spacing w:after="0" w:line="240" w:lineRule="auto"/>
              <w:jc w:val="both"/>
              <w:textAlignment w:val="baseline"/>
              <w:rPr>
                <w:sz w:val="24"/>
                <w:rFonts w:ascii="Segoe UI" w:hAnsi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Státní zástupce má lhůtu tří měsíců ode dne obdržení zápisu, aby oznámil své rozhodnutí vládnímu úředníkovi jmenovanému králem v souladu s čl. 9 odst. 2 tohoto zákona.</w:t>
            </w:r>
          </w:p>
          <w:p w14:paraId="2FB05F77" w14:textId="09083F43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případě, že se státní zástupce vzdá trestního řízení nebo neoznámí své rozhodnutí ve stanovené lhůtě, rozhodne vládní úředník určený králem v souladu s čl. 9 odst. 2 tohoto zákona v souladu s podmínkami stanovenými tímto zákonem poté, co dá dotyčné osobě možnost předložit svou obhajobu, je-li vhodné navrhnout správní pokutu na základě trestného činu.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4B169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Úředník může pachateli navrhnout správní pokutu poté, co dotyčné osobě poskytne možnost předložit své prostředky na obhajobu.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Není-li předložen návrh na správní pokutu, předá se zápis státnímu zástupci.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Byl-li předložen návrh na správní pokutu, zašle se pro informaci státnímu zástupci kopie zápisu.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7ADBDA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52592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7609D0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8ACF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03EC49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4136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1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Bez ohledu na dodržování článku 10 tohoto zákona se správní pokuta ve výši 100 až 30 000 EUR uloží, pokud poruší články 4, 5 a 6.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</w:t>
            </w:r>
          </w:p>
          <w:p w14:paraId="3018CFF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42EF6BF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60E64E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2.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Příplatky uvedené v čl. 1 odst. 1 zákona ze dne 5. března 1952 o příplatcích k trestním pokutám se vztahují také na správní pokuty podle §1 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tohoto článku.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 </w:t>
            </w:r>
          </w:p>
          <w:p w14:paraId="2142FC1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1CED5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3.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Řízení a vydávání správních pokut je odpovědností právní služby Federální služby veřejného zdraví, bezpečnosti potravinového řetězce a životního prostředí.</w:t>
            </w:r>
            <w:r>
              <w:rPr>
                <w:color w:val="000000"/>
                <w:sz w:val="24"/>
                <w:rFonts w:ascii="Segoe UI" w:hAnsi="Segoe UI"/>
              </w:rPr>
              <w:t xml:space="preserve"> </w:t>
            </w:r>
          </w:p>
          <w:p w14:paraId="16F0D1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FB2C7E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8AC532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4.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Správní pokuty uložené na základě zápisu vypracovaného útvary uvedenými v čl. 9 odst. 1 se vyplatí Rozpočtovému fondu pro suroviny a výrobky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05FE84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C25EF0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82FF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973EE5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FAB8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KAPITOLA IX – Závěrečná ustanovení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CBD48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BAEC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48C1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E12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Článek 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D17A4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D5F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Tento zákon nabývá účinnosti šest měsíců ode dne zveřejnění v belgickém úředním věstníku.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3BD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C0B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49F71F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BB13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Bruselu dne.../.../2022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AD46D3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A5B4C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Za krále: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2E2A157" w14:textId="77777777" w:rsidTr="00080401">
        <w:trPr>
          <w:trHeight w:val="2235"/>
        </w:trPr>
        <w:tc>
          <w:tcPr>
            <w:tcW w:w="9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31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382747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B9F2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994EC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70E5B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8287B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40D89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FILIP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6614E1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DFCB61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1C2278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472BB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Ministr pro klima, životní prostředí, udržitelný rozvoj a Zelenou dohodu,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914EC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34E0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5B23BCE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31AD4426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5F1C3860" w14:textId="77777777" w:rsidR="00080401" w:rsidRDefault="00080401" w:rsidP="00080401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8AB9B28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Z. KHATTABI</w:t>
            </w:r>
            <w:r>
              <w:rPr>
                <w:rStyle w:val="eop"/>
              </w:rPr>
              <w:t xml:space="preserve"> </w:t>
            </w:r>
          </w:p>
          <w:p w14:paraId="0343013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789A0E68" w14:textId="77777777" w:rsidR="006E076C" w:rsidRDefault="006E076C"/>
    <w:sectPr w:rsidR="006E076C" w:rsidSect="001B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1"/>
    <w:rsid w:val="00080401"/>
    <w:rsid w:val="001B64FB"/>
    <w:rsid w:val="005770C7"/>
    <w:rsid w:val="006E076C"/>
    <w:rsid w:val="007B4C8F"/>
    <w:rsid w:val="008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B86F"/>
  <w15:chartTrackingRefBased/>
  <w15:docId w15:val="{6A6BA2B3-5A85-40BE-8A42-DE457D1D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normaltextrun">
    <w:name w:val="normaltextrun"/>
    <w:basedOn w:val="DefaultParagraphFont"/>
    <w:rsid w:val="00080401"/>
  </w:style>
  <w:style w:type="character" w:customStyle="1" w:styleId="eop">
    <w:name w:val="eop"/>
    <w:basedOn w:val="DefaultParagraphFont"/>
    <w:rsid w:val="00080401"/>
  </w:style>
  <w:style w:type="character" w:customStyle="1" w:styleId="scxw201559074">
    <w:name w:val="scxw201559074"/>
    <w:basedOn w:val="DefaultParagraphFont"/>
    <w:rsid w:val="0008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3327</Words>
  <Characters>18969</Characters>
  <Application>Microsoft Office Word</Application>
  <DocSecurity>0</DocSecurity>
  <Lines>158</Lines>
  <Paragraphs>44</Paragraphs>
  <ScaleCrop>false</ScaleCrop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Sirine Echakafi (SPF Santé Publique - FOD Volksgezondheid)</dc:creator>
  <cp:keywords/>
  <dc:description/>
  <cp:lastModifiedBy>Dimitris Dimitriadis</cp:lastModifiedBy>
  <cp:revision>3</cp:revision>
  <dcterms:created xsi:type="dcterms:W3CDTF">2022-09-21T09:27:00Z</dcterms:created>
  <dcterms:modified xsi:type="dcterms:W3CDTF">2022-09-26T11:32:00Z</dcterms:modified>
</cp:coreProperties>
</file>