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9E93C" w14:textId="77777777" w:rsidR="00EC22B5" w:rsidRDefault="00EC22B5" w:rsidP="00EC22B5">
      <w:pPr>
        <w:ind w:right="1417"/>
        <w:rPr>
          <w:caps/>
          <w:sz w:val="24"/>
          <w:szCs w:val="24"/>
          <w:rFonts w:ascii="Times New Roman" w:hAnsi="Times New Roman" w:cs="Times New Roman"/>
        </w:rPr>
      </w:pPr>
      <w:r>
        <w:rPr>
          <w:caps/>
          <w:sz w:val="24"/>
          <w:rFonts w:ascii="Times New Roman" w:hAnsi="Times New Roman"/>
        </w:rPr>
        <w:t xml:space="preserve">Ministerstvo sociálních věcí</w:t>
      </w:r>
    </w:p>
    <w:p w14:paraId="0BE57393" w14:textId="77777777" w:rsidR="00EC22B5" w:rsidRPr="00EC22B5" w:rsidRDefault="00EC22B5" w:rsidP="00EC22B5">
      <w:pPr>
        <w:ind w:right="1417"/>
        <w:rPr>
          <w:b/>
          <w:caps/>
          <w:sz w:val="24"/>
          <w:szCs w:val="24"/>
          <w:rFonts w:ascii="Times New Roman" w:hAnsi="Times New Roman" w:cs="Times New Roman"/>
        </w:rPr>
      </w:pPr>
      <w:r>
        <w:rPr>
          <w:caps/>
          <w:sz w:val="24"/>
          <w:rFonts w:ascii="Times New Roman" w:hAnsi="Times New Roman"/>
        </w:rPr>
        <w:t xml:space="preserve">a zdravotnictví</w:t>
      </w:r>
    </w:p>
    <w:p w14:paraId="7C8F7A88" w14:textId="77777777" w:rsidR="00EC22B5" w:rsidRDefault="00EC22B5" w:rsidP="00AB7CED">
      <w:pPr>
        <w:ind w:left="1418" w:right="141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5CB316" w14:textId="77777777" w:rsidR="00891D87" w:rsidRPr="00AB7CED" w:rsidRDefault="00891D87" w:rsidP="00AB7CED">
      <w:pPr>
        <w:ind w:left="1418" w:right="1417"/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Vyhláška xxx, kterou se provádí článek R. 5132-86 zákoníku veřejného zdraví pro konopí</w:t>
      </w:r>
    </w:p>
    <w:p w14:paraId="2A4F1A40" w14:textId="77777777" w:rsidR="00891D87" w:rsidRPr="00AB7CED" w:rsidRDefault="00FC7100" w:rsidP="00FC7100">
      <w:pPr>
        <w:jc w:val="center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NOR:</w:t>
      </w:r>
    </w:p>
    <w:p w14:paraId="37AED920" w14:textId="77777777" w:rsidR="00891D87" w:rsidRPr="00AB7CED" w:rsidRDefault="00891D87" w:rsidP="00542229">
      <w:pPr>
        <w:ind w:firstLine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sociálních věcí a zdravotnictví, ministr zemědělství a výživy, zástupce ministra hospodářství, financí a obnovy, odpovědný za veřejné účty, a zástupce ministra hospodářství, financí a obnovy, odpovědný za průmysl,</w:t>
      </w:r>
    </w:p>
    <w:p w14:paraId="49CC6C3A" w14:textId="77777777" w:rsidR="00891D87" w:rsidRPr="00AB7CED" w:rsidRDefault="00891D87" w:rsidP="00542229">
      <w:pPr>
        <w:ind w:firstLine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nařízení Evropského parlamentu a Rady (ES) č. 178/2002 ze dne 28. ledna 2002, kterým se stanoví obecné zásady a požadavky potravinového práva, zřizuje se Evropský úřad pro bezpečnost potravin a stanoví postupy, týkající se bezpečnosti potravin, a zejména na články 14 a 15;</w:t>
      </w:r>
    </w:p>
    <w:p w14:paraId="4260D179" w14:textId="77777777" w:rsidR="00891D87" w:rsidRPr="00AB7CED" w:rsidRDefault="00891D87" w:rsidP="00542229">
      <w:pPr>
        <w:ind w:firstLine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nařízení Evropského parlamentu a Rady (ES) č. 767/2009 ze dne 13. července 2009 o uvádění na trh a používání krmiv, o změně nařízení Evropského parlamentu a Rady (ES) č. 1831/2003 a o zrušení směrnice Rady 79/373/EHS, směrnice Komise 80/511/EHS, směrnic Rady 82/471/EHS, 83/228/EHS, 93/74/EHS, 93/113/ES a 96/25/ES a rozhodnutí Komise 2004/217/ES;</w:t>
      </w:r>
    </w:p>
    <w:p w14:paraId="1750F816" w14:textId="77777777" w:rsidR="00891D87" w:rsidRPr="00AB7CED" w:rsidRDefault="00891D87" w:rsidP="00542229">
      <w:pPr>
        <w:ind w:firstLine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směrnici Rady 2002/53/ES ze dne 13. června 2002 o Společném katalogu odrůd druhů zemědělských rostlin;</w:t>
      </w:r>
    </w:p>
    <w:p w14:paraId="184A1167" w14:textId="77777777" w:rsidR="00891D87" w:rsidRPr="00AB7CED" w:rsidRDefault="00891D87" w:rsidP="00542229">
      <w:pPr>
        <w:ind w:firstLine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 ohledem na směrnici Evropského parlamentu a Rady (EU) 2015/1535 ze dne 9. září 2015 o postupu při poskytování informací v oblasti technických předpisů a předpisů pro služby informační společnosti, a zejména na oznámení č. 2020/.../F;</w:t>
      </w:r>
    </w:p>
    <w:p w14:paraId="6C8A52BD" w14:textId="77777777" w:rsidR="00FC7100" w:rsidRPr="00AB7CED" w:rsidRDefault="00FC7100" w:rsidP="00542229">
      <w:pPr>
        <w:ind w:firstLine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francouzský zákon o veřejném zdraví, zejména na články L. 5132-8 a R. 5132-86 tohoto zákona;</w:t>
      </w:r>
      <w:r>
        <w:rPr>
          <w:sz w:val="24"/>
          <w:rFonts w:ascii="Times New Roman" w:hAnsi="Times New Roman"/>
        </w:rPr>
        <w:t xml:space="preserve"> </w:t>
      </w:r>
    </w:p>
    <w:p w14:paraId="119510F4" w14:textId="77777777" w:rsidR="00891D87" w:rsidRPr="00AB7CED" w:rsidRDefault="00891D87" w:rsidP="00542229">
      <w:pPr>
        <w:ind w:firstLine="567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S ohledem na vyhlášku č. 81-605 ze dne 18. května 1981 ve znění pozdějších předpisů, která byla přijata k implementaci zákona ze dne 1. srpna 1905 o předcházení trestným činům souvisejícím s obchodem s osivem a rostlinami;</w:t>
      </w:r>
    </w:p>
    <w:p w14:paraId="1EB81086" w14:textId="77777777" w:rsidR="00FC7100" w:rsidRPr="00AB7CED" w:rsidRDefault="00FC7100" w:rsidP="00AB7CE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E9AC8" w14:textId="77777777" w:rsidR="00FC7100" w:rsidRPr="00AB7CED" w:rsidRDefault="00FC7100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Tímto nařizují:</w:t>
      </w:r>
    </w:p>
    <w:p w14:paraId="4664A3AD" w14:textId="77777777" w:rsidR="00891D87" w:rsidRPr="00AB7CED" w:rsidRDefault="00891D87" w:rsidP="00AB7CED">
      <w:pPr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1</w:t>
      </w:r>
      <w:r>
        <w:rPr>
          <w:b/>
          <w:sz w:val="24"/>
          <w:rFonts w:ascii="Times New Roman" w:hAnsi="Times New Roman"/>
        </w:rPr>
        <w:t xml:space="preserve"> </w:t>
      </w:r>
    </w:p>
    <w:p w14:paraId="1DE80675" w14:textId="77777777" w:rsidR="00891D87" w:rsidRPr="00AB7CED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I.- Podle článku R. 5132-86 zákoníku veřejného zdraví se povoluje pěstování, dovoz, vývoz a průmyslové a obchodní využití pouze odrůd Cannabis sativa L., jejichž obsah delta-9-tetrahydrokanabinolu nepřesahuje 0,20 % a které jsou uvedeny ve Společném katalogu odrůd druhů zemědělských rostlin nebo v úředním katalogu druhů a odrůd rostlin pěstovaných ve Francii.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Stanovení obsahu delta-9-tetrahydrokanabinolu ve výše uvedených odrůdách a odběr vzorků pro toto stanovení se provádí metodou stanovenou v příloze;</w:t>
      </w:r>
    </w:p>
    <w:p w14:paraId="694C6B7A" w14:textId="77777777" w:rsidR="00891D87" w:rsidRPr="00AB7CED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Květy a listy jsou vyráběny z certifikovaných osiv.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Prodej rostlin a uskutečňování řezání jsou zakázány.</w:t>
      </w:r>
      <w:r>
        <w:rPr>
          <w:sz w:val="24"/>
          <w:rFonts w:ascii="Times New Roman" w:hAnsi="Times New Roman"/>
        </w:rPr>
        <w:t xml:space="preserve"> </w:t>
      </w:r>
    </w:p>
    <w:p w14:paraId="33C41145" w14:textId="77777777" w:rsidR="00891D87" w:rsidRPr="00AB7CED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Pouze aktivní zemědělci ve smyslu stávajících evropských a národních předpisů mohou pěstovat květy a listy konopí.</w:t>
      </w:r>
    </w:p>
    <w:p w14:paraId="03D757C4" w14:textId="77777777" w:rsidR="00891D87" w:rsidRPr="00AB7CED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II.- Květy a listy odrůd uvedených v části I mohou být sklizeny, dováženy nebo použity pouze pro průmyslovou produkci konopných výtažků.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Zejména je zakázáno prodávat spotřebitelům květy nebo surové listy ve všech formách, samostatně nebo v kombinaci s jinými složkami, jejich držení spotřebiteli a jejich konzumace.</w:t>
      </w:r>
    </w:p>
    <w:p w14:paraId="774EA98E" w14:textId="77777777" w:rsidR="00891D87" w:rsidRPr="00AB7CED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Nákup konopných květů a listů, vyrobených na francouzském území, je předmětem písemné smlouvy mezi výrobcem a kupujícím.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Smlouva obsahuje informace o objemu a ceně produktů.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Smlouva může obsahovat informace o očekávané kvalitě výrobků.</w:t>
      </w:r>
      <w:r>
        <w:rPr>
          <w:sz w:val="24"/>
          <w:rFonts w:ascii="Times New Roman" w:hAnsi="Times New Roman"/>
        </w:rPr>
        <w:t xml:space="preserve"> </w:t>
      </w:r>
      <w:r>
        <w:rPr>
          <w:sz w:val="24"/>
          <w:rFonts w:ascii="Times New Roman" w:hAnsi="Times New Roman"/>
        </w:rPr>
        <w:t xml:space="preserve">Smlouva se uzavírá před začátkem výrobního roku.</w:t>
      </w:r>
      <w:r>
        <w:rPr>
          <w:sz w:val="24"/>
          <w:rFonts w:ascii="Times New Roman" w:hAnsi="Times New Roman"/>
        </w:rPr>
        <w:t xml:space="preserve"> </w:t>
      </w:r>
    </w:p>
    <w:p w14:paraId="1FCBA4FF" w14:textId="77777777" w:rsidR="00891D87" w:rsidRPr="00AB7CED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III. Aniž jsou dotčeny články 14 a 15 nařízení (ES) č. 178/2002 a článek 4 nařízení (ES) č. 767/2009, nesmí obsah delta-9-tetrahydrokanabinolu v extraktech konopí a v produktech, které je obsahují, překročit 0,2 %.</w:t>
      </w:r>
    </w:p>
    <w:p w14:paraId="6285A094" w14:textId="77777777" w:rsidR="00891D87" w:rsidRPr="00AB7CED" w:rsidRDefault="00891D87" w:rsidP="00AB7CED">
      <w:pPr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2</w:t>
      </w:r>
    </w:p>
    <w:p w14:paraId="3B6E34B8" w14:textId="77777777" w:rsidR="00891D87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Produkty získané z konopí podle článku 1 mohou být dováženy ze zemí mimo Evropskou unii nebo vyvezeny mimo Evropskou unii pouze tehdy, jsou-li k nim přiloženy doklady potvrzující jejich soulad s touto vyhláškou.</w:t>
      </w:r>
    </w:p>
    <w:p w14:paraId="0DE9405A" w14:textId="77777777" w:rsidR="00542229" w:rsidRPr="00AB7CED" w:rsidRDefault="00542229" w:rsidP="00542229">
      <w:pPr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3</w:t>
      </w:r>
    </w:p>
    <w:p w14:paraId="48567770" w14:textId="77777777" w:rsidR="00542229" w:rsidRPr="00AB7CED" w:rsidRDefault="00542229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Ruší se vyhláška ze dne 22. srpna 1990, kterou se provádí článek R. 5132-86 zákoníku veřejného zdraví pro konopí.</w:t>
      </w:r>
    </w:p>
    <w:p w14:paraId="3830ED1D" w14:textId="77777777" w:rsidR="00891D87" w:rsidRPr="00AB7CED" w:rsidRDefault="00891D87" w:rsidP="00AB7CED">
      <w:pPr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Článek 4</w:t>
      </w:r>
    </w:p>
    <w:p w14:paraId="48053AD1" w14:textId="77777777" w:rsidR="00891D87" w:rsidRPr="00AB7CED" w:rsidRDefault="00891D87" w:rsidP="00AB7CED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Za provádění tohoto nařízení, které bude zveřejněno v Úředním věstníku Francouzské republiky, odpovídá generální ředitel pro zdraví, generální ředitel pro potraviny, generální ředitel pro podnikání a generální ředitel pro cla a nepřímé daně.</w:t>
      </w:r>
    </w:p>
    <w:p w14:paraId="0BAE3022" w14:textId="77777777" w:rsidR="00542229" w:rsidRDefault="00542229" w:rsidP="00542229">
      <w:pPr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zdravotnictví a sociálních věcí</w:t>
      </w:r>
    </w:p>
    <w:p w14:paraId="3479316A" w14:textId="77777777" w:rsidR="00542229" w:rsidRDefault="00542229" w:rsidP="00542229">
      <w:pPr>
        <w:jc w:val="right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Ministr zemědělství a výživy</w:t>
      </w:r>
    </w:p>
    <w:p w14:paraId="286977AA" w14:textId="77777777" w:rsidR="00542229" w:rsidRDefault="00542229" w:rsidP="00542229">
      <w:pPr>
        <w:ind w:right="5103"/>
        <w:jc w:val="both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Zástupce ministra hospodářství, financí a obnovy, odpovědný za veřejné účty</w:t>
      </w:r>
    </w:p>
    <w:p w14:paraId="71208B86" w14:textId="77777777" w:rsidR="00542229" w:rsidRPr="00AB7CED" w:rsidRDefault="00542229" w:rsidP="00542229">
      <w:pPr>
        <w:ind w:left="3540" w:firstLine="708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rFonts w:ascii="Times New Roman" w:hAnsi="Times New Roman"/>
        </w:rPr>
        <w:t xml:space="preserve">Zástupce ministra hospodářství, financí a obnovy, odpovědný za průmysl,</w:t>
      </w:r>
    </w:p>
    <w:p w14:paraId="08957A8F" w14:textId="77777777" w:rsidR="00AB7CED" w:rsidRDefault="00AB7CED">
      <w:pPr>
        <w:rPr>
          <w:b/>
          <w:sz w:val="24"/>
          <w:szCs w:val="24"/>
          <w:rFonts w:ascii="Times New Roman" w:hAnsi="Times New Roman" w:cs="Times New Roman"/>
        </w:rPr>
      </w:pPr>
      <w:r>
        <w:br w:type="page"/>
      </w:r>
    </w:p>
    <w:p w14:paraId="698B828F" w14:textId="77777777" w:rsidR="00891D87" w:rsidRPr="00AB7CED" w:rsidRDefault="00891D87" w:rsidP="00AB7CED">
      <w:pPr>
        <w:jc w:val="both"/>
        <w:rPr>
          <w:b/>
          <w:sz w:val="24"/>
          <w:szCs w:val="24"/>
          <w:rFonts w:ascii="Times New Roman" w:hAnsi="Times New Roman" w:cs="Times New Roman"/>
        </w:rPr>
      </w:pPr>
      <w:r>
        <w:rPr>
          <w:b/>
          <w:sz w:val="24"/>
          <w:rFonts w:ascii="Times New Roman" w:hAnsi="Times New Roman"/>
        </w:rPr>
        <w:t xml:space="preserve">PŘÍLOHA:</w:t>
      </w:r>
      <w:r>
        <w:rPr>
          <w:b/>
          <w:sz w:val="24"/>
          <w:rFonts w:ascii="Times New Roman" w:hAnsi="Times New Roman"/>
        </w:rPr>
        <w:t xml:space="preserve"> </w:t>
      </w:r>
      <w:r>
        <w:rPr>
          <w:b/>
          <w:sz w:val="24"/>
          <w:rFonts w:ascii="Times New Roman" w:hAnsi="Times New Roman"/>
        </w:rPr>
        <w:t xml:space="preserve">METODA KVANTITATIVNÍHO STANOVENÍ DELTA-9-TETRAHYDROKANABINOLU (9-THC) V ODRŮDÁCH KONOPÍ</w:t>
      </w:r>
    </w:p>
    <w:p w14:paraId="281C9426" w14:textId="77777777" w:rsidR="00891D87" w:rsidRPr="00891D87" w:rsidRDefault="00891D87" w:rsidP="00AB7CED">
      <w:pPr>
        <w:spacing w:after="0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shd w:val="clear" w:color="auto" w:fill="FFFFFF"/>
          <w:rFonts w:ascii="Times New Roman" w:hAnsi="Times New Roman"/>
        </w:rPr>
        <w:t xml:space="preserve">1.</w:t>
      </w:r>
      <w:r>
        <w:rPr>
          <w:color w:val="3C3C3C"/>
          <w:sz w:val="24"/>
          <w:shd w:val="clear" w:color="auto" w:fill="FFFFFF"/>
          <w:rFonts w:ascii="Times New Roman" w:hAnsi="Times New Roman"/>
        </w:rPr>
        <w:t xml:space="preserve"> </w:t>
      </w:r>
      <w:r>
        <w:rPr>
          <w:color w:val="3C3C3C"/>
          <w:sz w:val="24"/>
          <w:shd w:val="clear" w:color="auto" w:fill="FFFFFF"/>
          <w:rFonts w:ascii="Times New Roman" w:hAnsi="Times New Roman"/>
        </w:rPr>
        <w:t xml:space="preserve">Předmět a oblast působnosti</w:t>
      </w:r>
    </w:p>
    <w:p w14:paraId="6B6C345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Metoda se používá ke stanovení obsahu delta-9-tetrahydrokanabinolu (9-THC) v Cannabis sativa L.</w:t>
      </w:r>
    </w:p>
    <w:p w14:paraId="3121EDB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Podle potřeby je možné metodu aplikovat v souladu s níže popsaným postupem A nebo B.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Tato metoda je založena na kvantitativním stanovení 9-THC po extrakci rozpouštědlem pomocí plynové chromatografie (GCP).</w:t>
      </w:r>
    </w:p>
    <w:p w14:paraId="7DA856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1.1.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Postup A</w:t>
      </w:r>
    </w:p>
    <w:p w14:paraId="3E0667C2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Postup A se používá pro účely kontroly odrůd uvedených v článku 1 vyhlášky xxx, kterou se provádí článek R. 5181 zákoníku veřejného zdraví pro konopí.</w:t>
      </w:r>
    </w:p>
    <w:p w14:paraId="16C7510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Pokud ze zjištění vyplývá, že u významného počtu vzorků dané odrůdy je obsah 9-THC vyšší než obsah povolený v článku 1 výše uvedené vyhlášky, lze použít postup B.</w:t>
      </w:r>
    </w:p>
    <w:p w14:paraId="777C1A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1.2.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Postup B</w:t>
      </w:r>
    </w:p>
    <w:p w14:paraId="6F2329A7" w14:textId="77777777" w:rsidR="00FC7100" w:rsidRPr="00AB7CED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Pro případy uvedené v bodě 1.1 druhém pododstavci se použije postup B.</w:t>
      </w:r>
    </w:p>
    <w:p w14:paraId="3301E73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2.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Odběr vzorků</w:t>
      </w:r>
    </w:p>
    <w:p w14:paraId="6B1063C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2.1.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Vzorky</w:t>
      </w:r>
    </w:p>
    <w:p w14:paraId="6ED09C9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Postup A: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U dané populace konopí se pro každou vybranou rostlinu odebere 30 cm část alespoň jednoho samičího květenství.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Odběr vzorků probíhá v období mezi dvaceti dny po začátku a deseti dny po skončení kvetení během dne systematickým způsobem, který umožňuje reprezentativní sběr na celém pozemku s výjimkou jeho okrajů.</w:t>
      </w:r>
    </w:p>
    <w:p w14:paraId="54150C4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Postup B: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V populaci dané odrůdy Cannabis sativa L. bude odebrána horní třetina každé vybrané rostliny.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Odběr vzorků se provádí do deseti dnů od konce kvetení během dne systematickým způsobem, který umožňuje reprezentativní sběr na celém pozemku s výjimkou jeho okrajů.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V případě dvoudomé odrůdy budou shromažďovány pouze samičí rostliny.</w:t>
      </w:r>
    </w:p>
    <w:p w14:paraId="4684C02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2.2.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Množství vzorků</w:t>
      </w:r>
    </w:p>
    <w:p w14:paraId="6DCC997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Postup A: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Pro každý pozemek se vzorek odebere z 50 rostlin.</w:t>
      </w:r>
    </w:p>
    <w:p w14:paraId="5D29643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Postup B: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Pro každý pozemek se vzorek odebere z 200 rostlin.</w:t>
      </w:r>
    </w:p>
    <w:p w14:paraId="17F786E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Každý vzorek se umístí bez manipulace do látky nebo papírového sáčku a poté se zašle do laboratoře odpovědné za stanovení obsahu 9-THC.</w:t>
      </w:r>
    </w:p>
    <w:p w14:paraId="0DFF005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Druhý vzorek může být odebrán pro případnou protianalýzu a skladován buď výrobcem, nebo laboratoří.</w:t>
      </w:r>
    </w:p>
    <w:p w14:paraId="0ABDF5B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2.3.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Sušení a skladování vzorku</w:t>
      </w:r>
    </w:p>
    <w:p w14:paraId="348704C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Vzorky se suší co nejrychleji a v každém případě do 48 hodin při teplotě nižší než 70 °C. Vzorky se vysuší na konstantní hmotnost s vlhkostí mezi 8 a 13 %.</w:t>
      </w:r>
    </w:p>
    <w:p w14:paraId="3ACE333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Suché vzorky se neuchovávají ve tmě a při teplotách nižších než 25 °C.</w:t>
      </w:r>
    </w:p>
    <w:p w14:paraId="138F62F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3.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Analýza obsahu 9-THC</w:t>
      </w:r>
    </w:p>
    <w:p w14:paraId="7ED3F74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3.1.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Příprava vzorku pro analýzu</w:t>
      </w:r>
    </w:p>
    <w:p w14:paraId="24C2CB1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Suché vzorky se odstraní ze stonků a semen větších než 2 mm.</w:t>
      </w:r>
    </w:p>
    <w:p w14:paraId="5FF713D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Sušené vzorky se rozdrtí na polojemný prášek (1 mm oko síta).</w:t>
      </w:r>
    </w:p>
    <w:p w14:paraId="24C1060F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Maximální doba skladování prášku je 10 týdnů na suchém, tmavém místě při teplotách nižších než 25 °C.</w:t>
      </w:r>
    </w:p>
    <w:p w14:paraId="1C1236F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3.2.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Činidla, extrakční roztok</w:t>
      </w:r>
    </w:p>
    <w:p w14:paraId="01D30FC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Činidla:</w:t>
      </w:r>
    </w:p>
    <w:p w14:paraId="190FFBD0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9-tetrahydrokanabinol chromatologicky čistý;</w:t>
      </w:r>
    </w:p>
    <w:p w14:paraId="153C23D9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Chromatograficky čistý skvalan jako vnitřní standard.</w:t>
      </w:r>
    </w:p>
    <w:p w14:paraId="3F37F8A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Extrakční roztok:</w:t>
      </w:r>
    </w:p>
    <w:p w14:paraId="614BCB34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35 mg skvalanu na 100 ml hexanu.</w:t>
      </w:r>
    </w:p>
    <w:p w14:paraId="33BF793C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3.3.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Extrakce 9-THC</w:t>
      </w:r>
    </w:p>
    <w:p w14:paraId="539AC97D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Navažte 100 mg prášku ze zkušebního vzorku a vložte do centrifugační zkumavky;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přidejte 5 ml extrakčního roztoku obsahujícího vnitřní regulátor.</w:t>
      </w:r>
    </w:p>
    <w:p w14:paraId="7430A05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Ponořte na 20 minut do ultrazvukové lázně.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Odstřeďujte 5 minut při 3000 otáčkách za minutu a odeberte tekutinu s obsahem 9-THC v roztoku.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Vstříkněte jí do chromatografického přístroje a vykonejte kvantitativní analýzu.</w:t>
      </w:r>
    </w:p>
    <w:p w14:paraId="08833073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3.4.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Plynová chromatografie</w:t>
      </w:r>
    </w:p>
    <w:p w14:paraId="2BE66A58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a) Zařízení:</w:t>
      </w:r>
    </w:p>
    <w:p w14:paraId="418A7F2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— plynový chromatograf vybavený plamenovým ionizačním detektorem a děleným/neděleným vstřikovačem;</w:t>
      </w:r>
    </w:p>
    <w:p w14:paraId="793C8BB9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— kapilára umožňující dobré oddělení kanabinoidů, např. 25 m dlouhá a 0,22 mm skleněná kapilára impregnovaná 5% apolární fází fenylmethylsiloxanu.</w:t>
      </w:r>
    </w:p>
    <w:p w14:paraId="22C93DE2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b) Kalibrační rozsahy:</w:t>
      </w:r>
    </w:p>
    <w:p w14:paraId="1D57BC6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Nejméně 3 body pro postup A a 5 bodů pro postup B s body 0,04 a 0,50 mg/ml 9-THC v extrakčním roztoku.</w:t>
      </w:r>
    </w:p>
    <w:p w14:paraId="49E28E5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c) Podmínky vybavení:</w:t>
      </w:r>
    </w:p>
    <w:p w14:paraId="137B3C75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Jako příklad pro kapiláru uvedenou v písmenu a) jsou uvedeny následující podmínky:</w:t>
      </w:r>
    </w:p>
    <w:p w14:paraId="79CB055B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— teplota v peci: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260 °C;</w:t>
      </w:r>
    </w:p>
    <w:p w14:paraId="7C995E61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— teplota vstřikovače: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300 °C;</w:t>
      </w:r>
    </w:p>
    <w:p w14:paraId="22C6A5D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— teplota detektoru: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300 °C.</w:t>
      </w:r>
    </w:p>
    <w:p w14:paraId="39D5645A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d) vstřikovaný objem: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1 ml.</w:t>
      </w:r>
    </w:p>
    <w:p w14:paraId="4A77A776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4.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Výsledky</w:t>
      </w:r>
    </w:p>
    <w:p w14:paraId="6B6040BE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Výsledek se vyjadřuje dvěma desetinnými místy v gramech 9-THC na 100 gramů zkušebního vzorku, vysušených na konstantní hmotnost.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Na výsledek se vztahuje tolerance 0,03 % v absolutní hodnotě.</w:t>
      </w:r>
    </w:p>
    <w:p w14:paraId="66A0A1EC" w14:textId="4F95F772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Postup A: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Výsledek odpovídá stanovení pro každý analytický vzorek.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Pokud však takto získaný výsledek překročí limit stanovený v části 1 vyhlášky xxx o použití článku R. 5181 zákoníku veřejného zdraví pro konopí, provede se druhé stanovení na zkušební vzorek a výsledkem je průměr těchto dvou stanovení.</w:t>
      </w:r>
    </w:p>
    <w:p w14:paraId="3B70BFF7" w14:textId="77777777" w:rsidR="00891D87" w:rsidRPr="00891D87" w:rsidRDefault="00891D87" w:rsidP="00AB7CED">
      <w:pPr>
        <w:shd w:val="clear" w:color="auto" w:fill="FFFFFF"/>
        <w:spacing w:after="240" w:line="240" w:lineRule="auto"/>
        <w:jc w:val="both"/>
        <w:rPr>
          <w:color w:val="3C3C3C"/>
          <w:sz w:val="24"/>
          <w:szCs w:val="24"/>
          <w:rFonts w:ascii="Times New Roman" w:eastAsia="Times New Roman" w:hAnsi="Times New Roman" w:cs="Times New Roman"/>
        </w:rPr>
      </w:pPr>
      <w:r>
        <w:rPr>
          <w:color w:val="3C3C3C"/>
          <w:sz w:val="24"/>
          <w:rFonts w:ascii="Times New Roman" w:hAnsi="Times New Roman"/>
        </w:rPr>
        <w:t xml:space="preserve">Postup B:</w:t>
      </w:r>
      <w:r>
        <w:rPr>
          <w:color w:val="3C3C3C"/>
          <w:sz w:val="24"/>
          <w:rFonts w:ascii="Times New Roman" w:hAnsi="Times New Roman"/>
        </w:rPr>
        <w:t xml:space="preserve"> </w:t>
      </w:r>
      <w:r>
        <w:rPr>
          <w:color w:val="3C3C3C"/>
          <w:sz w:val="24"/>
          <w:rFonts w:ascii="Times New Roman" w:hAnsi="Times New Roman"/>
        </w:rPr>
        <w:t xml:space="preserve">Výsledek odpovídá průměru dvou stanovení na zkušební vzorek.</w:t>
      </w:r>
    </w:p>
    <w:sectPr w:rsidR="00891D87" w:rsidRPr="00891D8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738C4" w14:textId="77777777" w:rsidR="00A006DB" w:rsidRDefault="00A006DB" w:rsidP="00AB7CED">
      <w:pPr>
        <w:spacing w:after="0" w:line="240" w:lineRule="auto"/>
      </w:pPr>
      <w:r>
        <w:separator/>
      </w:r>
    </w:p>
  </w:endnote>
  <w:endnote w:type="continuationSeparator" w:id="0">
    <w:p w14:paraId="6E57DE25" w14:textId="77777777" w:rsidR="00A006DB" w:rsidRDefault="00A006DB" w:rsidP="00AB7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814530"/>
      <w:docPartObj>
        <w:docPartGallery w:val="Page Numbers (Bottom of Page)"/>
        <w:docPartUnique/>
      </w:docPartObj>
    </w:sdtPr>
    <w:sdtEndPr/>
    <w:sdtContent>
      <w:p w14:paraId="5084F0DF" w14:textId="77777777" w:rsidR="00AB7CED" w:rsidRDefault="00AB7CE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D7F">
          <w:t>5</w:t>
        </w:r>
        <w:r>
          <w:fldChar w:fldCharType="end"/>
        </w:r>
      </w:p>
    </w:sdtContent>
  </w:sdt>
  <w:p w14:paraId="171969FD" w14:textId="77777777" w:rsidR="00AB7CED" w:rsidRDefault="00AB7C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1296A" w14:textId="77777777" w:rsidR="00A006DB" w:rsidRDefault="00A006DB" w:rsidP="00AB7CED">
      <w:pPr>
        <w:spacing w:after="0" w:line="240" w:lineRule="auto"/>
      </w:pPr>
      <w:r>
        <w:separator/>
      </w:r>
    </w:p>
  </w:footnote>
  <w:footnote w:type="continuationSeparator" w:id="0">
    <w:p w14:paraId="3AEC395E" w14:textId="77777777" w:rsidR="00A006DB" w:rsidRDefault="00A006DB" w:rsidP="00AB7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dirty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D87"/>
    <w:rsid w:val="001E4B4F"/>
    <w:rsid w:val="00542229"/>
    <w:rsid w:val="005E4D7F"/>
    <w:rsid w:val="006B2BEF"/>
    <w:rsid w:val="006E2CDE"/>
    <w:rsid w:val="00842EA4"/>
    <w:rsid w:val="00891D87"/>
    <w:rsid w:val="008C383B"/>
    <w:rsid w:val="0099467C"/>
    <w:rsid w:val="00A006DB"/>
    <w:rsid w:val="00AB7CED"/>
    <w:rsid w:val="00D34B61"/>
    <w:rsid w:val="00EC22B5"/>
    <w:rsid w:val="00FC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66E2B"/>
  <w15:chartTrackingRefBased/>
  <w15:docId w15:val="{37B2EA83-03DE-4FC9-A218-022ED853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1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CED"/>
  </w:style>
  <w:style w:type="paragraph" w:styleId="Footer">
    <w:name w:val="footer"/>
    <w:basedOn w:val="Normal"/>
    <w:link w:val="FooterChar"/>
    <w:uiPriority w:val="99"/>
    <w:unhideWhenUsed/>
    <w:rsid w:val="00AB7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</dc:creator>
  <cp:keywords/>
  <dc:description/>
  <cp:lastModifiedBy>Liana Brili</cp:lastModifiedBy>
  <cp:revision>9</cp:revision>
  <cp:lastPrinted>2021-07-20T14:42:00Z</cp:lastPrinted>
  <dcterms:created xsi:type="dcterms:W3CDTF">2021-07-20T09:04:00Z</dcterms:created>
  <dcterms:modified xsi:type="dcterms:W3CDTF">2021-07-27T06:47:00Z</dcterms:modified>
</cp:coreProperties>
</file>