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C8E4" w14:textId="77777777" w:rsidR="00FF1A38" w:rsidRPr="00FF1A38" w:rsidRDefault="00FF1A38" w:rsidP="00FF1A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Указ от 20 ноември 2021 г. относно защитата на пчелите и другите опрашващи насекоми и опазването на услугите за опрашване при използване на продукти за растителна защита</w:t>
      </w:r>
    </w:p>
    <w:p w14:paraId="6496B0C9" w14:textId="62B1A166" w:rsidR="00FF1A38" w:rsidRPr="00FF1A38" w:rsidRDefault="00FF1A38" w:rsidP="00FF1A38">
      <w:pPr>
        <w:spacing w:after="0" w:line="240" w:lineRule="auto"/>
        <w:rPr>
          <w:rFonts w:ascii="Times New Roman" w:eastAsia="Times New Roman" w:hAnsi="Times New Roman" w:cs="Times New Roman"/>
          <w:sz w:val="24"/>
          <w:szCs w:val="24"/>
        </w:rPr>
      </w:pPr>
      <w:r>
        <w:rPr>
          <w:rFonts w:ascii="Times New Roman" w:hAnsi="Times New Roman"/>
          <w:sz w:val="24"/>
        </w:rPr>
        <w:t>Реф. №: AGRG2134356A</w:t>
      </w:r>
      <w:r>
        <w:rPr>
          <w:rFonts w:ascii="Times New Roman" w:hAnsi="Times New Roman"/>
          <w:sz w:val="24"/>
        </w:rPr>
        <w:br/>
        <w:t>ELI: https://www.legifrance.gouv.fr/eli/arrete/2021/11/20/AGRG2134356A/jo/texte</w:t>
      </w:r>
      <w:r>
        <w:rPr>
          <w:rFonts w:ascii="Times New Roman" w:hAnsi="Times New Roman"/>
          <w:sz w:val="24"/>
        </w:rPr>
        <w:br/>
        <w:t xml:space="preserve">ОВФР № 0271 от 21 ноември 2021 г. </w:t>
      </w:r>
      <w:r w:rsidR="00CF6C04">
        <w:rPr>
          <w:rFonts w:ascii="Times New Roman" w:hAnsi="Times New Roman"/>
          <w:sz w:val="24"/>
        </w:rPr>
        <w:br/>
      </w:r>
      <w:r>
        <w:rPr>
          <w:rFonts w:ascii="Times New Roman" w:hAnsi="Times New Roman"/>
          <w:sz w:val="24"/>
        </w:rPr>
        <w:t>Текст № 17</w:t>
      </w:r>
    </w:p>
    <w:p w14:paraId="040906A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Дял I: РАМКА ЗА РАЗРЕШЕНИЕТО НА ПРОДУКТИ ЗА РАСТИТЕЛНА ЗАЩИТА ПРЕЗ ПЕРИОДИТЕ НА ЦЪФТЕЖ (член 2)</w:t>
      </w:r>
    </w:p>
    <w:p w14:paraId="69521E1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Дял II: НАДЗОР ВЪВ ВРЪЗКА С УПОТРЕБАТА НА ПРОДУКТИ ЗА РАСТИТЕЛНА ЗАЩИТА ПРЕЗ ПЕРИОДИТЕ НА ЦЪФТЕЖ (членове 3—7)</w:t>
      </w:r>
    </w:p>
    <w:p w14:paraId="0E5A6E18"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Дял III: ПРЕХОДНИ РАЗПОРЕДБИ (членове 8—11)</w:t>
      </w:r>
    </w:p>
    <w:p w14:paraId="3E3E5899"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Приложение</w:t>
      </w:r>
    </w:p>
    <w:p w14:paraId="78D9C32A" w14:textId="22149B94"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Целеви аудитории: заявители и притежатели на разрешение за търговия, ползватели на продукти за растителна защита, бенефициери на услуги за опрашване. </w:t>
      </w:r>
      <w:r>
        <w:rPr>
          <w:rFonts w:ascii="Times New Roman" w:hAnsi="Times New Roman"/>
          <w:sz w:val="24"/>
        </w:rPr>
        <w:br/>
        <w:t xml:space="preserve">Относно: с настоящия указ се определят мерки за защита на опрашващите насекоми и селскостопанските и екосистемните услуги в резултат на рисковете, свързани с употребата на продукти за растителна защита. </w:t>
      </w:r>
      <w:r>
        <w:rPr>
          <w:rFonts w:ascii="Times New Roman" w:hAnsi="Times New Roman"/>
          <w:sz w:val="24"/>
        </w:rPr>
        <w:br/>
        <w:t>Влизане в сила: настоящият указ влиза в сила на 01 януари 2022 г.</w:t>
      </w:r>
      <w:r>
        <w:rPr>
          <w:rFonts w:ascii="Times New Roman" w:hAnsi="Times New Roman"/>
          <w:sz w:val="24"/>
        </w:rPr>
        <w:br/>
        <w:t xml:space="preserve">Бележка: обхватът на указа разширява по отношение на всички продукти за растителна защита принципът за оценка на възможността за използване на продукт за растителна защита през периода на цъфтеж върху култури, които са привлекателни за опрашителите, и върху площите за хранене с оглед на риска за опрашителите. Ако продуктът е разрешен от „Anses“ за използване с цел цъфтеж, третирането следва, освен в специални случаи, да се извършва в рамките на 2 часа преди залез и в рамките на 3 часа след залез. С указ се предвиждат преходни мерки и график за прилагането на тези нови разпоредби. </w:t>
      </w:r>
      <w:r>
        <w:rPr>
          <w:rFonts w:ascii="Times New Roman" w:hAnsi="Times New Roman"/>
          <w:sz w:val="24"/>
        </w:rPr>
        <w:br/>
        <w:t xml:space="preserve">Позовавания: настоящият указ се издава съгласно член L. 253-7 от Кодекса за селското стопанство и морския риболов. Той е достъпен на уебсайта на Légifrance на адрес: https://www.legifrance.gouv.fr/. </w:t>
      </w:r>
    </w:p>
    <w:p w14:paraId="55211D70"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Министърът на екологосъобразния преход, министърът на икономиката, финансите и възстановяването, министърът на солидарността и здравеопазването и министърът на земеделието и храните,</w:t>
      </w:r>
      <w:r>
        <w:rPr>
          <w:rFonts w:ascii="Times New Roman" w:hAnsi="Times New Roman"/>
          <w:sz w:val="24"/>
        </w:rPr>
        <w:br/>
        <w:t>като взеха предвид 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изменен,</w:t>
      </w:r>
      <w:r>
        <w:rPr>
          <w:rFonts w:ascii="Times New Roman" w:hAnsi="Times New Roman"/>
          <w:sz w:val="24"/>
        </w:rPr>
        <w:br/>
        <w:t>като взеха предвид Регламент (ЕС) № 547/2011 на Комисията от 8 юни 2011 г. за прилагане на Регламент (ЕО) № 1107/2009 на Европейския парламент и на Съвета по отношение на изискванията за етикетиране на продукти за растителна защита,</w:t>
      </w:r>
      <w:r>
        <w:rPr>
          <w:rFonts w:ascii="Times New Roman" w:hAnsi="Times New Roman"/>
          <w:sz w:val="24"/>
        </w:rPr>
        <w:br/>
        <w:t xml:space="preserve">като взеха предвид Директива (ЕС) 2015/1535 на Европейския парламент и на Съвета от 9 септември 2015 г. установяваща процедура за предоставянето на информация в </w:t>
      </w:r>
      <w:r>
        <w:rPr>
          <w:rFonts w:ascii="Times New Roman" w:hAnsi="Times New Roman"/>
          <w:sz w:val="24"/>
        </w:rPr>
        <w:lastRenderedPageBreak/>
        <w:t>сферата на техническите регламенти и правила относно услугите на информационното общество,</w:t>
      </w:r>
      <w:r>
        <w:rPr>
          <w:rFonts w:ascii="Times New Roman" w:hAnsi="Times New Roman"/>
          <w:sz w:val="24"/>
        </w:rPr>
        <w:br/>
        <w:t>като взеха предвид Кодекса за селското стопанство и морския риболов, по-специално членове L. 201-4, L. 251-3, L. 253-1, L. 253-7, D. 253-8, R. 253-43 и R. 253-45,</w:t>
      </w:r>
      <w:r>
        <w:rPr>
          <w:rFonts w:ascii="Times New Roman" w:hAnsi="Times New Roman"/>
          <w:sz w:val="24"/>
        </w:rPr>
        <w:br/>
        <w:t>като взеха предвид указа от 16 юни 2009 г. относно условията, при които операторите, посочени в член L. 257-1, водят регистъра, посочен в член L. 257-3 от Кодекса за селското стопанство,</w:t>
      </w:r>
      <w:r>
        <w:rPr>
          <w:rFonts w:ascii="Times New Roman" w:hAnsi="Times New Roman"/>
          <w:sz w:val="24"/>
        </w:rPr>
        <w:br/>
        <w:t>като взеха предвид Нотификация № 2021/448/F,</w:t>
      </w:r>
      <w:r>
        <w:rPr>
          <w:rFonts w:ascii="Times New Roman" w:hAnsi="Times New Roman"/>
          <w:sz w:val="24"/>
        </w:rPr>
        <w:br/>
        <w:t>като взеха предвид забележките, направени по време на обществената консултация, проведена между 28 юни 2021 г. и 20 юли 2021 г., съгласно член L. 123-19-1 от Кодекса за околната среда,</w:t>
      </w:r>
      <w:r>
        <w:rPr>
          <w:rFonts w:ascii="Times New Roman" w:hAnsi="Times New Roman"/>
          <w:sz w:val="24"/>
        </w:rPr>
        <w:br/>
        <w:t>с настоящото решиха:</w:t>
      </w:r>
    </w:p>
    <w:p w14:paraId="72734333" w14:textId="77777777" w:rsidR="00FF1A38" w:rsidRPr="00FF1A38" w:rsidRDefault="00FF1A38" w:rsidP="00FF1A3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Член 1</w:t>
      </w:r>
    </w:p>
    <w:p w14:paraId="4AE602D9" w14:textId="77777777" w:rsidR="00FF1A38" w:rsidRPr="00FF1A38" w:rsidRDefault="00FF1A38" w:rsidP="00FF1A3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За целите на настоящия указ се прилагат следните определения:</w:t>
      </w:r>
      <w:r>
        <w:rPr>
          <w:rFonts w:ascii="Times New Roman" w:hAnsi="Times New Roman"/>
          <w:sz w:val="24"/>
        </w:rPr>
        <w:br/>
        <w:t>„пчели“: домашни пчели, диви пчели и земни пчели;</w:t>
      </w:r>
      <w:r>
        <w:rPr>
          <w:rFonts w:ascii="Times New Roman" w:hAnsi="Times New Roman"/>
          <w:sz w:val="24"/>
        </w:rPr>
        <w:br/>
        <w:t>„залез“: време, определено от ефемеридата на мястото, което се намира в най-голяма близост до местоположението на мястото за третиране;</w:t>
      </w:r>
      <w:r>
        <w:rPr>
          <w:rFonts w:ascii="Times New Roman" w:hAnsi="Times New Roman"/>
          <w:sz w:val="24"/>
        </w:rPr>
        <w:br/>
        <w:t>„привлекателна култура“: привлекателна култура е култура, която по своята същност е привлекателна за пчелите или други опрашващи насекоми. Културите, изброени в Официалния бюлетин на министерството на земеделието, не се считат за привлекателни по смисъла на настоящия указ;</w:t>
      </w:r>
      <w:r>
        <w:rPr>
          <w:rFonts w:ascii="Times New Roman" w:hAnsi="Times New Roman"/>
          <w:sz w:val="24"/>
        </w:rPr>
        <w:br/>
        <w:t>„ексудат“: мана, сладки секрети, произведени от растения, и екстрацветен нектар от растения, които се събират от пчели или други опрашващи насекоми;</w:t>
      </w:r>
      <w:r>
        <w:rPr>
          <w:rFonts w:ascii="Times New Roman" w:hAnsi="Times New Roman"/>
          <w:sz w:val="24"/>
        </w:rPr>
        <w:br/>
        <w:t>„цъфтеж“: вегетативен период, простиращ се от откриването на първите цветя до падането на венчелистчетата на последните цветя;</w:t>
      </w:r>
      <w:r>
        <w:rPr>
          <w:rFonts w:ascii="Times New Roman" w:hAnsi="Times New Roman"/>
          <w:sz w:val="24"/>
        </w:rPr>
        <w:br/>
        <w:t>„продукти“: продукти за растителна защита, с изключение на продуктите за разреждане и техните адюванти, посочени в член L. 253-1 от Кодекса за селското стопанство и морския риболов;</w:t>
      </w:r>
      <w:r>
        <w:rPr>
          <w:rFonts w:ascii="Times New Roman" w:hAnsi="Times New Roman"/>
          <w:sz w:val="24"/>
        </w:rPr>
        <w:br/>
        <w:t>„регистър“: регистър на употребата на продукти за растителна защита, както е предвидено в Указа от 16 юни 2009 г. относно условията, при които операторите, посочени в член L. 257-1 от Кодекса за селското стопанство и морския риболов, водят регистъра, посочен в член 67 от Регламент (ЕО) № 1107/2009 от 21 октомври 2009 г. относно пускането на пазара на продукти за растителна защита;</w:t>
      </w:r>
      <w:r>
        <w:rPr>
          <w:rFonts w:ascii="Times New Roman" w:hAnsi="Times New Roman"/>
          <w:sz w:val="24"/>
        </w:rPr>
        <w:br/>
        <w:t>„употреба“ означава: употреба на продукт за растителна защита или адювант върху растение, растителен продукт или група растения с цел борба с вредител, група вредители, болест или група болести в съответствие с ясно определена функция и подробни правила за прилагане, както е изброени в каталога, посочен в член D. 253-8 от Кодекса за селското стопанство и морския риболов;</w:t>
      </w:r>
      <w:r>
        <w:rPr>
          <w:rFonts w:ascii="Times New Roman" w:hAnsi="Times New Roman"/>
          <w:sz w:val="24"/>
        </w:rPr>
        <w:br/>
        <w:t>„употреба на продукт“: всяко прилагане на продукт за растителна защита или адювант върху вегетативен цикъл в съответствие с разрешена употреба, независимо от метода на прилагане и третираната част от растението, с изключение на приложенията, както е определено в приложение 1, които изключват експозицията на опрашители по време на цъфтежа;</w:t>
      </w:r>
      <w:r>
        <w:rPr>
          <w:rFonts w:ascii="Times New Roman" w:hAnsi="Times New Roman"/>
          <w:sz w:val="24"/>
        </w:rPr>
        <w:br/>
        <w:t xml:space="preserve">„фуражна площ“: с изключение на култури в процес на отглеждане, фуражната площ е земеделска или неземеделска площ, заемана от култивирана или спонтанна растителна група, която очевидно представлява интерес за пчелите или други </w:t>
      </w:r>
      <w:r>
        <w:rPr>
          <w:rFonts w:ascii="Times New Roman" w:hAnsi="Times New Roman"/>
          <w:sz w:val="24"/>
        </w:rPr>
        <w:lastRenderedPageBreak/>
        <w:t>опрашващи насекоми поради наличието на цветя или ексудати. За целите на настоящия указ, употребата на продукти във фуражните площи е тази, предназначена специално за третиране на тези площи независимо от тяхната употреба върху културите в процес на отглеждане.</w:t>
      </w:r>
    </w:p>
    <w:p w14:paraId="75081A77"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Дял I: РАМКА ЗА РАЗРЕШЕНИЕТО НА ПРОДУКТИ ЗА РАСТИТЕЛНА ЗАЩИТА ПРЕЗ ПЕРИОДИТЕ НА ЦЪФТЕЖ (член 2)</w:t>
      </w:r>
    </w:p>
    <w:p w14:paraId="52EC4D0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Член 2</w:t>
      </w:r>
    </w:p>
    <w:p w14:paraId="4E54D57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При издаване или подновяване на разрешението, посочено в член L. 253-1 от Кодекса за селското стопанство и морския риболов, „Anses“ оценява рисковете, свързани с употребата на продукта върху атрактивни култури по време на цъфтежа.</w:t>
      </w:r>
      <w:r>
        <w:rPr>
          <w:rFonts w:ascii="Times New Roman" w:hAnsi="Times New Roman"/>
          <w:sz w:val="24"/>
        </w:rPr>
        <w:br/>
        <w:t>За тази цел заявителят прилага към своето досие изпитванията и оценките на риска, изисквани с действащите разпоредби, както и информацията, необходима за „Anses“, за да вземе решение относно оценката, посочена в първа алинея.</w:t>
      </w:r>
      <w:r>
        <w:rPr>
          <w:rFonts w:ascii="Times New Roman" w:hAnsi="Times New Roman"/>
          <w:sz w:val="24"/>
        </w:rPr>
        <w:br/>
        <w:t>Ако в оценката на риска, извършена от „Anses“, се стигне до заключението, че употребата води до пренебрежимо малка експозиция на пчелите или не причинява неприемливо, остро или хронично въздействие върху пчелите или въздействие върху оцеляването и развитието на колониите, употребата на продукта може да бъде разрешена върху съответната привлекателна култура, когато тя цъфти, и върху фуражните площи. Такава употреба зависи от спазването на мерките, определени в член 3.</w:t>
      </w:r>
      <w:r>
        <w:rPr>
          <w:rFonts w:ascii="Times New Roman" w:hAnsi="Times New Roman"/>
          <w:sz w:val="24"/>
        </w:rPr>
        <w:br/>
        <w:t>В противен случай употребата на продукта е забранена върху съответната привлекателна култура, когато тя цъфти, и върху фуражните площи.</w:t>
      </w:r>
    </w:p>
    <w:p w14:paraId="278D5B92" w14:textId="52E11AF0"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Дял II: НАДЗОР ВЪВ ВРЪЗКА С УПОТРЕБАТА НА ПРОДУКТИ ЗА РАСТИТЕЛНА ЗАЩИТА ПРЕЗ ПЕРИОДИТЕ НА ЦЪФТЕЖ (членове 3</w:t>
      </w:r>
      <w:r w:rsidR="001C5AB3">
        <w:rPr>
          <w:rFonts w:ascii="Times New Roman" w:hAnsi="Times New Roman"/>
          <w:b/>
          <w:sz w:val="27"/>
          <w:lang w:val="hr-HR"/>
        </w:rPr>
        <w:t>-</w:t>
      </w:r>
      <w:r>
        <w:rPr>
          <w:rFonts w:ascii="Times New Roman" w:hAnsi="Times New Roman"/>
          <w:b/>
          <w:sz w:val="27"/>
        </w:rPr>
        <w:t>7)</w:t>
      </w:r>
    </w:p>
    <w:p w14:paraId="74FEABC1"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Член 3</w:t>
      </w:r>
    </w:p>
    <w:p w14:paraId="691002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Продукт, разрешен съгласно член 2, се използва върху привлекателна култура по време на цъфтежа или върху фуражна площ в рамките на 2 часа преди залез и в рамките на 3 часа след залез.</w:t>
      </w:r>
      <w:r>
        <w:rPr>
          <w:rFonts w:ascii="Times New Roman" w:hAnsi="Times New Roman"/>
          <w:sz w:val="24"/>
        </w:rPr>
        <w:br/>
        <w:t>Този период може да бъде коригиран или премахнат, съгласно процедурите, осигуряващи еквивалентни гаранции за експозиция на пчелите и други опрашители. Тези мерки ще бъдат посочени в приложението след становището на „Anses“, по-конкретно с оглед на позволените третирания сутрин или под определен температурен праг.</w:t>
      </w:r>
      <w:r>
        <w:rPr>
          <w:rFonts w:ascii="Times New Roman" w:hAnsi="Times New Roman"/>
          <w:sz w:val="24"/>
        </w:rPr>
        <w:br/>
        <w:t xml:space="preserve">Чрез дерогация от параграф 1 се извършва експериментиране с употребата на продукти за растителна защита извън посочения времеви интервал, за да се идентифицират инструментите за подкрепа на вземането на решения или други технологии, чието използване би предоставило еквивалентни гаранции по отношение на експозицията на пчелите и други опрашители. Този експеримент с максимална продължителност от три години, който е предмет на оценка от </w:t>
      </w:r>
      <w:r>
        <w:rPr>
          <w:rFonts w:ascii="Times New Roman" w:hAnsi="Times New Roman"/>
          <w:sz w:val="24"/>
        </w:rPr>
        <w:lastRenderedPageBreak/>
        <w:t>„Anses“, се провежда при условията и реда, определени със съвместен указ на министрите, отговарящи за околната среда и земеделието.</w:t>
      </w:r>
    </w:p>
    <w:p w14:paraId="2638E37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Член 4</w:t>
      </w:r>
    </w:p>
    <w:p w14:paraId="6F7C037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Когато растителна покривка под многогодишна култура представлява фуражна площ, тя трябва да стане непривлекателна за опрашителите преди каквото и да било третиране с инсектициди или акарициди.</w:t>
      </w:r>
    </w:p>
    <w:p w14:paraId="039E740F"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Член 5</w:t>
      </w:r>
    </w:p>
    <w:p w14:paraId="70D705FD"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Срокът на прилагане, предвиден в член 3, може да бъде изменен в следните случаи:</w:t>
      </w:r>
    </w:p>
    <w:p w14:paraId="040DB100" w14:textId="23C9F29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1C5AB3">
        <w:rPr>
          <w:rFonts w:ascii="Times New Roman" w:hAnsi="Times New Roman"/>
          <w:sz w:val="24"/>
          <w:lang w:val="hr-HR"/>
        </w:rPr>
        <w:t>-</w:t>
      </w:r>
      <w:r>
        <w:rPr>
          <w:rFonts w:ascii="Times New Roman" w:hAnsi="Times New Roman"/>
          <w:sz w:val="24"/>
        </w:rPr>
        <w:t xml:space="preserve"> ако поради изключителната дневна активност на биоагресорите, третирането, което се извършва през периода, определен в член 3, не гарантира ефективна защита на третираната култура;</w:t>
      </w:r>
      <w:r>
        <w:rPr>
          <w:rFonts w:ascii="Times New Roman" w:hAnsi="Times New Roman"/>
          <w:sz w:val="24"/>
        </w:rPr>
        <w:br/>
      </w:r>
      <w:r w:rsidR="001C5AB3">
        <w:rPr>
          <w:rFonts w:ascii="Times New Roman" w:hAnsi="Times New Roman"/>
          <w:sz w:val="24"/>
          <w:lang w:val="hr-HR"/>
        </w:rPr>
        <w:t>-</w:t>
      </w:r>
      <w:r>
        <w:rPr>
          <w:rFonts w:ascii="Times New Roman" w:hAnsi="Times New Roman"/>
          <w:sz w:val="24"/>
        </w:rPr>
        <w:t xml:space="preserve"> ако, с оглед развитието на дадена болест, ефективността на фунгицидно третиране се обуславя от неговото приключване в рамките на ограничен период, който е несъвместим със срока, определен в член 3.</w:t>
      </w:r>
    </w:p>
    <w:p w14:paraId="1C4C0AA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И в двата случая заявлението може да бъде изпълнено без ограничения във времето.</w:t>
      </w:r>
      <w:r>
        <w:rPr>
          <w:rFonts w:ascii="Times New Roman" w:hAnsi="Times New Roman"/>
          <w:sz w:val="24"/>
        </w:rPr>
        <w:br/>
        <w:t>Временно, за период от осем месеца, считано от датата на публикуване на настоящия указ, заявлението може да се извършва и без почасово ограничение, при условие че температурата е достатъчно ниска, за да се избегне наличието на пчели.</w:t>
      </w:r>
      <w:r>
        <w:rPr>
          <w:rFonts w:ascii="Times New Roman" w:hAnsi="Times New Roman"/>
          <w:sz w:val="24"/>
        </w:rPr>
        <w:br/>
        <w:t>Часът на започване и часът на приключване на обработването и причината за промяната във връзка със срока, предвиден в член 3, се вписват в регистъра.</w:t>
      </w:r>
    </w:p>
    <w:p w14:paraId="2C42086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Член 6</w:t>
      </w:r>
    </w:p>
    <w:p w14:paraId="7C493FCA"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Дерогации могат да бъдат направени от забраната, предвидена в член 2, параграф 4, както и от мерките за управление, предвидени в член 3, с указ, издаден съгласно член L. 201-4, раздел II от Кодекса за селското стопанство и морския риболов, за органите, регламентирани съгласно член L. 251-3 от същия кодекс.</w:t>
      </w:r>
    </w:p>
    <w:p w14:paraId="2121299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Член 7</w:t>
      </w:r>
    </w:p>
    <w:p w14:paraId="1044327C" w14:textId="3134A54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1C5AB3">
        <w:rPr>
          <w:rFonts w:ascii="Times New Roman" w:hAnsi="Times New Roman"/>
          <w:sz w:val="24"/>
          <w:lang w:val="hr-HR"/>
        </w:rPr>
        <w:t>-</w:t>
      </w:r>
      <w:r>
        <w:rPr>
          <w:rFonts w:ascii="Times New Roman" w:hAnsi="Times New Roman"/>
          <w:sz w:val="24"/>
        </w:rPr>
        <w:t xml:space="preserve"> Етикетирането на продукти, за които не е разрешена употреба върху цъфтяща култура в съответствие с член 2, включва израза „Опасно за пчелите. За да се защитят пчелите и други опрашващи насекоми, да не се прилага по време на цъфтежа и да не се използва при фуражните площи.</w:t>
      </w:r>
      <w:r>
        <w:rPr>
          <w:rFonts w:ascii="Times New Roman" w:hAnsi="Times New Roman"/>
          <w:sz w:val="24"/>
        </w:rPr>
        <w:br/>
      </w:r>
      <w:r>
        <w:rPr>
          <w:rFonts w:ascii="Times New Roman" w:hAnsi="Times New Roman"/>
          <w:sz w:val="24"/>
        </w:rPr>
        <w:lastRenderedPageBreak/>
        <w:t xml:space="preserve">II. </w:t>
      </w:r>
      <w:r w:rsidR="001C5AB3">
        <w:rPr>
          <w:rFonts w:ascii="Times New Roman" w:hAnsi="Times New Roman"/>
          <w:sz w:val="24"/>
          <w:lang w:val="hr-HR"/>
        </w:rPr>
        <w:t>-</w:t>
      </w:r>
      <w:r>
        <w:rPr>
          <w:rFonts w:ascii="Times New Roman" w:hAnsi="Times New Roman"/>
          <w:sz w:val="24"/>
        </w:rPr>
        <w:t xml:space="preserve"> Етикетирането на продукти, за които е разрешена най-малко един вид употреба върху цъфтяща култура в съответствие с член 2, включва израза „Може да бъде опасно за пчелите. Възможно прилагане по време на цъфтежа и при фуражните площи в рамките на 2 часа преди залез или 3 часа след залез, само за следните видове употреба: […] Часовият режим може да бъде адаптиран в съответствие с постановлението от 20 ноември 2021 г. относно защитата на пчелите и другите опрашващи насекоми и опазването на опрашващите услуги при използване на продукти за растителна защита.“</w:t>
      </w:r>
    </w:p>
    <w:p w14:paraId="2351893A" w14:textId="5786212E"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Дял III: ПРЕХОДНИ РАЗПОРЕДБИ (членове 8</w:t>
      </w:r>
      <w:r w:rsidR="001C5AB3">
        <w:rPr>
          <w:rFonts w:ascii="Times New Roman" w:hAnsi="Times New Roman"/>
          <w:b/>
          <w:sz w:val="27"/>
          <w:lang w:val="hr-HR"/>
        </w:rPr>
        <w:t>-</w:t>
      </w:r>
      <w:r>
        <w:rPr>
          <w:rFonts w:ascii="Times New Roman" w:hAnsi="Times New Roman"/>
          <w:b/>
          <w:sz w:val="27"/>
        </w:rPr>
        <w:t>11)</w:t>
      </w:r>
    </w:p>
    <w:p w14:paraId="0A0A492B"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Член 8</w:t>
      </w:r>
    </w:p>
    <w:p w14:paraId="47A5BAF5" w14:textId="76380D49"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1E5387">
        <w:rPr>
          <w:rFonts w:ascii="Times New Roman" w:hAnsi="Times New Roman"/>
          <w:sz w:val="24"/>
          <w:lang w:val="hr-HR"/>
        </w:rPr>
        <w:t xml:space="preserve">- </w:t>
      </w:r>
      <w:r>
        <w:rPr>
          <w:rFonts w:ascii="Times New Roman" w:hAnsi="Times New Roman"/>
          <w:sz w:val="24"/>
        </w:rPr>
        <w:t>Като преходна мярка, инсектицидните и акарицидните продукти, чието разрешение за предлагане на пазара включва, към датата на влизане в сила на настоящия указ, една от следните характеристики:</w:t>
      </w:r>
    </w:p>
    <w:p w14:paraId="3C0215A8" w14:textId="56F59380"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t>
      </w:r>
      <w:r w:rsidR="00660232">
        <w:rPr>
          <w:rFonts w:ascii="Times New Roman" w:hAnsi="Times New Roman"/>
          <w:sz w:val="24"/>
          <w:lang w:val="hr-HR"/>
        </w:rPr>
        <w:t xml:space="preserve">- </w:t>
      </w:r>
      <w:r>
        <w:rPr>
          <w:rFonts w:ascii="Times New Roman" w:hAnsi="Times New Roman"/>
          <w:sz w:val="24"/>
        </w:rPr>
        <w:t>разрешена употреба по време на цъфтежа, освен при наличието на пчели“;</w:t>
      </w:r>
      <w:r>
        <w:rPr>
          <w:rFonts w:ascii="Times New Roman" w:hAnsi="Times New Roman"/>
          <w:sz w:val="24"/>
        </w:rPr>
        <w:br/>
        <w:t>„</w:t>
      </w:r>
      <w:r w:rsidR="00660232">
        <w:rPr>
          <w:rFonts w:ascii="Times New Roman" w:hAnsi="Times New Roman"/>
          <w:sz w:val="24"/>
          <w:lang w:val="hr-HR"/>
        </w:rPr>
        <w:t xml:space="preserve">- </w:t>
      </w:r>
      <w:r>
        <w:rPr>
          <w:rFonts w:ascii="Times New Roman" w:hAnsi="Times New Roman"/>
          <w:sz w:val="24"/>
        </w:rPr>
        <w:t>разрешена употреба през периоди на производство на ексудат, освен при наличието на пчели“;</w:t>
      </w:r>
      <w:r>
        <w:rPr>
          <w:rFonts w:ascii="Times New Roman" w:hAnsi="Times New Roman"/>
          <w:sz w:val="24"/>
        </w:rPr>
        <w:br/>
        <w:t>„</w:t>
      </w:r>
      <w:r w:rsidR="00660232">
        <w:rPr>
          <w:rFonts w:ascii="Times New Roman" w:hAnsi="Times New Roman"/>
          <w:sz w:val="24"/>
          <w:lang w:val="hr-HR"/>
        </w:rPr>
        <w:t xml:space="preserve">- </w:t>
      </w:r>
      <w:r>
        <w:rPr>
          <w:rFonts w:ascii="Times New Roman" w:hAnsi="Times New Roman"/>
          <w:sz w:val="24"/>
        </w:rPr>
        <w:t>разрешена употреба по време на цъфтежа и през периоди на производство на ексудат, освен при наличието на пчели“;</w:t>
      </w:r>
    </w:p>
    <w:p w14:paraId="3705A0E7" w14:textId="2B107DB1"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може да се използва за съответните видове употреба върху привлекателни култури по време на цъфтежа или върху фуражни площи при условията, определени в членове 3</w:t>
      </w:r>
      <w:r w:rsidR="001C5AB3">
        <w:rPr>
          <w:rFonts w:ascii="Times New Roman" w:hAnsi="Times New Roman"/>
          <w:sz w:val="24"/>
          <w:lang w:val="hr-HR"/>
        </w:rPr>
        <w:t>-</w:t>
      </w:r>
      <w:r>
        <w:rPr>
          <w:rFonts w:ascii="Times New Roman" w:hAnsi="Times New Roman"/>
          <w:sz w:val="24"/>
        </w:rPr>
        <w:t>5, до подновяване на разрешението за предлагане на пазара.</w:t>
      </w:r>
      <w:r>
        <w:rPr>
          <w:rFonts w:ascii="Times New Roman" w:hAnsi="Times New Roman"/>
          <w:sz w:val="24"/>
        </w:rPr>
        <w:br/>
        <w:t xml:space="preserve">II. </w:t>
      </w:r>
      <w:r w:rsidR="001E5387">
        <w:rPr>
          <w:rFonts w:ascii="Times New Roman" w:hAnsi="Times New Roman"/>
          <w:sz w:val="24"/>
          <w:lang w:val="hr-HR"/>
        </w:rPr>
        <w:t xml:space="preserve">- </w:t>
      </w:r>
      <w:r>
        <w:rPr>
          <w:rFonts w:ascii="Times New Roman" w:hAnsi="Times New Roman"/>
          <w:sz w:val="24"/>
        </w:rPr>
        <w:t>Като преходна мярка, ако подновяването на разрешението за пускане на пазара на продукт, различен от инсектициди и акарициди, се осъществява в рамките на по-малко от 30 месеца след влизането в сила на настоящия указ, този продукт може да се използва върху привлекателни култури по време на цъфтежа и върху фуражни площи при условията, определени в членове 3—5, до момента, в който „Anses“ вземе решение относно оценката на риска, предвидена в член 2, при условие че допълнителните елементи са били подадени в рамките на 30 месеца от влизането в сила на настоящия указ.</w:t>
      </w:r>
      <w:r>
        <w:rPr>
          <w:rFonts w:ascii="Times New Roman" w:hAnsi="Times New Roman"/>
          <w:sz w:val="24"/>
        </w:rPr>
        <w:br/>
        <w:t xml:space="preserve">III. </w:t>
      </w:r>
      <w:r w:rsidR="001E5387">
        <w:rPr>
          <w:rFonts w:ascii="Times New Roman" w:hAnsi="Times New Roman"/>
          <w:sz w:val="24"/>
          <w:lang w:val="hr-HR"/>
        </w:rPr>
        <w:t xml:space="preserve">- </w:t>
      </w:r>
      <w:r>
        <w:rPr>
          <w:rFonts w:ascii="Times New Roman" w:hAnsi="Times New Roman"/>
          <w:sz w:val="24"/>
        </w:rPr>
        <w:t>Като преходна мярка, ако подновяването на разрешението за предлагане на пазара на продукт, различен от инсектициди и акарициди, настъпва в рамките на повече от 30 месеца след влизането в сила на настоящия указ, този продукт може да се използва върху привлекателни култури по време на цъфтежа и върху фуражни площи при условията, предвидени в членове 3—5, докато „Anses“ не се произнесе относно оценката на риска, предвидена в член 2, при условие че допълнителните елементи са били подадени в рамките на 48 месеца от влизането в сила на настоящия указ.</w:t>
      </w:r>
      <w:r>
        <w:rPr>
          <w:rFonts w:ascii="Times New Roman" w:hAnsi="Times New Roman"/>
          <w:sz w:val="24"/>
        </w:rPr>
        <w:br/>
        <w:t xml:space="preserve">IV. </w:t>
      </w:r>
      <w:r w:rsidR="001E5387">
        <w:rPr>
          <w:rFonts w:ascii="Times New Roman" w:hAnsi="Times New Roman"/>
          <w:sz w:val="24"/>
          <w:lang w:val="hr-HR"/>
        </w:rPr>
        <w:t xml:space="preserve">- </w:t>
      </w:r>
      <w:r>
        <w:rPr>
          <w:rFonts w:ascii="Times New Roman" w:hAnsi="Times New Roman"/>
          <w:sz w:val="24"/>
        </w:rPr>
        <w:t xml:space="preserve">При липса на представяне на допълнителна информация в рамките на сроковете, определени в раздели II и III от настоящия член, употребата върху привлекателни култури по време на цъфтежа и фуражните площи се забранява и етикетите на съответните продукти се актуализират в съответствие с член 7, </w:t>
      </w:r>
      <w:r>
        <w:rPr>
          <w:rFonts w:ascii="Times New Roman" w:hAnsi="Times New Roman"/>
          <w:sz w:val="24"/>
        </w:rPr>
        <w:lastRenderedPageBreak/>
        <w:t>параграф I.</w:t>
      </w:r>
      <w:r>
        <w:rPr>
          <w:rFonts w:ascii="Times New Roman" w:hAnsi="Times New Roman"/>
          <w:sz w:val="24"/>
        </w:rPr>
        <w:br/>
        <w:t xml:space="preserve">V. </w:t>
      </w:r>
      <w:r w:rsidR="001E5387">
        <w:rPr>
          <w:rFonts w:ascii="Times New Roman" w:hAnsi="Times New Roman"/>
          <w:sz w:val="24"/>
          <w:lang w:val="hr-HR"/>
        </w:rPr>
        <w:t xml:space="preserve">- </w:t>
      </w:r>
      <w:r>
        <w:rPr>
          <w:rFonts w:ascii="Times New Roman" w:hAnsi="Times New Roman"/>
          <w:sz w:val="24"/>
        </w:rPr>
        <w:t>Заявителите уведомяват „Anses“ 18 месеца преди подаването на допълнителните елементи, предвидени в раздели II и III от настоящия член, за тяхното намерение да представят тези допълнителни елементи, като уточняват съответните видове употреба.</w:t>
      </w:r>
      <w:r>
        <w:rPr>
          <w:rFonts w:ascii="Times New Roman" w:hAnsi="Times New Roman"/>
          <w:sz w:val="24"/>
        </w:rPr>
        <w:br/>
        <w:t xml:space="preserve">VI. </w:t>
      </w:r>
      <w:r w:rsidR="001E5387">
        <w:rPr>
          <w:rFonts w:ascii="Times New Roman" w:hAnsi="Times New Roman"/>
          <w:sz w:val="24"/>
          <w:lang w:val="hr-HR"/>
        </w:rPr>
        <w:t xml:space="preserve">- </w:t>
      </w:r>
      <w:r>
        <w:rPr>
          <w:rFonts w:ascii="Times New Roman" w:hAnsi="Times New Roman"/>
          <w:sz w:val="24"/>
        </w:rPr>
        <w:t>Разпоредбите, определени в параграфи III — V, не се прилагат за култури, за които не се счита, че са от голямо значение в една от северните или южните зони на Франция съгласно каталога на видовете употреба, предвиден в член D. 253-8 от Кодекса за селското стопанство и морския риболов. За тези култури, изпитванията и оценките на риска за опрашителите, които се изискват с действащите разпоредби, се изискват към момента на подновяване на разрешението за предлагане на пазара и съответните продукти могат да се използват върху привлекателни култури по време на цъфтежа или върху фуражни площи при условията, предвидени в членове 3—5, докато „Anses“ не се произнесе относно оценката на риска, предвидена в член 2.</w:t>
      </w:r>
      <w:r>
        <w:rPr>
          <w:rFonts w:ascii="Times New Roman" w:hAnsi="Times New Roman"/>
          <w:sz w:val="24"/>
        </w:rPr>
        <w:br/>
        <w:t xml:space="preserve">VII. </w:t>
      </w:r>
      <w:r w:rsidR="001E5387">
        <w:rPr>
          <w:rFonts w:ascii="Times New Roman" w:hAnsi="Times New Roman"/>
          <w:sz w:val="24"/>
          <w:lang w:val="hr-HR"/>
        </w:rPr>
        <w:t xml:space="preserve">- </w:t>
      </w:r>
      <w:r>
        <w:rPr>
          <w:rFonts w:ascii="Times New Roman" w:hAnsi="Times New Roman"/>
          <w:sz w:val="24"/>
        </w:rPr>
        <w:t>„Anses“ редовно публикува и актуализира списъка на видовете употреба на разрешените продукти при условията, определени в член 2.</w:t>
      </w:r>
    </w:p>
    <w:p w14:paraId="6DFA93B5"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Член 9</w:t>
      </w:r>
    </w:p>
    <w:p w14:paraId="4101862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Указът от 28 ноември 2003 г. относно условията за употреба на селскостопански инсектициди и акарициди за защитата на пчелите и други опрашващи насекоми се отменя.</w:t>
      </w:r>
    </w:p>
    <w:p w14:paraId="7283981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Член 10</w:t>
      </w:r>
    </w:p>
    <w:p w14:paraId="3D6ED771" w14:textId="405850D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Настоящото постановление влиза в сила на 01 януари 2022 г.</w:t>
      </w:r>
    </w:p>
    <w:p w14:paraId="604BD44E"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Член 11</w:t>
      </w:r>
    </w:p>
    <w:p w14:paraId="581C8E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Генералният директор на ГД „Храни“, генералният директор на ГД „Предотвратяване на рискове“, генералният директор на ГД „Конкуренция, потребителски въпроси и контрол на измамите“ и генералният директор на ГД „Здравеопазване“ отговарят, всеки в съответната област, за изпълнението на настоящия указ, който ще бъде публикуван в Държавен вестник на Френската република.</w:t>
      </w:r>
    </w:p>
    <w:p w14:paraId="5A8FC5A1"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Приложение</w:t>
      </w:r>
    </w:p>
    <w:p w14:paraId="589DA4E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Член</w:t>
      </w:r>
    </w:p>
    <w:p w14:paraId="32CB1B17" w14:textId="14FAC5CE" w:rsidR="00FF1A38" w:rsidRPr="00462526" w:rsidRDefault="00FF1A38" w:rsidP="00FF1A38">
      <w:pPr>
        <w:spacing w:before="100" w:beforeAutospacing="1" w:after="100" w:afterAutospacing="1" w:line="240" w:lineRule="auto"/>
        <w:ind w:left="750"/>
        <w:rPr>
          <w:rFonts w:ascii="Times New Roman" w:eastAsia="Times New Roman" w:hAnsi="Times New Roman" w:cs="Times New Roman"/>
          <w:caps/>
          <w:sz w:val="24"/>
          <w:szCs w:val="24"/>
        </w:rPr>
      </w:pPr>
      <w:r>
        <w:rPr>
          <w:rFonts w:ascii="Times New Roman" w:hAnsi="Times New Roman"/>
          <w:sz w:val="24"/>
        </w:rPr>
        <w:br/>
      </w:r>
      <w:r>
        <w:rPr>
          <w:rFonts w:ascii="Times New Roman" w:hAnsi="Times New Roman"/>
          <w:caps/>
          <w:sz w:val="24"/>
        </w:rPr>
        <w:t xml:space="preserve">Приложение 1 </w:t>
      </w:r>
      <w:r w:rsidR="00660232">
        <w:rPr>
          <w:rFonts w:ascii="Times New Roman" w:hAnsi="Times New Roman"/>
          <w:caps/>
          <w:sz w:val="24"/>
          <w:lang w:val="hr-HR"/>
        </w:rPr>
        <w:t xml:space="preserve">                                                                                                    </w:t>
      </w:r>
      <w:r>
        <w:rPr>
          <w:rFonts w:ascii="Times New Roman" w:hAnsi="Times New Roman"/>
          <w:caps/>
          <w:sz w:val="24"/>
        </w:rPr>
        <w:t>Списък на приложенията, които изключват експозицията на опрашителите по време на цъфтежа</w:t>
      </w:r>
    </w:p>
    <w:p w14:paraId="34DB028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Приложения, които се извършват върху оранжерийни и защитени култури, тъй като те са направени недостъпни за опрашителите по време на цъфтежа.</w:t>
      </w:r>
    </w:p>
    <w:p w14:paraId="50FD6962"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съставена на 20 ноември 2021 г.</w:t>
      </w:r>
    </w:p>
    <w:p w14:paraId="24C0BB1B" w14:textId="12396385"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Министърът на земеделието и храните,</w:t>
      </w:r>
      <w:r w:rsidR="00CF6C04">
        <w:rPr>
          <w:rFonts w:ascii="Times New Roman" w:hAnsi="Times New Roman"/>
          <w:sz w:val="24"/>
        </w:rPr>
        <w:br/>
      </w:r>
      <w:r>
        <w:rPr>
          <w:rFonts w:ascii="Times New Roman" w:hAnsi="Times New Roman"/>
          <w:sz w:val="24"/>
        </w:rPr>
        <w:t>за министъра и чрез делегиране:</w:t>
      </w:r>
      <w:r>
        <w:rPr>
          <w:rFonts w:ascii="Times New Roman" w:hAnsi="Times New Roman"/>
          <w:sz w:val="24"/>
        </w:rPr>
        <w:br/>
        <w:t>Генералният директор за храните,</w:t>
      </w:r>
      <w:r w:rsidR="00CF6C04">
        <w:rPr>
          <w:rFonts w:ascii="Times New Roman" w:hAnsi="Times New Roman"/>
          <w:sz w:val="24"/>
        </w:rPr>
        <w:br/>
      </w:r>
      <w:r>
        <w:rPr>
          <w:rFonts w:ascii="Times New Roman" w:hAnsi="Times New Roman"/>
          <w:sz w:val="24"/>
        </w:rPr>
        <w:t>B.</w:t>
      </w:r>
      <w:r w:rsidR="005C01B4">
        <w:rPr>
          <w:rFonts w:ascii="Times New Roman" w:hAnsi="Times New Roman"/>
          <w:sz w:val="24"/>
          <w:lang w:val="hr-HR"/>
        </w:rPr>
        <w:t xml:space="preserve"> </w:t>
      </w:r>
      <w:r>
        <w:rPr>
          <w:rFonts w:ascii="Times New Roman" w:hAnsi="Times New Roman"/>
          <w:sz w:val="24"/>
        </w:rPr>
        <w:t>Ferreira</w:t>
      </w:r>
    </w:p>
    <w:p w14:paraId="10D6C0DF" w14:textId="7BA3C15C" w:rsidR="00FF1A38" w:rsidRPr="005C01B4" w:rsidRDefault="00FF1A38" w:rsidP="00FF1A38">
      <w:pPr>
        <w:spacing w:before="100" w:beforeAutospacing="1" w:after="100" w:afterAutospacing="1" w:line="240" w:lineRule="auto"/>
        <w:rPr>
          <w:rFonts w:ascii="Times New Roman" w:hAnsi="Times New Roman"/>
          <w:sz w:val="24"/>
        </w:rPr>
      </w:pPr>
      <w:r>
        <w:rPr>
          <w:rFonts w:ascii="Times New Roman" w:hAnsi="Times New Roman"/>
          <w:sz w:val="24"/>
        </w:rPr>
        <w:br/>
        <w:t>Министърът, отговарящ за екологичния преход,</w:t>
      </w:r>
      <w:r w:rsidR="00CF6C04">
        <w:rPr>
          <w:rFonts w:ascii="Times New Roman" w:hAnsi="Times New Roman"/>
          <w:sz w:val="24"/>
        </w:rPr>
        <w:br/>
      </w:r>
      <w:r>
        <w:rPr>
          <w:rFonts w:ascii="Times New Roman" w:hAnsi="Times New Roman"/>
          <w:sz w:val="24"/>
        </w:rPr>
        <w:t>за министъра и чрез делегиране:</w:t>
      </w:r>
      <w:r>
        <w:rPr>
          <w:rFonts w:ascii="Times New Roman" w:hAnsi="Times New Roman"/>
          <w:sz w:val="24"/>
        </w:rPr>
        <w:br/>
        <w:t>Генералният директор на ГД „Предотвратяване на риска“,</w:t>
      </w:r>
      <w:r w:rsidR="00CF6C04">
        <w:rPr>
          <w:rFonts w:ascii="Times New Roman" w:hAnsi="Times New Roman"/>
          <w:sz w:val="24"/>
        </w:rPr>
        <w:br/>
      </w:r>
      <w:r>
        <w:rPr>
          <w:rFonts w:ascii="Times New Roman" w:hAnsi="Times New Roman"/>
          <w:sz w:val="24"/>
        </w:rPr>
        <w:t>C. Bourillet</w:t>
      </w:r>
    </w:p>
    <w:p w14:paraId="19B1D81F" w14:textId="5125E673"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Министърът на икономиката, финансите и възстановяването,</w:t>
      </w:r>
      <w:r w:rsidR="00CF6C04">
        <w:rPr>
          <w:rFonts w:ascii="Times New Roman" w:hAnsi="Times New Roman"/>
          <w:sz w:val="24"/>
        </w:rPr>
        <w:br/>
      </w:r>
      <w:r>
        <w:rPr>
          <w:rFonts w:ascii="Times New Roman" w:hAnsi="Times New Roman"/>
          <w:sz w:val="24"/>
        </w:rPr>
        <w:t>За и от името на министъра:</w:t>
      </w:r>
      <w:r>
        <w:rPr>
          <w:rFonts w:ascii="Times New Roman" w:hAnsi="Times New Roman"/>
          <w:sz w:val="24"/>
        </w:rPr>
        <w:br/>
        <w:t>Генералният директор на ГД „Конкуренция, потребителски въпроси и контрол на измамите“,</w:t>
      </w:r>
      <w:r w:rsidR="00CF6C04">
        <w:rPr>
          <w:rFonts w:ascii="Times New Roman" w:hAnsi="Times New Roman"/>
          <w:sz w:val="24"/>
        </w:rPr>
        <w:br/>
      </w:r>
      <w:r>
        <w:rPr>
          <w:rFonts w:ascii="Times New Roman" w:hAnsi="Times New Roman"/>
          <w:sz w:val="24"/>
        </w:rPr>
        <w:t>V. Beaumeunier</w:t>
      </w:r>
    </w:p>
    <w:p w14:paraId="56BCDE13"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Министърът на солидарността и здравеопазването,</w:t>
      </w:r>
      <w:r>
        <w:rPr>
          <w:rFonts w:ascii="Times New Roman" w:hAnsi="Times New Roman"/>
          <w:sz w:val="24"/>
        </w:rPr>
        <w:br/>
        <w:t>за и от името на министъра:</w:t>
      </w:r>
      <w:r>
        <w:rPr>
          <w:rFonts w:ascii="Times New Roman" w:hAnsi="Times New Roman"/>
          <w:sz w:val="24"/>
        </w:rPr>
        <w:br/>
        <w:t>Генералният директор на здравеопазването,</w:t>
      </w:r>
      <w:r>
        <w:rPr>
          <w:rFonts w:ascii="Times New Roman" w:hAnsi="Times New Roman"/>
          <w:sz w:val="24"/>
        </w:rPr>
        <w:br/>
        <w:t>J. Salomon</w:t>
      </w:r>
    </w:p>
    <w:p w14:paraId="26A05D50" w14:textId="77777777" w:rsidR="00C74177" w:rsidRDefault="00C74177"/>
    <w:sectPr w:rsidR="00C7417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2B57" w14:textId="77777777" w:rsidR="00724B02" w:rsidRDefault="00724B02" w:rsidP="001C5AB3">
      <w:pPr>
        <w:spacing w:after="0" w:line="240" w:lineRule="auto"/>
      </w:pPr>
      <w:r>
        <w:separator/>
      </w:r>
    </w:p>
  </w:endnote>
  <w:endnote w:type="continuationSeparator" w:id="0">
    <w:p w14:paraId="3A8A84B6" w14:textId="77777777" w:rsidR="00724B02" w:rsidRDefault="00724B02" w:rsidP="001C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9B4E" w14:textId="77777777" w:rsidR="001C5AB3" w:rsidRDefault="001C5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E27D" w14:textId="77777777" w:rsidR="001C5AB3" w:rsidRDefault="001C5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D7B0" w14:textId="77777777" w:rsidR="001C5AB3" w:rsidRDefault="001C5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3AE55" w14:textId="77777777" w:rsidR="00724B02" w:rsidRDefault="00724B02" w:rsidP="001C5AB3">
      <w:pPr>
        <w:spacing w:after="0" w:line="240" w:lineRule="auto"/>
      </w:pPr>
      <w:r>
        <w:separator/>
      </w:r>
    </w:p>
  </w:footnote>
  <w:footnote w:type="continuationSeparator" w:id="0">
    <w:p w14:paraId="17B0B786" w14:textId="77777777" w:rsidR="00724B02" w:rsidRDefault="00724B02" w:rsidP="001C5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6093" w14:textId="77777777" w:rsidR="001C5AB3" w:rsidRDefault="001C5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8907" w14:textId="77777777" w:rsidR="001C5AB3" w:rsidRDefault="001C5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479F" w14:textId="77777777" w:rsidR="001C5AB3" w:rsidRDefault="001C5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2779"/>
    <w:multiLevelType w:val="multilevel"/>
    <w:tmpl w:val="FFA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38"/>
    <w:rsid w:val="000D4D70"/>
    <w:rsid w:val="001C5AB3"/>
    <w:rsid w:val="001E5387"/>
    <w:rsid w:val="00322931"/>
    <w:rsid w:val="00462526"/>
    <w:rsid w:val="005C01B4"/>
    <w:rsid w:val="00660232"/>
    <w:rsid w:val="00724B02"/>
    <w:rsid w:val="007A2F67"/>
    <w:rsid w:val="008E2C6A"/>
    <w:rsid w:val="00906B70"/>
    <w:rsid w:val="00C74177"/>
    <w:rsid w:val="00CF6C04"/>
    <w:rsid w:val="00FF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BB62"/>
  <w15:chartTrackingRefBased/>
  <w15:docId w15:val="{A5F8F7E5-8A34-4C24-8DDC-26EB8C4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A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5AB3"/>
  </w:style>
  <w:style w:type="paragraph" w:styleId="Footer">
    <w:name w:val="footer"/>
    <w:basedOn w:val="Normal"/>
    <w:link w:val="FooterChar"/>
    <w:uiPriority w:val="99"/>
    <w:unhideWhenUsed/>
    <w:rsid w:val="001C5A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5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80119">
      <w:bodyDiv w:val="1"/>
      <w:marLeft w:val="0"/>
      <w:marRight w:val="0"/>
      <w:marTop w:val="0"/>
      <w:marBottom w:val="0"/>
      <w:divBdr>
        <w:top w:val="none" w:sz="0" w:space="0" w:color="auto"/>
        <w:left w:val="none" w:sz="0" w:space="0" w:color="auto"/>
        <w:bottom w:val="none" w:sz="0" w:space="0" w:color="auto"/>
        <w:right w:val="none" w:sz="0" w:space="0" w:color="auto"/>
      </w:divBdr>
      <w:divsChild>
        <w:div w:id="318073816">
          <w:marLeft w:val="0"/>
          <w:marRight w:val="0"/>
          <w:marTop w:val="0"/>
          <w:marBottom w:val="0"/>
          <w:divBdr>
            <w:top w:val="none" w:sz="0" w:space="0" w:color="auto"/>
            <w:left w:val="none" w:sz="0" w:space="0" w:color="auto"/>
            <w:bottom w:val="none" w:sz="0" w:space="0" w:color="auto"/>
            <w:right w:val="none" w:sz="0" w:space="0" w:color="auto"/>
          </w:divBdr>
          <w:divsChild>
            <w:div w:id="1815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2302</Words>
  <Characters>13122</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Liana Brili</cp:lastModifiedBy>
  <cp:revision>5</cp:revision>
  <dcterms:created xsi:type="dcterms:W3CDTF">2022-03-04T12:35:00Z</dcterms:created>
  <dcterms:modified xsi:type="dcterms:W3CDTF">2022-03-06T16:08:00Z</dcterms:modified>
</cp:coreProperties>
</file>