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162"/>
        <w:gridCol w:w="1957"/>
        <w:gridCol w:w="141"/>
        <w:gridCol w:w="1722"/>
      </w:tblGrid>
      <w:tr w:rsidR="000C3690" w:rsidRPr="002301BD" w14:paraId="21B07524" w14:textId="77777777" w:rsidTr="000C3690">
        <w:trPr>
          <w:trHeight w:hRule="exact" w:val="1304"/>
        </w:trPr>
        <w:tc>
          <w:tcPr>
            <w:tcW w:w="3544" w:type="dxa"/>
          </w:tcPr>
          <w:p w14:paraId="2FE9E4DD" w14:textId="77777777" w:rsidR="000C3690" w:rsidRPr="002301BD" w:rsidRDefault="000C3690" w:rsidP="005C4913">
            <w:pPr>
              <w:pStyle w:val="Adress-brev"/>
            </w:pPr>
          </w:p>
        </w:tc>
        <w:tc>
          <w:tcPr>
            <w:tcW w:w="1162" w:type="dxa"/>
          </w:tcPr>
          <w:p w14:paraId="3AFDCE39" w14:textId="77777777" w:rsidR="000C3690" w:rsidRPr="002301BD" w:rsidRDefault="000C3690" w:rsidP="005C4913">
            <w:pPr>
              <w:pStyle w:val="Adress-brev"/>
            </w:pPr>
          </w:p>
        </w:tc>
        <w:tc>
          <w:tcPr>
            <w:tcW w:w="1957" w:type="dxa"/>
          </w:tcPr>
          <w:p w14:paraId="35DD35AD" w14:textId="77777777" w:rsidR="000C3690" w:rsidRPr="002301BD" w:rsidRDefault="002301BD" w:rsidP="005C4913">
            <w:pPr>
              <w:pStyle w:val="KontaktuppgiftRub"/>
            </w:pPr>
            <w:bookmarkStart w:id="0" w:name="bkmAdminH"/>
            <w:r>
              <w:t>Handläggare</w:t>
            </w:r>
            <w:bookmarkEnd w:id="0"/>
          </w:p>
          <w:p w14:paraId="026106F1" w14:textId="77777777" w:rsidR="000C3690" w:rsidRPr="002301BD" w:rsidRDefault="000C3690" w:rsidP="00813503">
            <w:pPr>
              <w:pStyle w:val="Kontaktuppgift"/>
            </w:pPr>
          </w:p>
        </w:tc>
        <w:tc>
          <w:tcPr>
            <w:tcW w:w="141" w:type="dxa"/>
          </w:tcPr>
          <w:p w14:paraId="5F53FDE7" w14:textId="77777777" w:rsidR="000C3690" w:rsidRPr="002301BD" w:rsidRDefault="000C3690" w:rsidP="005C4913">
            <w:pPr>
              <w:pStyle w:val="Kontaktuppgift"/>
            </w:pPr>
          </w:p>
        </w:tc>
        <w:tc>
          <w:tcPr>
            <w:tcW w:w="1722" w:type="dxa"/>
            <w:vMerge w:val="restart"/>
          </w:tcPr>
          <w:p w14:paraId="34406328" w14:textId="1FE4642F" w:rsidR="000C3690" w:rsidRDefault="002301BD" w:rsidP="005C4913">
            <w:pPr>
              <w:pStyle w:val="KontaktuppgiftRub"/>
            </w:pPr>
            <w:bookmarkStart w:id="1" w:name="bkmVårtÄrendeNrH"/>
            <w:bookmarkStart w:id="2" w:name="bkmVårtÄrendeNrDelete"/>
            <w:r>
              <w:t xml:space="preserve">Vårt </w:t>
            </w:r>
            <w:r w:rsidRPr="002263E8">
              <w:t>ärendenummer</w:t>
            </w:r>
            <w:bookmarkEnd w:id="1"/>
          </w:p>
          <w:p w14:paraId="17E427FB" w14:textId="1D8F4F06" w:rsidR="002263E8" w:rsidRPr="002263E8" w:rsidRDefault="002263E8" w:rsidP="005C4913">
            <w:pPr>
              <w:pStyle w:val="KontaktuppgiftRub"/>
              <w:rPr>
                <w:b w:val="0"/>
              </w:rPr>
            </w:pPr>
            <w:r w:rsidRPr="002263E8">
              <w:rPr>
                <w:b w:val="0"/>
              </w:rPr>
              <w:t>04320-2022</w:t>
            </w:r>
          </w:p>
          <w:p w14:paraId="2528D704" w14:textId="77777777" w:rsidR="000C3690" w:rsidRPr="002301BD" w:rsidRDefault="002301BD" w:rsidP="005C4913">
            <w:pPr>
              <w:pStyle w:val="KontaktuppgiftRub"/>
            </w:pPr>
            <w:bookmarkStart w:id="3" w:name="bkmDateH"/>
            <w:bookmarkEnd w:id="2"/>
            <w:r>
              <w:t>Datum</w:t>
            </w:r>
            <w:bookmarkEnd w:id="3"/>
          </w:p>
          <w:p w14:paraId="2ACD73FE" w14:textId="77777777" w:rsidR="000C3690" w:rsidRPr="002301BD" w:rsidRDefault="002301BD" w:rsidP="005C4913">
            <w:pPr>
              <w:pStyle w:val="KontaktuppgiftRub"/>
            </w:pPr>
            <w:bookmarkStart w:id="4" w:name="bkmPageH"/>
            <w:r>
              <w:t>Sida</w:t>
            </w:r>
            <w:bookmarkEnd w:id="4"/>
          </w:p>
          <w:p w14:paraId="26E7B250" w14:textId="77777777" w:rsidR="000C3690" w:rsidRPr="002301BD" w:rsidRDefault="000C3690" w:rsidP="00624661">
            <w:pPr>
              <w:pStyle w:val="Kontaktuppgift"/>
            </w:pPr>
            <w:r w:rsidRPr="002301BD">
              <w:fldChar w:fldCharType="begin"/>
            </w:r>
            <w:r w:rsidRPr="002301BD">
              <w:instrText xml:space="preserve">PAGE </w:instrText>
            </w:r>
            <w:r w:rsidRPr="002301BD">
              <w:fldChar w:fldCharType="separate"/>
            </w:r>
            <w:r w:rsidR="003C2BC3">
              <w:t>1</w:t>
            </w:r>
            <w:r w:rsidRPr="002301BD">
              <w:fldChar w:fldCharType="end"/>
            </w:r>
            <w:r w:rsidRPr="002301BD">
              <w:t xml:space="preserve"> (</w:t>
            </w:r>
            <w:r w:rsidRPr="002301BD">
              <w:fldChar w:fldCharType="begin"/>
            </w:r>
            <w:r w:rsidRPr="002301BD">
              <w:instrText xml:space="preserve"> NUMPAGES </w:instrText>
            </w:r>
            <w:r w:rsidRPr="002301BD">
              <w:fldChar w:fldCharType="separate"/>
            </w:r>
            <w:r w:rsidR="003C2BC3">
              <w:t>1</w:t>
            </w:r>
            <w:r w:rsidRPr="002301BD">
              <w:fldChar w:fldCharType="end"/>
            </w:r>
            <w:r w:rsidRPr="002301BD">
              <w:t>)</w:t>
            </w:r>
          </w:p>
        </w:tc>
      </w:tr>
      <w:tr w:rsidR="000C3690" w:rsidRPr="002301BD" w14:paraId="6F1A364B" w14:textId="77777777" w:rsidTr="000C3690">
        <w:trPr>
          <w:trHeight w:hRule="exact" w:val="1701"/>
        </w:trPr>
        <w:tc>
          <w:tcPr>
            <w:tcW w:w="3544" w:type="dxa"/>
          </w:tcPr>
          <w:p w14:paraId="098AA3E6" w14:textId="77777777" w:rsidR="000C3690" w:rsidRPr="002301BD" w:rsidRDefault="000C3690" w:rsidP="005C4913">
            <w:pPr>
              <w:pStyle w:val="Adress-brev"/>
            </w:pPr>
            <w:bookmarkStart w:id="5" w:name="bkmDateTemp"/>
            <w:bookmarkEnd w:id="5"/>
          </w:p>
        </w:tc>
        <w:tc>
          <w:tcPr>
            <w:tcW w:w="1162" w:type="dxa"/>
          </w:tcPr>
          <w:p w14:paraId="26BE5C6A" w14:textId="77777777" w:rsidR="000C3690" w:rsidRPr="002301BD" w:rsidRDefault="000C3690" w:rsidP="005C4913">
            <w:pPr>
              <w:pStyle w:val="Adress-brev"/>
            </w:pPr>
          </w:p>
        </w:tc>
        <w:tc>
          <w:tcPr>
            <w:tcW w:w="1957" w:type="dxa"/>
          </w:tcPr>
          <w:p w14:paraId="6FEC0846" w14:textId="77777777" w:rsidR="000C3690" w:rsidRPr="002301BD" w:rsidRDefault="000C3690" w:rsidP="005C4913">
            <w:pPr>
              <w:pStyle w:val="KontaktuppgiftRub"/>
            </w:pPr>
          </w:p>
        </w:tc>
        <w:tc>
          <w:tcPr>
            <w:tcW w:w="141" w:type="dxa"/>
          </w:tcPr>
          <w:p w14:paraId="4D06675B" w14:textId="77777777" w:rsidR="000C3690" w:rsidRPr="002301BD" w:rsidRDefault="000C3690" w:rsidP="005C4913">
            <w:pPr>
              <w:pStyle w:val="KontaktuppgiftRub"/>
            </w:pPr>
          </w:p>
        </w:tc>
        <w:tc>
          <w:tcPr>
            <w:tcW w:w="1722" w:type="dxa"/>
            <w:vMerge/>
          </w:tcPr>
          <w:p w14:paraId="09B7E6B4" w14:textId="77777777" w:rsidR="000C3690" w:rsidRPr="002301BD" w:rsidRDefault="000C3690" w:rsidP="005C4913">
            <w:pPr>
              <w:pStyle w:val="KontaktuppgiftRub"/>
            </w:pPr>
          </w:p>
        </w:tc>
      </w:tr>
    </w:tbl>
    <w:p w14:paraId="5BA1D035" w14:textId="77777777" w:rsidR="002301BD" w:rsidRDefault="002301BD" w:rsidP="00CB691B">
      <w:pPr>
        <w:pStyle w:val="Rubrik1"/>
        <w:numPr>
          <w:ilvl w:val="0"/>
          <w:numId w:val="0"/>
        </w:numPr>
        <w:rPr>
          <w:sz w:val="36"/>
          <w:szCs w:val="36"/>
        </w:rPr>
      </w:pPr>
      <w:r w:rsidRPr="00624661">
        <w:rPr>
          <w:sz w:val="36"/>
          <w:szCs w:val="36"/>
        </w:rPr>
        <w:t xml:space="preserve">Konsekvensutredning – Folkhälsomyndighetens föreskrifter om </w:t>
      </w:r>
      <w:r w:rsidR="00274A38" w:rsidRPr="00624661">
        <w:rPr>
          <w:sz w:val="36"/>
          <w:szCs w:val="36"/>
        </w:rPr>
        <w:t>tobaksfria nikotinprodukter</w:t>
      </w:r>
    </w:p>
    <w:p w14:paraId="69BD6FEC" w14:textId="77777777" w:rsidR="00624661" w:rsidRPr="00624661" w:rsidRDefault="00624661" w:rsidP="00624661">
      <w:pPr>
        <w:pStyle w:val="Brdtext"/>
      </w:pPr>
    </w:p>
    <w:p w14:paraId="237B9571" w14:textId="5D100F10" w:rsidR="002301BD" w:rsidRDefault="00274A38" w:rsidP="00CB691B">
      <w:pPr>
        <w:pStyle w:val="Rubrik1"/>
      </w:pPr>
      <w:r>
        <w:t>Sammanfattning</w:t>
      </w:r>
    </w:p>
    <w:p w14:paraId="7964D806" w14:textId="6045266D" w:rsidR="00AA1562" w:rsidRPr="002F4E6C" w:rsidRDefault="00AA1562" w:rsidP="00AA1562">
      <w:pPr>
        <w:pStyle w:val="Brdtext"/>
        <w:spacing w:line="276" w:lineRule="auto"/>
        <w:rPr>
          <w:rFonts w:ascii="Times New Roman" w:eastAsia="Times New Roman" w:hAnsi="Times New Roman" w:cs="Times New Roman"/>
          <w:lang w:eastAsia="sv-SE"/>
        </w:rPr>
      </w:pPr>
      <w:r>
        <w:t xml:space="preserve">Tobaksfria nikotinprodukter är numera </w:t>
      </w:r>
      <w:r w:rsidRPr="002F4E6C">
        <w:t>reglerade</w:t>
      </w:r>
      <w:r>
        <w:t xml:space="preserve"> genom lag och förordning. Vissa av reglerna behöver dock </w:t>
      </w:r>
      <w:r w:rsidR="00DF07B6">
        <w:t>kompletteras</w:t>
      </w:r>
      <w:r>
        <w:t xml:space="preserve"> för att </w:t>
      </w:r>
      <w:r w:rsidRPr="002F4E6C">
        <w:t>uppnå syftena med</w:t>
      </w:r>
      <w:r w:rsidR="0058464D">
        <w:t xml:space="preserve"> </w:t>
      </w:r>
      <w:r w:rsidR="0058464D" w:rsidRPr="00A518AC">
        <w:t>lagen (2022:1257) om tobaksfria nikotinprodukter</w:t>
      </w:r>
      <w:r w:rsidR="0058464D">
        <w:t>,</w:t>
      </w:r>
      <w:r w:rsidRPr="002F4E6C">
        <w:t xml:space="preserve"> </w:t>
      </w:r>
      <w:r w:rsidR="00FD4F4A">
        <w:t>LTN</w:t>
      </w:r>
      <w:r w:rsidRPr="002F4E6C">
        <w:t xml:space="preserve">, däribland </w:t>
      </w:r>
      <w:r w:rsidR="00A93235">
        <w:t>att öka skyddet</w:t>
      </w:r>
      <w:r w:rsidRPr="002F4E6C">
        <w:t xml:space="preserve"> för barn</w:t>
      </w:r>
      <w:r w:rsidR="00A93235">
        <w:t>s</w:t>
      </w:r>
      <w:r w:rsidRPr="002F4E6C">
        <w:t xml:space="preserve"> och unga</w:t>
      </w:r>
      <w:r>
        <w:t xml:space="preserve">s hälsa. För att uppnå </w:t>
      </w:r>
      <w:r w:rsidR="00FE38F3">
        <w:t xml:space="preserve">syftet </w:t>
      </w:r>
      <w:r>
        <w:t>föreslå</w:t>
      </w:r>
      <w:r w:rsidR="00FE38F3">
        <w:t>r Folkhälsomyndigheten</w:t>
      </w:r>
      <w:r>
        <w:t xml:space="preserve"> föreskrifter som preciserar kraven på hälsovarningar och innehållsdeklarationer </w:t>
      </w:r>
      <w:r w:rsidR="00FE38F3">
        <w:t xml:space="preserve">samt </w:t>
      </w:r>
      <w:r>
        <w:t xml:space="preserve">hur hälsovarningarna ska återges vid viss marknadsföring riktad till konsumenter. </w:t>
      </w:r>
    </w:p>
    <w:p w14:paraId="43C819E7" w14:textId="77777777" w:rsidR="007B7D73" w:rsidRDefault="007B7D73" w:rsidP="00AA1562">
      <w:pPr>
        <w:pStyle w:val="Brdtext"/>
        <w:spacing w:line="276" w:lineRule="auto"/>
      </w:pPr>
    </w:p>
    <w:p w14:paraId="2CC06068" w14:textId="1DB2E8B7" w:rsidR="00AA1562" w:rsidRDefault="00055886" w:rsidP="00AA1562">
      <w:pPr>
        <w:pStyle w:val="Brdtext"/>
        <w:spacing w:line="276" w:lineRule="auto"/>
      </w:pPr>
      <w:r>
        <w:t xml:space="preserve">För att </w:t>
      </w:r>
      <w:r w:rsidR="00AA1562">
        <w:t>minska risk</w:t>
      </w:r>
      <w:r>
        <w:t>en</w:t>
      </w:r>
      <w:r w:rsidR="00AA1562">
        <w:t xml:space="preserve"> för försämrad</w:t>
      </w:r>
      <w:r w:rsidR="00AA1562" w:rsidRPr="002F4E6C">
        <w:t xml:space="preserve"> folkhälsa </w:t>
      </w:r>
      <w:r>
        <w:t xml:space="preserve">krävs </w:t>
      </w:r>
      <w:r w:rsidR="00AA1562">
        <w:t xml:space="preserve">också god kännedom om produkterna. Folkhälsomyndigheten ska därför samla in uppgifter för att </w:t>
      </w:r>
      <w:r w:rsidR="00AA1562" w:rsidRPr="00E25583">
        <w:t>göra det möjligt</w:t>
      </w:r>
      <w:r w:rsidR="002630C7">
        <w:t xml:space="preserve"> att</w:t>
      </w:r>
    </w:p>
    <w:p w14:paraId="6B3F43EE" w14:textId="096FF38A" w:rsidR="00AA1562" w:rsidRPr="007A3C7D" w:rsidRDefault="00AA1562" w:rsidP="00AA1562">
      <w:pPr>
        <w:pStyle w:val="Liststycke"/>
        <w:numPr>
          <w:ilvl w:val="0"/>
          <w:numId w:val="50"/>
        </w:numPr>
        <w:spacing w:before="60" w:after="165" w:line="276" w:lineRule="auto"/>
      </w:pPr>
      <w:r w:rsidRPr="007A3C7D">
        <w:t>överblicka vilka produkter som utvecklas och säljs till konsumenter på marknaden</w:t>
      </w:r>
      <w:r w:rsidR="00D46700">
        <w:t>,</w:t>
      </w:r>
      <w:r w:rsidRPr="007A3C7D">
        <w:t xml:space="preserve"> och att utöva tillsyn över dem</w:t>
      </w:r>
    </w:p>
    <w:p w14:paraId="675458FB" w14:textId="45B548D4" w:rsidR="00DF07B6" w:rsidRDefault="00AA1562" w:rsidP="00AA1562">
      <w:pPr>
        <w:pStyle w:val="Liststycke"/>
        <w:numPr>
          <w:ilvl w:val="0"/>
          <w:numId w:val="50"/>
        </w:numPr>
        <w:spacing w:before="60" w:after="165" w:line="276" w:lineRule="auto"/>
      </w:pPr>
      <w:r w:rsidRPr="007A3C7D">
        <w:t>samla in information om misstänkta skadliga effekter och om åtgärder mot bristfälliga produkter som tillverkare, importörer eller distributörer ska vidta</w:t>
      </w:r>
    </w:p>
    <w:p w14:paraId="180AECEC" w14:textId="56B7C79A" w:rsidR="00AA1562" w:rsidRPr="007A3C7D" w:rsidRDefault="00AA1562" w:rsidP="00DE3268">
      <w:pPr>
        <w:pStyle w:val="Liststycke"/>
        <w:numPr>
          <w:ilvl w:val="0"/>
          <w:numId w:val="50"/>
        </w:numPr>
        <w:spacing w:before="60" w:after="165" w:line="276" w:lineRule="auto"/>
      </w:pPr>
      <w:r w:rsidRPr="007A3C7D">
        <w:t>följa hur nikotinprodukterna påverkar folkhälsan</w:t>
      </w:r>
      <w:r>
        <w:t>.</w:t>
      </w:r>
    </w:p>
    <w:p w14:paraId="762FE1E3" w14:textId="0D1480BC" w:rsidR="00AA1562" w:rsidRDefault="0043185E" w:rsidP="00AA1562">
      <w:pPr>
        <w:pStyle w:val="Brdtext"/>
        <w:spacing w:line="276" w:lineRule="auto"/>
      </w:pPr>
      <w:r>
        <w:t>F</w:t>
      </w:r>
      <w:r w:rsidR="00AA1562">
        <w:t>öreskrifterna precisera</w:t>
      </w:r>
      <w:r>
        <w:t>r</w:t>
      </w:r>
      <w:r w:rsidR="00AA1562">
        <w:t xml:space="preserve"> hur denna insamling av uppgifter ska göras.</w:t>
      </w:r>
    </w:p>
    <w:p w14:paraId="4163D59B" w14:textId="77777777" w:rsidR="0043185E" w:rsidRDefault="0043185E" w:rsidP="00AA1562">
      <w:pPr>
        <w:pStyle w:val="Brdtext"/>
        <w:spacing w:line="276" w:lineRule="auto"/>
      </w:pPr>
    </w:p>
    <w:p w14:paraId="25F9BE99" w14:textId="4271AF72" w:rsidR="00AA1562" w:rsidRDefault="00AA1562" w:rsidP="00AA1562">
      <w:pPr>
        <w:pStyle w:val="Brdtext"/>
        <w:spacing w:line="276" w:lineRule="auto"/>
      </w:pPr>
      <w:r>
        <w:t xml:space="preserve">På </w:t>
      </w:r>
      <w:r w:rsidR="00F6233D">
        <w:t xml:space="preserve">den </w:t>
      </w:r>
      <w:r>
        <w:t>offentliga sidan bedöm</w:t>
      </w:r>
      <w:r w:rsidR="00F6233D">
        <w:t>er vi</w:t>
      </w:r>
      <w:r w:rsidR="0051130C">
        <w:t xml:space="preserve"> att</w:t>
      </w:r>
      <w:r>
        <w:t xml:space="preserve"> föreskrifterna </w:t>
      </w:r>
      <w:r w:rsidR="0051130C">
        <w:t xml:space="preserve">kommer att </w:t>
      </w:r>
      <w:r>
        <w:t xml:space="preserve">få måttlig påverkan på de aktörer som utövar tillsyn och tillsynsvägledning på området; Folkhälsomyndigheten, Konsumentverket, länsstyrelserna och kommunerna.   </w:t>
      </w:r>
    </w:p>
    <w:p w14:paraId="68BD9419" w14:textId="77777777" w:rsidR="00054CDB" w:rsidRDefault="00054CDB" w:rsidP="00AA1562">
      <w:pPr>
        <w:pStyle w:val="Brdtext"/>
        <w:spacing w:line="276" w:lineRule="auto"/>
      </w:pPr>
    </w:p>
    <w:p w14:paraId="7911B43E" w14:textId="69961847" w:rsidR="00AA1562" w:rsidRDefault="00AA1562" w:rsidP="00AA1562">
      <w:pPr>
        <w:spacing w:line="276" w:lineRule="auto"/>
      </w:pPr>
      <w:r>
        <w:rPr>
          <w:rFonts w:ascii="Times New Roman" w:eastAsia="Times New Roman" w:hAnsi="Times New Roman" w:cs="Times New Roman"/>
          <w:lang w:eastAsia="sv-SE"/>
        </w:rPr>
        <w:lastRenderedPageBreak/>
        <w:t xml:space="preserve">På näringslivssidan medför föreskrifterna att </w:t>
      </w:r>
      <w:r w:rsidRPr="00406CC0">
        <w:rPr>
          <w:rFonts w:ascii="Times New Roman" w:eastAsia="Times New Roman" w:hAnsi="Times New Roman" w:cs="Times New Roman"/>
          <w:lang w:eastAsia="sv-SE"/>
        </w:rPr>
        <w:t>tillverkare och importörer av tobaksfria nikotinprodukter</w:t>
      </w:r>
      <w:r>
        <w:rPr>
          <w:rFonts w:ascii="Times New Roman" w:eastAsia="Times New Roman" w:hAnsi="Times New Roman" w:cs="Times New Roman"/>
          <w:lang w:eastAsia="sv-SE"/>
        </w:rPr>
        <w:t xml:space="preserve"> kommer att få vissa administrativa kostnader för att ge in olika uppgifter till Folkhälsomyndigheten (produktanmälan, rapportering av försäljningsvolymer och preferenser samt underrättelse om brister hos produkterna).</w:t>
      </w:r>
      <w:r w:rsidRPr="00CF41AB">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 xml:space="preserve">För detaljhandlarna </w:t>
      </w:r>
      <w:r>
        <w:t>medför föreskrifterna att</w:t>
      </w:r>
      <w:r>
        <w:rPr>
          <w:rFonts w:ascii="Times New Roman" w:eastAsia="Times New Roman" w:hAnsi="Times New Roman" w:cs="Times New Roman"/>
          <w:lang w:eastAsia="sv-SE"/>
        </w:rPr>
        <w:t xml:space="preserve"> </w:t>
      </w:r>
      <w:r w:rsidR="005937A7">
        <w:rPr>
          <w:rFonts w:ascii="Times New Roman" w:eastAsia="Times New Roman" w:hAnsi="Times New Roman" w:cs="Times New Roman"/>
          <w:lang w:eastAsia="sv-SE"/>
        </w:rPr>
        <w:t xml:space="preserve">de </w:t>
      </w:r>
      <w:r>
        <w:rPr>
          <w:rFonts w:ascii="Times New Roman" w:eastAsia="Times New Roman" w:hAnsi="Times New Roman" w:cs="Times New Roman"/>
          <w:lang w:eastAsia="sv-SE"/>
        </w:rPr>
        <w:t>måste skapa rutiner för att säkerställa att märkningen på produkterna är korrekt, eftersom de inte får tillhandahålla annat än korrekt märkta produkter till konsumenter på marknaden. K</w:t>
      </w:r>
      <w:r>
        <w:t xml:space="preserve">ostnaderna för detta bedöms bli måttliga. För </w:t>
      </w:r>
      <w:r w:rsidRPr="00406CC0">
        <w:rPr>
          <w:rFonts w:ascii="Times New Roman" w:eastAsia="Times New Roman" w:hAnsi="Times New Roman" w:cs="Times New Roman"/>
          <w:lang w:eastAsia="sv-SE"/>
        </w:rPr>
        <w:t xml:space="preserve">tillverkare och importörer </w:t>
      </w:r>
      <w:r>
        <w:rPr>
          <w:rFonts w:ascii="Times New Roman" w:eastAsia="Times New Roman" w:hAnsi="Times New Roman" w:cs="Times New Roman"/>
          <w:lang w:eastAsia="sv-SE"/>
        </w:rPr>
        <w:t xml:space="preserve">eftersom rapporteringssystemet avses </w:t>
      </w:r>
      <w:r>
        <w:t>bli</w:t>
      </w:r>
      <w:r w:rsidRPr="00FC5D3A">
        <w:t xml:space="preserve"> självinstruerande</w:t>
      </w:r>
      <w:r>
        <w:t>, för detaljhandlarna eftersom många av dem redan idag säljer produkter (tobak och/eller elektroniska cigaretter) där det ingår att kontroll</w:t>
      </w:r>
      <w:r w:rsidR="00A923B8">
        <w:t>era</w:t>
      </w:r>
      <w:r>
        <w:t xml:space="preserve"> märkningen. </w:t>
      </w:r>
    </w:p>
    <w:p w14:paraId="64E4A8C7" w14:textId="77777777" w:rsidR="00004812" w:rsidRDefault="00004812" w:rsidP="00AA1562">
      <w:pPr>
        <w:spacing w:line="276" w:lineRule="auto"/>
      </w:pPr>
    </w:p>
    <w:p w14:paraId="373CA55C" w14:textId="53BD91E2" w:rsidR="00AA1562" w:rsidRPr="00FC5D3A" w:rsidRDefault="00AA1562" w:rsidP="00AA1562">
      <w:pPr>
        <w:pStyle w:val="Brdtext"/>
        <w:spacing w:line="276" w:lineRule="auto"/>
      </w:pPr>
      <w:r>
        <w:t xml:space="preserve">Föreskrifterna </w:t>
      </w:r>
      <w:r w:rsidR="00EE30AF">
        <w:t xml:space="preserve">om märkning och underrättelseskyldighet </w:t>
      </w:r>
      <w:r>
        <w:t xml:space="preserve">föreslås </w:t>
      </w:r>
      <w:r w:rsidR="00EE30AF">
        <w:t>träda i kraft den 2 maj</w:t>
      </w:r>
      <w:r w:rsidR="00EE30AF" w:rsidRPr="00144DE9">
        <w:t xml:space="preserve"> 2023, samt </w:t>
      </w:r>
      <w:r w:rsidR="00EE30AF">
        <w:t xml:space="preserve">den </w:t>
      </w:r>
      <w:r w:rsidR="00EE30AF" w:rsidRPr="00144DE9">
        <w:t xml:space="preserve">1 januari 2024 </w:t>
      </w:r>
      <w:r w:rsidR="00EE30AF">
        <w:t>i fråga om</w:t>
      </w:r>
      <w:r w:rsidR="00EE30AF" w:rsidRPr="00EE30AF">
        <w:t xml:space="preserve"> </w:t>
      </w:r>
      <w:r w:rsidR="00EE30AF">
        <w:t>produktanmälan och rapporteringsskyldighet</w:t>
      </w:r>
      <w:r w:rsidR="00EE30AF" w:rsidRPr="00144DE9">
        <w:t>.</w:t>
      </w:r>
    </w:p>
    <w:p w14:paraId="4C1EB6B2" w14:textId="77777777" w:rsidR="00AA1562" w:rsidRPr="00AA1562" w:rsidRDefault="00AA1562" w:rsidP="00AA1562">
      <w:pPr>
        <w:pStyle w:val="Brdtext"/>
      </w:pPr>
    </w:p>
    <w:p w14:paraId="1FB1DB71" w14:textId="77777777" w:rsidR="002301BD" w:rsidRPr="00B4578A" w:rsidRDefault="002301BD" w:rsidP="002301BD">
      <w:pPr>
        <w:rPr>
          <w:rFonts w:ascii="Arial" w:eastAsia="Times New Roman" w:hAnsi="Arial" w:cs="Arial"/>
          <w:szCs w:val="20"/>
          <w:lang w:eastAsia="sv-SE"/>
        </w:rPr>
      </w:pPr>
    </w:p>
    <w:p w14:paraId="053C35E0" w14:textId="1F13A05D" w:rsidR="002301BD" w:rsidRDefault="002301BD" w:rsidP="00274A38">
      <w:pPr>
        <w:pStyle w:val="Rubrik1"/>
        <w:rPr>
          <w:rFonts w:eastAsia="Times New Roman"/>
          <w:lang w:eastAsia="sv-SE"/>
        </w:rPr>
      </w:pPr>
      <w:r w:rsidRPr="00B4578A">
        <w:rPr>
          <w:rFonts w:eastAsia="Times New Roman"/>
          <w:lang w:eastAsia="sv-SE"/>
        </w:rPr>
        <w:t xml:space="preserve">Beskrivning av problemet och vad </w:t>
      </w:r>
      <w:r w:rsidR="00C33423">
        <w:rPr>
          <w:rFonts w:eastAsia="Times New Roman"/>
          <w:lang w:eastAsia="sv-SE"/>
        </w:rPr>
        <w:t xml:space="preserve">Folkhälsomyndigheten </w:t>
      </w:r>
      <w:r w:rsidRPr="00B4578A">
        <w:rPr>
          <w:rFonts w:eastAsia="Times New Roman"/>
          <w:lang w:eastAsia="sv-SE"/>
        </w:rPr>
        <w:t xml:space="preserve">vill uppnå </w:t>
      </w:r>
    </w:p>
    <w:p w14:paraId="06E84436" w14:textId="773F5682" w:rsidR="00CF3A61" w:rsidRPr="00B4578A" w:rsidRDefault="00CF3A61" w:rsidP="00CF3A61">
      <w:pPr>
        <w:pStyle w:val="Rubrik2"/>
        <w:rPr>
          <w:rFonts w:eastAsia="Times New Roman"/>
          <w:lang w:eastAsia="sv-SE"/>
        </w:rPr>
      </w:pPr>
      <w:r>
        <w:rPr>
          <w:rFonts w:eastAsia="Times New Roman"/>
          <w:lang w:eastAsia="sv-SE"/>
        </w:rPr>
        <w:t>Prob</w:t>
      </w:r>
      <w:r w:rsidRPr="005E1781">
        <w:rPr>
          <w:rFonts w:eastAsia="Times New Roman"/>
          <w:lang w:eastAsia="sv-SE"/>
        </w:rPr>
        <w:t xml:space="preserve">lemet </w:t>
      </w:r>
    </w:p>
    <w:p w14:paraId="1AE9BB71" w14:textId="6F7F6F71" w:rsidR="006006D7" w:rsidRDefault="00CF3A61" w:rsidP="00CF3A61">
      <w:r w:rsidRPr="00A518AC">
        <w:t xml:space="preserve">Den </w:t>
      </w:r>
      <w:r>
        <w:t>1 august</w:t>
      </w:r>
      <w:r w:rsidR="00F95E9F">
        <w:t>i</w:t>
      </w:r>
      <w:r>
        <w:t xml:space="preserve"> 2022 trädde</w:t>
      </w:r>
      <w:r w:rsidRPr="00A518AC">
        <w:t xml:space="preserve"> </w:t>
      </w:r>
      <w:r w:rsidR="00FD4F4A">
        <w:t>LTN</w:t>
      </w:r>
      <w:r>
        <w:t xml:space="preserve"> i</w:t>
      </w:r>
      <w:r w:rsidR="0037681E">
        <w:t xml:space="preserve"> </w:t>
      </w:r>
      <w:r>
        <w:t>kraft</w:t>
      </w:r>
      <w:r w:rsidRPr="00A518AC">
        <w:t xml:space="preserve">. </w:t>
      </w:r>
      <w:r>
        <w:t>Syftet med lagen är att begränsa skadeverkningarna av tobaksfria nikotinprodukter</w:t>
      </w:r>
      <w:r w:rsidR="007B241B">
        <w:t>.</w:t>
      </w:r>
      <w:r>
        <w:t xml:space="preserve"> </w:t>
      </w:r>
      <w:r w:rsidRPr="00087E2B">
        <w:t xml:space="preserve">Hjärnan hos barn och ungdomar är särskilt känslig för nikotinets beroendeframkallande egenskaper. </w:t>
      </w:r>
      <w:r>
        <w:t xml:space="preserve">De föreslagna föreskrifterna syftar i likhet med lagen till att öka skyddet för folkhälsan, särskilt bland barn och ungdomar. </w:t>
      </w:r>
    </w:p>
    <w:p w14:paraId="67C90570" w14:textId="77777777" w:rsidR="006006D7" w:rsidRDefault="006006D7" w:rsidP="00CF3A61"/>
    <w:p w14:paraId="07F66C83" w14:textId="77ABEEF5" w:rsidR="00CF3A61" w:rsidRDefault="00CF3A61" w:rsidP="00CF3A61">
      <w:r>
        <w:t xml:space="preserve">Folkhälsomyndigheten anser mot denna bakgrund att det är motiverat att utfärda föreskrifter. </w:t>
      </w:r>
      <w:r w:rsidR="006409D2">
        <w:t xml:space="preserve">Föreskrifter </w:t>
      </w:r>
      <w:r>
        <w:t>skulle också göra det tydligt för industrin vad det är som gäller</w:t>
      </w:r>
      <w:r w:rsidR="000B04AC">
        <w:t>.</w:t>
      </w:r>
      <w:r>
        <w:t xml:space="preserve"> Målet bör vara att föreskrifterna som rör de tobaksfria produkterna blir så lika dem om tobak och elektroniska cigaretter som lagstiftningen tillåter</w:t>
      </w:r>
      <w:r w:rsidR="000769F3">
        <w:t>.</w:t>
      </w:r>
      <w:r>
        <w:t xml:space="preserve"> </w:t>
      </w:r>
      <w:r w:rsidR="000769F3">
        <w:t>S</w:t>
      </w:r>
      <w:r>
        <w:t>yfte</w:t>
      </w:r>
      <w:r w:rsidR="000769F3">
        <w:t>t är</w:t>
      </w:r>
      <w:r>
        <w:t xml:space="preserve"> att göra det så tydligt som möjligt för alla som ska tillämpa dem.</w:t>
      </w:r>
    </w:p>
    <w:p w14:paraId="13AD83F5" w14:textId="77777777" w:rsidR="00CF3A61" w:rsidRPr="001E50A0" w:rsidRDefault="00CF3A61" w:rsidP="00CF3A61">
      <w:pPr>
        <w:pStyle w:val="Brdtext"/>
        <w:rPr>
          <w:lang w:eastAsia="sv-SE"/>
        </w:rPr>
      </w:pPr>
    </w:p>
    <w:p w14:paraId="4EFBDEFC" w14:textId="77777777" w:rsidR="00B66C5E" w:rsidRPr="00B66C5E" w:rsidRDefault="00B66C5E" w:rsidP="00B66C5E">
      <w:pPr>
        <w:pStyle w:val="Brdtext"/>
        <w:rPr>
          <w:lang w:eastAsia="sv-SE"/>
        </w:rPr>
      </w:pPr>
    </w:p>
    <w:p w14:paraId="71EB9236" w14:textId="09D664D2" w:rsidR="002301BD" w:rsidRDefault="002301BD" w:rsidP="00274A38">
      <w:pPr>
        <w:pStyle w:val="Rubrik2"/>
        <w:rPr>
          <w:rFonts w:eastAsia="Times New Roman"/>
          <w:lang w:eastAsia="sv-SE"/>
        </w:rPr>
      </w:pPr>
      <w:r w:rsidRPr="005E1781">
        <w:rPr>
          <w:rFonts w:eastAsia="Times New Roman"/>
          <w:lang w:eastAsia="sv-SE"/>
        </w:rPr>
        <w:t>Bakgrund</w:t>
      </w:r>
      <w:r w:rsidR="00961EF1">
        <w:rPr>
          <w:rFonts w:eastAsia="Times New Roman"/>
          <w:lang w:eastAsia="sv-SE"/>
        </w:rPr>
        <w:t xml:space="preserve"> och förslag</w:t>
      </w:r>
    </w:p>
    <w:p w14:paraId="438793A9" w14:textId="10217F3C" w:rsidR="00682904" w:rsidRDefault="00B66C5E" w:rsidP="00B66C5E">
      <w:pPr>
        <w:tabs>
          <w:tab w:val="left" w:pos="4519"/>
        </w:tabs>
      </w:pPr>
      <w:r w:rsidRPr="00A518AC">
        <w:t xml:space="preserve">En tobaksfri nikotinprodukt är en produkt utan tobak för konsumtion som innehåller nikotin, exempelvis tobaksfria nikotinpåsar. </w:t>
      </w:r>
      <w:r w:rsidR="00C71B29" w:rsidRPr="00C71B29">
        <w:t xml:space="preserve">De nya reglerna </w:t>
      </w:r>
      <w:r w:rsidR="00877C3F">
        <w:t xml:space="preserve">i </w:t>
      </w:r>
      <w:r w:rsidR="00FD4F4A">
        <w:t>LTN</w:t>
      </w:r>
      <w:r w:rsidR="00877C3F">
        <w:t xml:space="preserve"> </w:t>
      </w:r>
      <w:r w:rsidR="00F95E9F">
        <w:t>trädde</w:t>
      </w:r>
      <w:r w:rsidR="00F95E9F" w:rsidRPr="00C71B29">
        <w:t xml:space="preserve"> </w:t>
      </w:r>
      <w:r w:rsidR="00C71B29" w:rsidRPr="00C71B29">
        <w:t>huvudsakligen i kraft de</w:t>
      </w:r>
      <w:r w:rsidR="00C71B29">
        <w:t>n 1 augusti 2022. Bestämmelser</w:t>
      </w:r>
      <w:r w:rsidR="00AA6BC8">
        <w:t>na</w:t>
      </w:r>
      <w:r w:rsidR="00C71B29" w:rsidRPr="00C71B29">
        <w:t xml:space="preserve"> om produktkrav, märkning med tillhörand</w:t>
      </w:r>
      <w:r w:rsidR="00C71B29">
        <w:t>e straffbestämmelse och informa</w:t>
      </w:r>
      <w:r w:rsidR="00C71B29" w:rsidRPr="00C71B29">
        <w:t>tionsinsamlingssystem föreslås dock träda i kraft den 1 januari 2</w:t>
      </w:r>
      <w:r w:rsidR="00C71B29">
        <w:t>023</w:t>
      </w:r>
      <w:r w:rsidR="00324064">
        <w:t>,</w:t>
      </w:r>
      <w:r w:rsidR="00C71B29">
        <w:t xml:space="preserve"> och bestämmelser</w:t>
      </w:r>
      <w:r w:rsidR="00AA6BC8">
        <w:t>na</w:t>
      </w:r>
      <w:r w:rsidR="00C71B29" w:rsidRPr="00C71B29">
        <w:t xml:space="preserve"> om produktanmälan och rapporteringsskyldighet den 1 januari 2024.</w:t>
      </w:r>
      <w:r w:rsidR="00C71B29">
        <w:t xml:space="preserve"> </w:t>
      </w:r>
    </w:p>
    <w:p w14:paraId="6005A38F" w14:textId="77777777" w:rsidR="00384583" w:rsidRDefault="00384583" w:rsidP="00B66C5E">
      <w:pPr>
        <w:tabs>
          <w:tab w:val="left" w:pos="4519"/>
        </w:tabs>
      </w:pPr>
    </w:p>
    <w:p w14:paraId="51457E73" w14:textId="07A6D7B3" w:rsidR="005C2156" w:rsidRDefault="00B66C5E" w:rsidP="005C2156">
      <w:pPr>
        <w:tabs>
          <w:tab w:val="left" w:pos="4519"/>
        </w:tabs>
      </w:pPr>
      <w:r w:rsidRPr="00A518AC">
        <w:t xml:space="preserve">Med den nya lagstiftningen </w:t>
      </w:r>
      <w:r>
        <w:t xml:space="preserve">får </w:t>
      </w:r>
      <w:r w:rsidRPr="00A518AC">
        <w:t xml:space="preserve">Folkhälsomyndigheten ett flertal nya uppdrag som nationell tillsynsmyndighet. </w:t>
      </w:r>
      <w:r>
        <w:t>I förordningen (2022:1263) om tobaksfria nikotinprodukter (</w:t>
      </w:r>
      <w:r w:rsidR="00FD4F4A">
        <w:t>FTN</w:t>
      </w:r>
      <w:r>
        <w:t>) ges Folkhälsomyndigheten ett antal bemyndigan</w:t>
      </w:r>
      <w:r w:rsidR="005C2156">
        <w:t xml:space="preserve">den att föreskriva på området. Föreskrifterna </w:t>
      </w:r>
      <w:r w:rsidR="007C6F86">
        <w:t>kompletterar</w:t>
      </w:r>
      <w:r w:rsidR="005C2156">
        <w:t xml:space="preserve"> </w:t>
      </w:r>
      <w:r w:rsidR="00CB6CB9">
        <w:t xml:space="preserve">bestämmelserna i </w:t>
      </w:r>
      <w:r w:rsidR="005C2156">
        <w:t>lag och förordning</w:t>
      </w:r>
      <w:r w:rsidR="00FD4F4A">
        <w:t>.</w:t>
      </w:r>
      <w:r w:rsidR="006E5548">
        <w:t xml:space="preserve"> Föreskrifterna kommer att avse</w:t>
      </w:r>
      <w:r w:rsidR="005C2156">
        <w:t xml:space="preserve"> produktanmälan, rapporteringsskyl</w:t>
      </w:r>
      <w:r w:rsidR="006E5548">
        <w:t xml:space="preserve">dighet, märkning och </w:t>
      </w:r>
      <w:r w:rsidR="005C2156">
        <w:t>underrättelseskyldighet</w:t>
      </w:r>
      <w:r w:rsidR="006E5548">
        <w:t xml:space="preserve"> om produkters brister</w:t>
      </w:r>
      <w:r w:rsidR="005C2156">
        <w:t>.</w:t>
      </w:r>
    </w:p>
    <w:p w14:paraId="065274CB" w14:textId="37B2C393" w:rsidR="00B66C5E" w:rsidRDefault="00B66C5E" w:rsidP="00B66C5E">
      <w:pPr>
        <w:tabs>
          <w:tab w:val="left" w:pos="4519"/>
        </w:tabs>
      </w:pPr>
    </w:p>
    <w:p w14:paraId="2052C0B9" w14:textId="77777777" w:rsidR="00384583" w:rsidRDefault="00384583" w:rsidP="00384583">
      <w:pPr>
        <w:tabs>
          <w:tab w:val="left" w:pos="4519"/>
        </w:tabs>
      </w:pPr>
    </w:p>
    <w:p w14:paraId="7D467D54" w14:textId="4B9C9F2B" w:rsidR="00BF194F" w:rsidRPr="008C0E10" w:rsidRDefault="00BF194F" w:rsidP="00581D41">
      <w:pPr>
        <w:pStyle w:val="Rubrik3"/>
      </w:pPr>
      <w:r w:rsidRPr="008C0E10">
        <w:t xml:space="preserve">Produktanmälan </w:t>
      </w:r>
    </w:p>
    <w:p w14:paraId="67C9797D" w14:textId="688FC0A1" w:rsidR="00BF194F" w:rsidRDefault="00BF194F" w:rsidP="00BF194F">
      <w:pPr>
        <w:rPr>
          <w:rFonts w:cstheme="minorHAnsi"/>
        </w:rPr>
      </w:pPr>
      <w:r w:rsidRPr="00CF2951">
        <w:rPr>
          <w:rFonts w:cstheme="minorHAnsi"/>
        </w:rPr>
        <w:t xml:space="preserve">Av 5 § </w:t>
      </w:r>
      <w:r w:rsidR="00FD4F4A">
        <w:rPr>
          <w:rFonts w:cstheme="minorHAnsi"/>
        </w:rPr>
        <w:t>LTN</w:t>
      </w:r>
      <w:r w:rsidRPr="00CF2951">
        <w:rPr>
          <w:rFonts w:cstheme="minorHAnsi"/>
        </w:rPr>
        <w:t xml:space="preserve"> framgår att tillverkare och importörer ska anmäla alla tobaksfria nikotinprodukter </w:t>
      </w:r>
      <w:r w:rsidR="00D6212F">
        <w:rPr>
          <w:rFonts w:cstheme="minorHAnsi"/>
        </w:rPr>
        <w:t xml:space="preserve">som </w:t>
      </w:r>
      <w:r w:rsidRPr="00CF2951">
        <w:rPr>
          <w:rFonts w:cstheme="minorHAnsi"/>
        </w:rPr>
        <w:t xml:space="preserve">de avser att tillhandahålla konsumenter på marknaden till Folkhälsomyndigheten. Motsvarande krav finns för elektroniska cigaretter och påfyllnadsbehållare i lagen </w:t>
      </w:r>
      <w:r>
        <w:rPr>
          <w:rFonts w:cstheme="minorHAnsi"/>
        </w:rPr>
        <w:t xml:space="preserve">(2018:2088) </w:t>
      </w:r>
      <w:r w:rsidRPr="00CF2951">
        <w:rPr>
          <w:rFonts w:cstheme="minorHAnsi"/>
        </w:rPr>
        <w:t xml:space="preserve">och förordningen </w:t>
      </w:r>
      <w:r>
        <w:rPr>
          <w:rFonts w:cstheme="minorHAnsi"/>
        </w:rPr>
        <w:t xml:space="preserve">(2019:223) </w:t>
      </w:r>
      <w:r w:rsidRPr="00CF2951">
        <w:rPr>
          <w:rFonts w:cstheme="minorHAnsi"/>
        </w:rPr>
        <w:t xml:space="preserve">om tobak och liknande produkter. </w:t>
      </w:r>
    </w:p>
    <w:p w14:paraId="007927AC" w14:textId="77777777" w:rsidR="000A7F89" w:rsidRDefault="000A7F89" w:rsidP="00BF194F">
      <w:pPr>
        <w:rPr>
          <w:rFonts w:cstheme="minorHAnsi"/>
        </w:rPr>
      </w:pPr>
    </w:p>
    <w:p w14:paraId="3746AD8B" w14:textId="6F924B0E" w:rsidR="00BF194F" w:rsidRPr="00CF2951" w:rsidRDefault="00BF194F" w:rsidP="00BF194F">
      <w:pPr>
        <w:rPr>
          <w:rFonts w:cstheme="minorHAnsi"/>
        </w:rPr>
      </w:pPr>
      <w:r w:rsidRPr="001073E8">
        <w:rPr>
          <w:rFonts w:cstheme="minorHAnsi"/>
        </w:rPr>
        <w:t xml:space="preserve">I </w:t>
      </w:r>
      <w:r w:rsidR="00FD4F4A">
        <w:rPr>
          <w:rFonts w:cstheme="minorHAnsi"/>
        </w:rPr>
        <w:t>LTN</w:t>
      </w:r>
      <w:r w:rsidRPr="001073E8">
        <w:rPr>
          <w:rFonts w:cstheme="minorHAnsi"/>
        </w:rPr>
        <w:t xml:space="preserve"> </w:t>
      </w:r>
      <w:r>
        <w:rPr>
          <w:rFonts w:cstheme="minorHAnsi"/>
        </w:rPr>
        <w:t xml:space="preserve">och i förslaget till ändring av </w:t>
      </w:r>
      <w:r w:rsidR="00FD4F4A">
        <w:rPr>
          <w:rFonts w:cstheme="minorHAnsi"/>
        </w:rPr>
        <w:t>FTN</w:t>
      </w:r>
      <w:r>
        <w:rPr>
          <w:rFonts w:cstheme="minorHAnsi"/>
        </w:rPr>
        <w:t xml:space="preserve"> </w:t>
      </w:r>
      <w:r w:rsidRPr="001073E8">
        <w:rPr>
          <w:rFonts w:cstheme="minorHAnsi"/>
        </w:rPr>
        <w:t xml:space="preserve">har vissa grundläggande krav för produktanmälan tagits med. </w:t>
      </w:r>
      <w:r>
        <w:rPr>
          <w:rFonts w:cstheme="minorHAnsi"/>
        </w:rPr>
        <w:t xml:space="preserve">Det som i första hand ligger på </w:t>
      </w:r>
      <w:r w:rsidR="008778F5">
        <w:rPr>
          <w:rFonts w:cstheme="minorHAnsi"/>
        </w:rPr>
        <w:t>Folkhälso</w:t>
      </w:r>
      <w:r>
        <w:rPr>
          <w:rFonts w:cstheme="minorHAnsi"/>
        </w:rPr>
        <w:t>myndigheten att reglera är hur den elektroniska anmälan ska utformas och lämnas</w:t>
      </w:r>
      <w:r w:rsidR="00CB3015">
        <w:rPr>
          <w:rFonts w:cstheme="minorHAnsi"/>
        </w:rPr>
        <w:t>.</w:t>
      </w:r>
      <w:r>
        <w:rPr>
          <w:rFonts w:cstheme="minorHAnsi"/>
        </w:rPr>
        <w:t xml:space="preserve"> </w:t>
      </w:r>
    </w:p>
    <w:p w14:paraId="1DA9698B" w14:textId="77777777" w:rsidR="003A153F" w:rsidRDefault="003A153F" w:rsidP="00BF194F">
      <w:pPr>
        <w:rPr>
          <w:rFonts w:cstheme="minorHAnsi"/>
        </w:rPr>
      </w:pPr>
    </w:p>
    <w:p w14:paraId="316FA8B6" w14:textId="2F4DBE99" w:rsidR="00761089" w:rsidRDefault="00BF194F" w:rsidP="00BF194F">
      <w:pPr>
        <w:rPr>
          <w:rFonts w:cstheme="minorHAnsi"/>
        </w:rPr>
      </w:pPr>
      <w:r>
        <w:rPr>
          <w:rFonts w:cstheme="minorHAnsi"/>
        </w:rPr>
        <w:t>Produktanmälan för tobaksvaror och elektroniska cigaretter styrs av beslut från EU-kommissionen vad gäller format. Utifrån att tobaksfria nikotinprodukter bedömts vara likvärdiga som tobak och elektroniska cigaretter ur ett hälsoperspektiv</w:t>
      </w:r>
      <w:r w:rsidR="002E2AAC">
        <w:rPr>
          <w:rFonts w:cstheme="minorHAnsi"/>
        </w:rPr>
        <w:t>,</w:t>
      </w:r>
      <w:r>
        <w:rPr>
          <w:rFonts w:cstheme="minorHAnsi"/>
        </w:rPr>
        <w:t xml:space="preserve"> bör bestämmelserna kring produktanmälan av tobaksfria nikotinprodukter formuleras i föreskrifter på samma sätt som gäller för övriga produkter. </w:t>
      </w:r>
      <w:r w:rsidR="00982291">
        <w:rPr>
          <w:rFonts w:cstheme="minorHAnsi"/>
        </w:rPr>
        <w:t xml:space="preserve">Eftersom </w:t>
      </w:r>
      <w:r>
        <w:rPr>
          <w:rFonts w:cstheme="minorHAnsi"/>
        </w:rPr>
        <w:t>de aktuella produkterna inte</w:t>
      </w:r>
      <w:r w:rsidRPr="00A80ADC">
        <w:rPr>
          <w:rFonts w:cstheme="minorHAnsi"/>
        </w:rPr>
        <w:t xml:space="preserve"> </w:t>
      </w:r>
      <w:r>
        <w:rPr>
          <w:rFonts w:cstheme="minorHAnsi"/>
        </w:rPr>
        <w:t xml:space="preserve">är </w:t>
      </w:r>
      <w:r w:rsidRPr="00A80ADC">
        <w:rPr>
          <w:rFonts w:cstheme="minorHAnsi"/>
        </w:rPr>
        <w:t xml:space="preserve">EU-harmoniserade </w:t>
      </w:r>
      <w:r w:rsidR="00982291">
        <w:rPr>
          <w:rFonts w:cstheme="minorHAnsi"/>
        </w:rPr>
        <w:t xml:space="preserve">går det </w:t>
      </w:r>
      <w:r>
        <w:rPr>
          <w:rFonts w:cstheme="minorHAnsi"/>
        </w:rPr>
        <w:t>inte</w:t>
      </w:r>
      <w:r w:rsidRPr="00A80ADC">
        <w:rPr>
          <w:rFonts w:cstheme="minorHAnsi"/>
        </w:rPr>
        <w:t xml:space="preserve"> </w:t>
      </w:r>
      <w:r w:rsidR="00982291">
        <w:rPr>
          <w:rFonts w:cstheme="minorHAnsi"/>
        </w:rPr>
        <w:t xml:space="preserve">att använda </w:t>
      </w:r>
      <w:r w:rsidRPr="00A80ADC">
        <w:rPr>
          <w:rFonts w:cstheme="minorHAnsi"/>
        </w:rPr>
        <w:t>befintliga system</w:t>
      </w:r>
      <w:r>
        <w:rPr>
          <w:rFonts w:cstheme="minorHAnsi"/>
        </w:rPr>
        <w:t>. Därför anser Folkhälsomyndigheten att n</w:t>
      </w:r>
      <w:r w:rsidRPr="00A80ADC">
        <w:rPr>
          <w:rFonts w:cstheme="minorHAnsi"/>
        </w:rPr>
        <w:t xml:space="preserve">ationella föreskrifter </w:t>
      </w:r>
      <w:r>
        <w:rPr>
          <w:rFonts w:cstheme="minorHAnsi"/>
        </w:rPr>
        <w:t>bör t</w:t>
      </w:r>
      <w:r w:rsidRPr="00A80ADC">
        <w:rPr>
          <w:rFonts w:cstheme="minorHAnsi"/>
        </w:rPr>
        <w:t>as fram</w:t>
      </w:r>
      <w:r>
        <w:rPr>
          <w:rFonts w:cstheme="minorHAnsi"/>
        </w:rPr>
        <w:t xml:space="preserve">. </w:t>
      </w:r>
    </w:p>
    <w:p w14:paraId="39BFFC33" w14:textId="77777777" w:rsidR="00761089" w:rsidRDefault="00761089" w:rsidP="00BF194F">
      <w:pPr>
        <w:rPr>
          <w:rFonts w:cstheme="minorHAnsi"/>
        </w:rPr>
      </w:pPr>
    </w:p>
    <w:p w14:paraId="2D7C6E03" w14:textId="7C13B32E" w:rsidR="00BF194F" w:rsidRDefault="0010247B" w:rsidP="00BF194F">
      <w:pPr>
        <w:rPr>
          <w:rFonts w:cstheme="minorHAnsi"/>
        </w:rPr>
      </w:pPr>
      <w:r>
        <w:rPr>
          <w:rFonts w:cstheme="minorHAnsi"/>
        </w:rPr>
        <w:t>Myndigheten</w:t>
      </w:r>
      <w:r w:rsidR="003F7F87">
        <w:rPr>
          <w:rFonts w:cstheme="minorHAnsi"/>
        </w:rPr>
        <w:t xml:space="preserve"> </w:t>
      </w:r>
      <w:r w:rsidR="00BF194F">
        <w:rPr>
          <w:rFonts w:cstheme="minorHAnsi"/>
        </w:rPr>
        <w:t xml:space="preserve">anser </w:t>
      </w:r>
      <w:r w:rsidR="006301D2">
        <w:rPr>
          <w:rFonts w:cstheme="minorHAnsi"/>
        </w:rPr>
        <w:t xml:space="preserve">dock </w:t>
      </w:r>
      <w:r w:rsidR="00BF194F">
        <w:rPr>
          <w:rFonts w:cstheme="minorHAnsi"/>
        </w:rPr>
        <w:t xml:space="preserve">att föreskrifterna bör </w:t>
      </w:r>
      <w:r w:rsidR="00C576C7">
        <w:rPr>
          <w:rFonts w:cstheme="minorHAnsi"/>
        </w:rPr>
        <w:t>begränsas till</w:t>
      </w:r>
      <w:r w:rsidR="00BF194F">
        <w:rPr>
          <w:rFonts w:cstheme="minorHAnsi"/>
        </w:rPr>
        <w:t xml:space="preserve"> att reglera vilken teknisk lösning som ska användas vid produktanmälan</w:t>
      </w:r>
      <w:r w:rsidR="008D340E">
        <w:rPr>
          <w:rFonts w:cstheme="minorHAnsi"/>
        </w:rPr>
        <w:t>.</w:t>
      </w:r>
      <w:r w:rsidR="00BF194F">
        <w:rPr>
          <w:rFonts w:cstheme="minorHAnsi"/>
        </w:rPr>
        <w:t xml:space="preserve"> </w:t>
      </w:r>
      <w:r w:rsidR="008D340E">
        <w:rPr>
          <w:rFonts w:cstheme="minorHAnsi"/>
        </w:rPr>
        <w:t>D</w:t>
      </w:r>
      <w:r w:rsidR="00BF194F">
        <w:rPr>
          <w:rFonts w:cstheme="minorHAnsi"/>
        </w:rPr>
        <w:t>etalj</w:t>
      </w:r>
      <w:r w:rsidR="00333BE3">
        <w:rPr>
          <w:rFonts w:cstheme="minorHAnsi"/>
        </w:rPr>
        <w:t>erna i</w:t>
      </w:r>
      <w:r w:rsidR="00BF194F">
        <w:rPr>
          <w:rFonts w:cstheme="minorHAnsi"/>
        </w:rPr>
        <w:t xml:space="preserve"> utformning</w:t>
      </w:r>
      <w:r w:rsidR="00761089">
        <w:rPr>
          <w:rFonts w:cstheme="minorHAnsi"/>
        </w:rPr>
        <w:t>en</w:t>
      </w:r>
      <w:r w:rsidR="00BF194F">
        <w:rPr>
          <w:rFonts w:cstheme="minorHAnsi"/>
        </w:rPr>
        <w:t xml:space="preserve"> av </w:t>
      </w:r>
      <w:r w:rsidR="00761089">
        <w:rPr>
          <w:rFonts w:cstheme="minorHAnsi"/>
        </w:rPr>
        <w:t xml:space="preserve">själva </w:t>
      </w:r>
      <w:r w:rsidR="00BF194F">
        <w:rPr>
          <w:rFonts w:cstheme="minorHAnsi"/>
        </w:rPr>
        <w:t xml:space="preserve">anmälan bör </w:t>
      </w:r>
      <w:r w:rsidR="00333BE3">
        <w:rPr>
          <w:rFonts w:cstheme="minorHAnsi"/>
        </w:rPr>
        <w:t xml:space="preserve">avgöras </w:t>
      </w:r>
      <w:r w:rsidR="00C576C7">
        <w:rPr>
          <w:rFonts w:cstheme="minorHAnsi"/>
        </w:rPr>
        <w:t>i den</w:t>
      </w:r>
      <w:r w:rsidR="00BF194F">
        <w:rPr>
          <w:rFonts w:cstheme="minorHAnsi"/>
        </w:rPr>
        <w:t xml:space="preserve"> tekniska lösning</w:t>
      </w:r>
      <w:r w:rsidR="00C576C7">
        <w:rPr>
          <w:rFonts w:cstheme="minorHAnsi"/>
        </w:rPr>
        <w:t>en</w:t>
      </w:r>
      <w:r w:rsidR="00BF194F">
        <w:rPr>
          <w:rFonts w:cstheme="minorHAnsi"/>
        </w:rPr>
        <w:t xml:space="preserve">. </w:t>
      </w:r>
    </w:p>
    <w:p w14:paraId="19952BA1" w14:textId="77777777" w:rsidR="00BF194F" w:rsidRDefault="00BF194F" w:rsidP="00BF194F">
      <w:pPr>
        <w:rPr>
          <w:rFonts w:cstheme="minorHAnsi"/>
        </w:rPr>
      </w:pPr>
    </w:p>
    <w:p w14:paraId="0AB77E5B" w14:textId="784C88BC" w:rsidR="00BF194F" w:rsidRPr="008C0E10" w:rsidRDefault="00BF194F" w:rsidP="00581D41">
      <w:pPr>
        <w:pStyle w:val="Rubrik3"/>
      </w:pPr>
      <w:r w:rsidRPr="008C0E10">
        <w:t xml:space="preserve">Innehållsdeklaration och hälsovarning  </w:t>
      </w:r>
    </w:p>
    <w:p w14:paraId="3C772BBF" w14:textId="77777777" w:rsidR="00BF194F" w:rsidRDefault="00BF194F" w:rsidP="00BF194F">
      <w:pPr>
        <w:rPr>
          <w:rFonts w:asciiTheme="majorHAnsi" w:hAnsiTheme="majorHAnsi" w:cstheme="majorHAnsi"/>
          <w:i/>
        </w:rPr>
      </w:pPr>
    </w:p>
    <w:p w14:paraId="42D60B30" w14:textId="37A9655D" w:rsidR="00BF194F" w:rsidRPr="00581D41" w:rsidRDefault="00BF194F" w:rsidP="00BF194F">
      <w:pPr>
        <w:rPr>
          <w:rFonts w:asciiTheme="majorHAnsi" w:hAnsiTheme="majorHAnsi" w:cstheme="majorHAnsi"/>
          <w:i/>
          <w:sz w:val="18"/>
          <w:szCs w:val="18"/>
        </w:rPr>
      </w:pPr>
      <w:r w:rsidRPr="00581D41">
        <w:rPr>
          <w:rFonts w:asciiTheme="majorHAnsi" w:hAnsiTheme="majorHAnsi" w:cstheme="majorHAnsi"/>
          <w:i/>
          <w:sz w:val="18"/>
          <w:szCs w:val="18"/>
        </w:rPr>
        <w:t>Innehållsdeklaration</w:t>
      </w:r>
    </w:p>
    <w:p w14:paraId="213A6B71" w14:textId="57D04EF3" w:rsidR="00BF194F" w:rsidRDefault="00BF194F" w:rsidP="00BF194F">
      <w:pPr>
        <w:rPr>
          <w:rFonts w:cstheme="minorHAnsi"/>
        </w:rPr>
      </w:pPr>
      <w:r>
        <w:rPr>
          <w:rFonts w:cstheme="minorHAnsi"/>
        </w:rPr>
        <w:t xml:space="preserve">Enligt 7 § </w:t>
      </w:r>
      <w:r w:rsidR="00FD4F4A">
        <w:rPr>
          <w:rFonts w:cstheme="minorHAnsi"/>
        </w:rPr>
        <w:t>LTN</w:t>
      </w:r>
      <w:r>
        <w:rPr>
          <w:rFonts w:cstheme="minorHAnsi"/>
        </w:rPr>
        <w:t xml:space="preserve"> ska förpackningar till tobaksfria nikotinprodukter förses med en innehållsdeklaration. I förslaget till ändring av </w:t>
      </w:r>
      <w:r w:rsidR="00FD4F4A">
        <w:rPr>
          <w:rFonts w:cstheme="minorHAnsi"/>
        </w:rPr>
        <w:t>FTN</w:t>
      </w:r>
      <w:r>
        <w:rPr>
          <w:rFonts w:cstheme="minorHAnsi"/>
        </w:rPr>
        <w:t xml:space="preserve"> har regeringen föreslagit vad en innehållsdeklaration ska innehålla. De</w:t>
      </w:r>
      <w:r w:rsidR="00173C8F">
        <w:rPr>
          <w:rFonts w:cstheme="minorHAnsi"/>
        </w:rPr>
        <w:t>t</w:t>
      </w:r>
      <w:r>
        <w:rPr>
          <w:rFonts w:cstheme="minorHAnsi"/>
        </w:rPr>
        <w:t xml:space="preserve"> motsvarar i stort den reglering som finns för elektroniska cigaretter. </w:t>
      </w:r>
      <w:r w:rsidR="007E32E4">
        <w:rPr>
          <w:rFonts w:cstheme="minorHAnsi"/>
        </w:rPr>
        <w:t>Folkhälsom</w:t>
      </w:r>
      <w:r>
        <w:rPr>
          <w:rFonts w:cstheme="minorHAnsi"/>
        </w:rPr>
        <w:t xml:space="preserve">yndigheten har genom föreskrifter reglerat språkkrav för innehållsdeklaration när det gäller elektroniska cigaretter (6 § (HSLF-FS 2018:41)). </w:t>
      </w:r>
      <w:r w:rsidR="007E32E4">
        <w:rPr>
          <w:rFonts w:cstheme="minorHAnsi"/>
        </w:rPr>
        <w:t xml:space="preserve">Vi </w:t>
      </w:r>
      <w:r>
        <w:rPr>
          <w:rFonts w:cstheme="minorHAnsi"/>
        </w:rPr>
        <w:t>föreslår</w:t>
      </w:r>
      <w:r w:rsidR="00CA3C54">
        <w:rPr>
          <w:rFonts w:cstheme="minorHAnsi"/>
        </w:rPr>
        <w:t>, utöver bestämmelse</w:t>
      </w:r>
      <w:r w:rsidR="0010247B">
        <w:rPr>
          <w:rFonts w:cstheme="minorHAnsi"/>
        </w:rPr>
        <w:t>n</w:t>
      </w:r>
      <w:r w:rsidR="00CA3C54">
        <w:rPr>
          <w:rFonts w:cstheme="minorHAnsi"/>
        </w:rPr>
        <w:t xml:space="preserve"> om språkkrav</w:t>
      </w:r>
      <w:r w:rsidR="0010247B">
        <w:rPr>
          <w:rFonts w:cstheme="minorHAnsi"/>
        </w:rPr>
        <w:t xml:space="preserve"> </w:t>
      </w:r>
      <w:r w:rsidR="00CA3C54">
        <w:rPr>
          <w:rFonts w:cstheme="minorHAnsi"/>
        </w:rPr>
        <w:t xml:space="preserve">även </w:t>
      </w:r>
      <w:r>
        <w:rPr>
          <w:rFonts w:cstheme="minorHAnsi"/>
        </w:rPr>
        <w:t>föreskrifter om utformning</w:t>
      </w:r>
      <w:r w:rsidR="000754AA">
        <w:rPr>
          <w:rFonts w:cstheme="minorHAnsi"/>
        </w:rPr>
        <w:t>en</w:t>
      </w:r>
      <w:r>
        <w:rPr>
          <w:rFonts w:cstheme="minorHAnsi"/>
        </w:rPr>
        <w:t xml:space="preserve"> av innehållsdeklaration</w:t>
      </w:r>
      <w:r w:rsidR="0010247B">
        <w:rPr>
          <w:rFonts w:cstheme="minorHAnsi"/>
        </w:rPr>
        <w:t xml:space="preserve">en, bland annat </w:t>
      </w:r>
      <w:r>
        <w:rPr>
          <w:rFonts w:cstheme="minorHAnsi"/>
        </w:rPr>
        <w:t>placering, storlek och typsnitt</w:t>
      </w:r>
      <w:r w:rsidR="00900290">
        <w:rPr>
          <w:rFonts w:cstheme="minorHAnsi"/>
        </w:rPr>
        <w:t xml:space="preserve">. </w:t>
      </w:r>
      <w:r w:rsidR="00815242">
        <w:rPr>
          <w:rFonts w:cstheme="minorHAnsi"/>
        </w:rPr>
        <w:t>Syfte</w:t>
      </w:r>
      <w:r w:rsidR="00EA76E4">
        <w:rPr>
          <w:rFonts w:cstheme="minorHAnsi"/>
        </w:rPr>
        <w:t>t</w:t>
      </w:r>
      <w:r w:rsidR="00815242">
        <w:rPr>
          <w:rFonts w:cstheme="minorHAnsi"/>
        </w:rPr>
        <w:t xml:space="preserve"> är </w:t>
      </w:r>
      <w:r w:rsidR="00E52641">
        <w:rPr>
          <w:rFonts w:cstheme="minorHAnsi"/>
        </w:rPr>
        <w:t xml:space="preserve">att det </w:t>
      </w:r>
      <w:r w:rsidR="004C3091">
        <w:rPr>
          <w:rFonts w:cstheme="minorHAnsi"/>
        </w:rPr>
        <w:t xml:space="preserve">ska </w:t>
      </w:r>
      <w:r w:rsidR="00AD2401">
        <w:rPr>
          <w:rFonts w:cstheme="minorHAnsi"/>
        </w:rPr>
        <w:t>var</w:t>
      </w:r>
      <w:r w:rsidR="00B07A10">
        <w:rPr>
          <w:rFonts w:cstheme="minorHAnsi"/>
        </w:rPr>
        <w:t>a</w:t>
      </w:r>
      <w:r w:rsidR="00AD2401">
        <w:rPr>
          <w:rFonts w:cstheme="minorHAnsi"/>
        </w:rPr>
        <w:t xml:space="preserve"> tydligt</w:t>
      </w:r>
      <w:r w:rsidR="004C3091">
        <w:rPr>
          <w:rFonts w:cstheme="minorHAnsi"/>
        </w:rPr>
        <w:t xml:space="preserve"> för </w:t>
      </w:r>
      <w:r w:rsidR="00E52641">
        <w:rPr>
          <w:rFonts w:cstheme="minorHAnsi"/>
        </w:rPr>
        <w:t>konsumente</w:t>
      </w:r>
      <w:r w:rsidR="004C3091">
        <w:rPr>
          <w:rFonts w:cstheme="minorHAnsi"/>
        </w:rPr>
        <w:t>rna</w:t>
      </w:r>
      <w:r w:rsidR="00E52641">
        <w:rPr>
          <w:rFonts w:cstheme="minorHAnsi"/>
        </w:rPr>
        <w:t xml:space="preserve"> vilka ämnen och andra ingredienser produkten innehåller. </w:t>
      </w:r>
      <w:r w:rsidR="00900290">
        <w:rPr>
          <w:rFonts w:cstheme="minorHAnsi"/>
        </w:rPr>
        <w:t>Eftersom omställningsperioden för att anpassa sig till de nya kraven på märkning får anses vara förhållandevis kort</w:t>
      </w:r>
      <w:r w:rsidR="00AD2401">
        <w:rPr>
          <w:rFonts w:cstheme="minorHAnsi"/>
        </w:rPr>
        <w:t>,</w:t>
      </w:r>
      <w:r w:rsidR="00900290">
        <w:rPr>
          <w:rFonts w:cstheme="minorHAnsi"/>
        </w:rPr>
        <w:t xml:space="preserve"> föreslår </w:t>
      </w:r>
      <w:r w:rsidR="00EA76E4">
        <w:rPr>
          <w:rFonts w:cstheme="minorHAnsi"/>
        </w:rPr>
        <w:t xml:space="preserve">vi </w:t>
      </w:r>
      <w:r w:rsidR="00900290">
        <w:rPr>
          <w:rFonts w:cstheme="minorHAnsi"/>
        </w:rPr>
        <w:t>att</w:t>
      </w:r>
      <w:r>
        <w:rPr>
          <w:rFonts w:cstheme="minorHAnsi"/>
        </w:rPr>
        <w:t xml:space="preserve"> </w:t>
      </w:r>
      <w:r w:rsidR="00900290">
        <w:rPr>
          <w:rFonts w:cstheme="minorHAnsi"/>
        </w:rPr>
        <w:t>det ska vara möjligt att använda klistermärken för att förse förpackning</w:t>
      </w:r>
      <w:r w:rsidR="00173C8F">
        <w:rPr>
          <w:rFonts w:cstheme="minorHAnsi"/>
        </w:rPr>
        <w:t>arna</w:t>
      </w:r>
      <w:r w:rsidR="00900290">
        <w:rPr>
          <w:rFonts w:cstheme="minorHAnsi"/>
        </w:rPr>
        <w:t xml:space="preserve"> med innehållsdeklaration. </w:t>
      </w:r>
    </w:p>
    <w:p w14:paraId="59388173" w14:textId="77777777" w:rsidR="00BF194F" w:rsidRDefault="00BF194F" w:rsidP="00BF194F">
      <w:pPr>
        <w:rPr>
          <w:rFonts w:cstheme="minorHAnsi"/>
        </w:rPr>
      </w:pPr>
      <w:r>
        <w:rPr>
          <w:rFonts w:cstheme="minorHAnsi"/>
        </w:rPr>
        <w:t xml:space="preserve"> </w:t>
      </w:r>
    </w:p>
    <w:p w14:paraId="67CB09D8" w14:textId="0EB6CEDD" w:rsidR="00BF194F" w:rsidRPr="00581D41" w:rsidRDefault="00BF194F" w:rsidP="00BF194F">
      <w:pPr>
        <w:rPr>
          <w:rFonts w:asciiTheme="majorHAnsi" w:hAnsiTheme="majorHAnsi" w:cstheme="majorHAnsi"/>
          <w:i/>
          <w:sz w:val="18"/>
          <w:szCs w:val="18"/>
        </w:rPr>
      </w:pPr>
      <w:r w:rsidRPr="00581D41">
        <w:rPr>
          <w:rFonts w:asciiTheme="majorHAnsi" w:hAnsiTheme="majorHAnsi" w:cstheme="majorHAnsi"/>
          <w:i/>
          <w:sz w:val="18"/>
          <w:szCs w:val="18"/>
        </w:rPr>
        <w:t>Hälsovarning</w:t>
      </w:r>
    </w:p>
    <w:p w14:paraId="4C71EB09" w14:textId="288626B7" w:rsidR="00BF194F" w:rsidRDefault="00BF194F" w:rsidP="00BF194F">
      <w:pPr>
        <w:rPr>
          <w:rFonts w:cstheme="minorHAnsi"/>
        </w:rPr>
      </w:pPr>
      <w:r>
        <w:rPr>
          <w:rFonts w:cstheme="minorHAnsi"/>
        </w:rPr>
        <w:t xml:space="preserve">Av 7 § </w:t>
      </w:r>
      <w:r w:rsidR="00FD4F4A">
        <w:rPr>
          <w:rFonts w:cstheme="minorHAnsi"/>
        </w:rPr>
        <w:t>LTN</w:t>
      </w:r>
      <w:r>
        <w:rPr>
          <w:rFonts w:cstheme="minorHAnsi"/>
        </w:rPr>
        <w:t xml:space="preserve"> framgår att förpackningar till tobaksfria nikotinprodukter ska förses med en hälsovarning. </w:t>
      </w:r>
      <w:r w:rsidRPr="00233C1A">
        <w:rPr>
          <w:rFonts w:cstheme="minorHAnsi"/>
        </w:rPr>
        <w:t>Regeringen</w:t>
      </w:r>
      <w:r>
        <w:rPr>
          <w:rFonts w:cstheme="minorHAnsi"/>
        </w:rPr>
        <w:t xml:space="preserve"> har i </w:t>
      </w:r>
      <w:r w:rsidRPr="00233C1A">
        <w:rPr>
          <w:rFonts w:cstheme="minorHAnsi"/>
        </w:rPr>
        <w:t xml:space="preserve">förordning föreslagit följande varningstext: ”Denna produkt innehåller nikotin som är ett mycket beroendeframkallande ämne”. </w:t>
      </w:r>
    </w:p>
    <w:p w14:paraId="5DA2F202" w14:textId="77777777" w:rsidR="004E3D66" w:rsidRDefault="004E3D66" w:rsidP="00BF194F">
      <w:pPr>
        <w:rPr>
          <w:rFonts w:cstheme="minorHAnsi"/>
        </w:rPr>
      </w:pPr>
    </w:p>
    <w:p w14:paraId="2A4127B2" w14:textId="2CAB798B" w:rsidR="005069DB" w:rsidRDefault="00BF194F" w:rsidP="00BF194F">
      <w:pPr>
        <w:rPr>
          <w:rFonts w:cstheme="minorHAnsi"/>
        </w:rPr>
      </w:pPr>
      <w:r w:rsidRPr="00233C1A">
        <w:rPr>
          <w:rFonts w:cstheme="minorHAnsi"/>
        </w:rPr>
        <w:t xml:space="preserve">Några detaljerade krav på utformning av </w:t>
      </w:r>
      <w:r>
        <w:rPr>
          <w:rFonts w:cstheme="minorHAnsi"/>
        </w:rPr>
        <w:t>hälsovarning</w:t>
      </w:r>
      <w:r w:rsidRPr="00233C1A">
        <w:rPr>
          <w:rFonts w:cstheme="minorHAnsi"/>
        </w:rPr>
        <w:t xml:space="preserve"> finns emellertid inte i </w:t>
      </w:r>
      <w:r w:rsidR="000833EB">
        <w:rPr>
          <w:rFonts w:cstheme="minorHAnsi"/>
        </w:rPr>
        <w:t>förordningen</w:t>
      </w:r>
      <w:r w:rsidR="00A42003">
        <w:rPr>
          <w:rFonts w:cstheme="minorHAnsi"/>
        </w:rPr>
        <w:t>.</w:t>
      </w:r>
      <w:r w:rsidRPr="00233C1A">
        <w:rPr>
          <w:rFonts w:cstheme="minorHAnsi"/>
        </w:rPr>
        <w:t xml:space="preserve"> </w:t>
      </w:r>
      <w:r w:rsidR="00516B50">
        <w:rPr>
          <w:rFonts w:cstheme="minorHAnsi"/>
        </w:rPr>
        <w:t xml:space="preserve">Det är en </w:t>
      </w:r>
      <w:r w:rsidRPr="00233C1A">
        <w:rPr>
          <w:rFonts w:cstheme="minorHAnsi"/>
        </w:rPr>
        <w:t>skillnad från elektroniska cigaretter och påfyllnadsbehållare, som har dessa krav i förordningen om tobak och liknande produkter.</w:t>
      </w:r>
      <w:r>
        <w:rPr>
          <w:rFonts w:cstheme="minorHAnsi"/>
        </w:rPr>
        <w:t xml:space="preserve"> Eftersom de produkter som nu är i fråga </w:t>
      </w:r>
      <w:r w:rsidR="00D9089F">
        <w:rPr>
          <w:rFonts w:cstheme="minorHAnsi"/>
        </w:rPr>
        <w:t xml:space="preserve">också innehåller nikotin och därför </w:t>
      </w:r>
      <w:r w:rsidR="001F5E5B">
        <w:rPr>
          <w:rFonts w:cstheme="minorHAnsi"/>
        </w:rPr>
        <w:t>medför risker</w:t>
      </w:r>
      <w:r w:rsidR="00D9089F">
        <w:rPr>
          <w:rFonts w:cstheme="minorHAnsi"/>
        </w:rPr>
        <w:t xml:space="preserve"> för </w:t>
      </w:r>
      <w:r>
        <w:rPr>
          <w:rFonts w:cstheme="minorHAnsi"/>
        </w:rPr>
        <w:t>människors hälsa</w:t>
      </w:r>
      <w:r w:rsidR="00036204">
        <w:rPr>
          <w:rFonts w:cstheme="minorHAnsi"/>
        </w:rPr>
        <w:t>,</w:t>
      </w:r>
      <w:r>
        <w:rPr>
          <w:rFonts w:cstheme="minorHAnsi"/>
        </w:rPr>
        <w:t xml:space="preserve"> </w:t>
      </w:r>
      <w:r w:rsidRPr="00233C1A">
        <w:rPr>
          <w:rFonts w:cstheme="minorHAnsi"/>
        </w:rPr>
        <w:t>anser</w:t>
      </w:r>
      <w:r>
        <w:rPr>
          <w:rFonts w:cstheme="minorHAnsi"/>
        </w:rPr>
        <w:t xml:space="preserve"> Folkhälsomyndigheten</w:t>
      </w:r>
      <w:r w:rsidRPr="00233C1A">
        <w:rPr>
          <w:rFonts w:cstheme="minorHAnsi"/>
        </w:rPr>
        <w:t xml:space="preserve"> att </w:t>
      </w:r>
      <w:r w:rsidR="00036204">
        <w:rPr>
          <w:rFonts w:cstheme="minorHAnsi"/>
        </w:rPr>
        <w:t xml:space="preserve">det är nödvändigt att </w:t>
      </w:r>
      <w:r w:rsidRPr="00233C1A">
        <w:rPr>
          <w:rFonts w:cstheme="minorHAnsi"/>
        </w:rPr>
        <w:t>regler</w:t>
      </w:r>
      <w:r w:rsidR="00036204">
        <w:rPr>
          <w:rFonts w:cstheme="minorHAnsi"/>
        </w:rPr>
        <w:t>a</w:t>
      </w:r>
      <w:r w:rsidRPr="00233C1A">
        <w:rPr>
          <w:rFonts w:cstheme="minorHAnsi"/>
        </w:rPr>
        <w:t xml:space="preserve"> utformning</w:t>
      </w:r>
      <w:r w:rsidR="00036204">
        <w:rPr>
          <w:rFonts w:cstheme="minorHAnsi"/>
        </w:rPr>
        <w:t>en</w:t>
      </w:r>
      <w:r w:rsidRPr="00233C1A">
        <w:rPr>
          <w:rFonts w:cstheme="minorHAnsi"/>
        </w:rPr>
        <w:t xml:space="preserve"> av hälsovarning</w:t>
      </w:r>
      <w:r w:rsidR="00036204">
        <w:rPr>
          <w:rFonts w:cstheme="minorHAnsi"/>
        </w:rPr>
        <w:t>en</w:t>
      </w:r>
      <w:r w:rsidRPr="00233C1A">
        <w:rPr>
          <w:rFonts w:cstheme="minorHAnsi"/>
        </w:rPr>
        <w:t xml:space="preserve"> </w:t>
      </w:r>
      <w:r w:rsidR="00C53085">
        <w:rPr>
          <w:rFonts w:cstheme="minorHAnsi"/>
        </w:rPr>
        <w:t>på samma sått som för</w:t>
      </w:r>
      <w:r w:rsidRPr="00233C1A">
        <w:rPr>
          <w:rFonts w:cstheme="minorHAnsi"/>
        </w:rPr>
        <w:t xml:space="preserve"> tobak och liknande produkter</w:t>
      </w:r>
      <w:r>
        <w:rPr>
          <w:rFonts w:cstheme="minorHAnsi"/>
        </w:rPr>
        <w:t>. Det blir därmed också tydligt för tillsynsmyndigheter</w:t>
      </w:r>
      <w:r w:rsidR="00C53085">
        <w:rPr>
          <w:rFonts w:cstheme="minorHAnsi"/>
        </w:rPr>
        <w:t>na</w:t>
      </w:r>
      <w:r>
        <w:rPr>
          <w:rFonts w:cstheme="minorHAnsi"/>
        </w:rPr>
        <w:t xml:space="preserve"> vad som gäller </w:t>
      </w:r>
      <w:r w:rsidR="00C53085">
        <w:rPr>
          <w:rFonts w:cstheme="minorHAnsi"/>
        </w:rPr>
        <w:t xml:space="preserve">när </w:t>
      </w:r>
      <w:r w:rsidR="005069DB">
        <w:rPr>
          <w:rFonts w:cstheme="minorHAnsi"/>
        </w:rPr>
        <w:t>reglerna</w:t>
      </w:r>
      <w:r>
        <w:rPr>
          <w:rFonts w:cstheme="minorHAnsi"/>
        </w:rPr>
        <w:t xml:space="preserve"> är likarta</w:t>
      </w:r>
      <w:r w:rsidR="005069DB">
        <w:rPr>
          <w:rFonts w:cstheme="minorHAnsi"/>
        </w:rPr>
        <w:t>de</w:t>
      </w:r>
      <w:r>
        <w:rPr>
          <w:rFonts w:cstheme="minorHAnsi"/>
        </w:rPr>
        <w:t xml:space="preserve">. </w:t>
      </w:r>
    </w:p>
    <w:p w14:paraId="44292B1C" w14:textId="77777777" w:rsidR="005069DB" w:rsidRDefault="005069DB" w:rsidP="00BF194F">
      <w:pPr>
        <w:rPr>
          <w:rFonts w:cstheme="minorHAnsi"/>
        </w:rPr>
      </w:pPr>
    </w:p>
    <w:p w14:paraId="4952879E" w14:textId="3E8BE8CF" w:rsidR="00BF194F" w:rsidRDefault="00D75489" w:rsidP="00BF194F">
      <w:pPr>
        <w:rPr>
          <w:rFonts w:cstheme="minorHAnsi"/>
        </w:rPr>
      </w:pPr>
      <w:r>
        <w:rPr>
          <w:rFonts w:cstheme="minorHAnsi"/>
        </w:rPr>
        <w:t xml:space="preserve">Folkhälsomyndigheten </w:t>
      </w:r>
      <w:r w:rsidR="00BF194F">
        <w:rPr>
          <w:rFonts w:cstheme="minorHAnsi"/>
        </w:rPr>
        <w:t>föreslår därför att föreskrifter utfärdas om hälsovarningens placering, storlek och typsnitt.</w:t>
      </w:r>
      <w:r w:rsidR="00BF194F" w:rsidRPr="00717751">
        <w:rPr>
          <w:rFonts w:cstheme="minorHAnsi"/>
        </w:rPr>
        <w:t xml:space="preserve"> </w:t>
      </w:r>
      <w:r w:rsidR="00900290">
        <w:rPr>
          <w:rFonts w:cstheme="minorHAnsi"/>
        </w:rPr>
        <w:t xml:space="preserve">Eftersom omställningsperioden för att anpassa sig till de nya kraven på märkning får anses vara förhållandevis kort föreslår </w:t>
      </w:r>
      <w:r w:rsidR="003B551D">
        <w:rPr>
          <w:rFonts w:cstheme="minorHAnsi"/>
        </w:rPr>
        <w:t xml:space="preserve">vi </w:t>
      </w:r>
      <w:r w:rsidR="00900290">
        <w:rPr>
          <w:rFonts w:cstheme="minorHAnsi"/>
        </w:rPr>
        <w:t>att det ska vara möjligt att använda klistermärken för att förse förpackning</w:t>
      </w:r>
      <w:r w:rsidR="003B551D">
        <w:rPr>
          <w:rFonts w:cstheme="minorHAnsi"/>
        </w:rPr>
        <w:t>arna</w:t>
      </w:r>
      <w:r w:rsidR="00900290">
        <w:rPr>
          <w:rFonts w:cstheme="minorHAnsi"/>
        </w:rPr>
        <w:t xml:space="preserve"> med hälsovarning.</w:t>
      </w:r>
    </w:p>
    <w:p w14:paraId="7E299FF2" w14:textId="77777777" w:rsidR="00BF194F" w:rsidRDefault="00BF194F" w:rsidP="00BF194F">
      <w:pPr>
        <w:rPr>
          <w:rFonts w:cstheme="minorHAnsi"/>
        </w:rPr>
      </w:pPr>
    </w:p>
    <w:p w14:paraId="36D90F7A" w14:textId="08532D2A" w:rsidR="00D81988" w:rsidRDefault="00D81988" w:rsidP="00BF194F">
      <w:pPr>
        <w:rPr>
          <w:rFonts w:cstheme="minorHAnsi"/>
        </w:rPr>
      </w:pPr>
      <w:r w:rsidRPr="00406CC0">
        <w:t xml:space="preserve">Till skillnad från vad som gäller för tobaksvaror och elektroniska cigaretter är tobaksfria nikotinprodukter inte belagda med marknadsföringsförbud i kommersiella annonser. Hälsovarningarna måste dock tydligt återges vid sådan marknadsföring. Folkhälsomyndigheten har fått bemyndigande att föreskriva om </w:t>
      </w:r>
      <w:r w:rsidR="00485938">
        <w:t>hur sådana</w:t>
      </w:r>
      <w:r w:rsidRPr="00406CC0">
        <w:t xml:space="preserve"> hälsovarningar</w:t>
      </w:r>
      <w:r w:rsidR="00485938">
        <w:t xml:space="preserve"> ska se ut</w:t>
      </w:r>
      <w:r w:rsidRPr="00406CC0">
        <w:t xml:space="preserve"> vid sådan marknadsföring. Eftersom </w:t>
      </w:r>
      <w:r w:rsidR="00E14228">
        <w:t xml:space="preserve">tillgängligheten till </w:t>
      </w:r>
      <w:r w:rsidRPr="00406CC0">
        <w:t>de tobaksfria nikotinprodukterna</w:t>
      </w:r>
      <w:r w:rsidR="00B80BF6">
        <w:t xml:space="preserve"> har</w:t>
      </w:r>
      <w:r w:rsidR="00E14228">
        <w:t xml:space="preserve"> ökat de senaste åren</w:t>
      </w:r>
      <w:r w:rsidR="00B80BF6">
        <w:t>,</w:t>
      </w:r>
      <w:r w:rsidR="00E14228">
        <w:t xml:space="preserve"> finns det en risk att också nikotinberoendet ökar, inte minst bland de unga i </w:t>
      </w:r>
      <w:r w:rsidR="003A153F">
        <w:t>samhället</w:t>
      </w:r>
      <w:r w:rsidR="007B241B">
        <w:rPr>
          <w:rStyle w:val="Fotnotsreferens"/>
        </w:rPr>
        <w:footnoteReference w:id="1"/>
      </w:r>
      <w:r w:rsidR="0048584E">
        <w:t>.</w:t>
      </w:r>
      <w:r w:rsidRPr="00406CC0">
        <w:t xml:space="preserve"> </w:t>
      </w:r>
      <w:r w:rsidR="00B80BF6">
        <w:t>Vi</w:t>
      </w:r>
      <w:r w:rsidR="00B80BF6" w:rsidRPr="00406CC0">
        <w:t xml:space="preserve"> </w:t>
      </w:r>
      <w:r w:rsidR="0048584E">
        <w:t xml:space="preserve">ser </w:t>
      </w:r>
      <w:r w:rsidRPr="00406CC0">
        <w:t xml:space="preserve">det </w:t>
      </w:r>
      <w:r w:rsidR="0048584E">
        <w:t xml:space="preserve">därför </w:t>
      </w:r>
      <w:r w:rsidRPr="00406CC0">
        <w:t>som motiverat att föreskriva på området.</w:t>
      </w:r>
    </w:p>
    <w:p w14:paraId="1DEA082B" w14:textId="64AF46EA" w:rsidR="00BF194F" w:rsidRDefault="00BF194F" w:rsidP="00BF194F"/>
    <w:p w14:paraId="364819D6" w14:textId="77777777" w:rsidR="00BF194F" w:rsidRDefault="00BF194F" w:rsidP="00BF194F"/>
    <w:p w14:paraId="0713F3C6" w14:textId="175D9C6A" w:rsidR="00BF194F" w:rsidRPr="008C0E10" w:rsidRDefault="00BF194F" w:rsidP="00581D41">
      <w:pPr>
        <w:pStyle w:val="Rubrik3"/>
      </w:pPr>
      <w:r w:rsidRPr="008C0E10">
        <w:t xml:space="preserve">Rapporteringsskyldighet </w:t>
      </w:r>
    </w:p>
    <w:p w14:paraId="5819478F" w14:textId="5D159F31" w:rsidR="00BF194F" w:rsidRDefault="00BF194F" w:rsidP="00BF194F">
      <w:pPr>
        <w:rPr>
          <w:rFonts w:cstheme="minorHAnsi"/>
        </w:rPr>
      </w:pPr>
      <w:r w:rsidRPr="00C02EB7">
        <w:rPr>
          <w:rFonts w:cstheme="minorHAnsi"/>
        </w:rPr>
        <w:t xml:space="preserve">Av 14 § </w:t>
      </w:r>
      <w:r w:rsidR="00FD4F4A">
        <w:rPr>
          <w:rFonts w:cstheme="minorHAnsi"/>
        </w:rPr>
        <w:t>LTN</w:t>
      </w:r>
      <w:r w:rsidRPr="00C02EB7">
        <w:rPr>
          <w:rFonts w:cstheme="minorHAnsi"/>
        </w:rPr>
        <w:t xml:space="preserve"> framgår att tillverkare och importörer ska rapportera in uppgifter om försäljningsvolymer och preferenser hos olika konsumentgrupper varje år till Folkhälsomyndigheten. </w:t>
      </w:r>
      <w:r>
        <w:rPr>
          <w:rFonts w:cstheme="minorHAnsi"/>
        </w:rPr>
        <w:t>Liknande</w:t>
      </w:r>
      <w:r w:rsidRPr="00C02EB7">
        <w:rPr>
          <w:rFonts w:cstheme="minorHAnsi"/>
        </w:rPr>
        <w:t xml:space="preserve"> bestämmelser finns för tobaksvaror och elektroniska cigaretter i lagen om tobak och liknande produkter. Regeringen har i sitt förslag till ändring </w:t>
      </w:r>
      <w:r>
        <w:rPr>
          <w:rFonts w:cstheme="minorHAnsi"/>
        </w:rPr>
        <w:t xml:space="preserve">av </w:t>
      </w:r>
      <w:r w:rsidR="00FD4F4A">
        <w:rPr>
          <w:rFonts w:cstheme="minorHAnsi"/>
        </w:rPr>
        <w:t>FTN</w:t>
      </w:r>
      <w:r w:rsidRPr="00C02EB7">
        <w:rPr>
          <w:rFonts w:cstheme="minorHAnsi"/>
        </w:rPr>
        <w:t xml:space="preserve"> infört en bestämmelse med kravet att tillverkare, och i förekommande fall importörer, varje år senast den 31 mars ska lämna de uppgifter </w:t>
      </w:r>
      <w:r w:rsidR="00B2079E" w:rsidRPr="00C02EB7">
        <w:rPr>
          <w:rFonts w:cstheme="minorHAnsi"/>
        </w:rPr>
        <w:t xml:space="preserve">för föregående år </w:t>
      </w:r>
      <w:r w:rsidRPr="00C02EB7">
        <w:rPr>
          <w:rFonts w:cstheme="minorHAnsi"/>
        </w:rPr>
        <w:t>som anges i 14 §</w:t>
      </w:r>
      <w:r>
        <w:rPr>
          <w:rFonts w:cstheme="minorHAnsi"/>
        </w:rPr>
        <w:t>.</w:t>
      </w:r>
      <w:r w:rsidRPr="00C02EB7">
        <w:rPr>
          <w:rFonts w:cstheme="minorHAnsi"/>
        </w:rPr>
        <w:t xml:space="preserve"> </w:t>
      </w:r>
    </w:p>
    <w:p w14:paraId="5C00D8F6" w14:textId="77777777" w:rsidR="00935B95" w:rsidRPr="00C02EB7" w:rsidRDefault="00935B95" w:rsidP="00BF194F">
      <w:pPr>
        <w:rPr>
          <w:rFonts w:cstheme="minorHAnsi"/>
        </w:rPr>
      </w:pPr>
    </w:p>
    <w:p w14:paraId="4FA7A819" w14:textId="49C2A01F" w:rsidR="0086334B" w:rsidRDefault="00B2079E" w:rsidP="00BF194F">
      <w:pPr>
        <w:rPr>
          <w:rFonts w:cstheme="minorHAnsi"/>
        </w:rPr>
      </w:pPr>
      <w:r>
        <w:rPr>
          <w:rFonts w:cstheme="minorHAnsi"/>
        </w:rPr>
        <w:t>Folkhälsom</w:t>
      </w:r>
      <w:r w:rsidR="00BF194F">
        <w:rPr>
          <w:rFonts w:cstheme="minorHAnsi"/>
        </w:rPr>
        <w:t xml:space="preserve">yndighetens bemyndigande handlar </w:t>
      </w:r>
      <w:r w:rsidR="00BF194F" w:rsidRPr="00C02EB7">
        <w:rPr>
          <w:rFonts w:cstheme="minorHAnsi"/>
        </w:rPr>
        <w:t xml:space="preserve">om </w:t>
      </w:r>
      <w:r w:rsidR="0029230A">
        <w:rPr>
          <w:rFonts w:cstheme="minorHAnsi"/>
        </w:rPr>
        <w:t>på vilket sätt</w:t>
      </w:r>
      <w:r w:rsidR="0029230A" w:rsidRPr="00C02EB7">
        <w:rPr>
          <w:rFonts w:cstheme="minorHAnsi"/>
        </w:rPr>
        <w:t xml:space="preserve"> tillverkare och importörer </w:t>
      </w:r>
      <w:r w:rsidR="0029230A">
        <w:rPr>
          <w:rFonts w:cstheme="minorHAnsi"/>
        </w:rPr>
        <w:t xml:space="preserve">ska </w:t>
      </w:r>
      <w:r w:rsidR="00BF194F" w:rsidRPr="0001388E">
        <w:rPr>
          <w:rFonts w:cstheme="minorHAnsi"/>
        </w:rPr>
        <w:t xml:space="preserve">fullgöra rapporteringsskyldigheten. </w:t>
      </w:r>
      <w:r w:rsidR="00BF194F">
        <w:rPr>
          <w:rFonts w:cstheme="minorHAnsi"/>
        </w:rPr>
        <w:t xml:space="preserve">För att </w:t>
      </w:r>
      <w:r w:rsidR="0029230A">
        <w:rPr>
          <w:rFonts w:cstheme="minorHAnsi"/>
        </w:rPr>
        <w:t>Folkhälso</w:t>
      </w:r>
      <w:r w:rsidR="00BF194F">
        <w:rPr>
          <w:rFonts w:cstheme="minorHAnsi"/>
        </w:rPr>
        <w:t>myndigheten ska kunna uppfylla sitt uppdrag med att offentliggöra uppgifterna</w:t>
      </w:r>
      <w:r w:rsidR="00B27976">
        <w:rPr>
          <w:rFonts w:cstheme="minorHAnsi"/>
        </w:rPr>
        <w:t>,</w:t>
      </w:r>
      <w:r w:rsidR="00BF194F">
        <w:rPr>
          <w:rFonts w:cstheme="minorHAnsi"/>
        </w:rPr>
        <w:t xml:space="preserve"> är det viktigt att rapporteringen sker på ett enhetligt sätt. Det är också av stor vikt att </w:t>
      </w:r>
      <w:r w:rsidR="00B27976">
        <w:rPr>
          <w:rFonts w:cstheme="minorHAnsi"/>
        </w:rPr>
        <w:t xml:space="preserve">vi </w:t>
      </w:r>
      <w:r w:rsidR="00BF194F">
        <w:rPr>
          <w:rFonts w:cstheme="minorHAnsi"/>
        </w:rPr>
        <w:t xml:space="preserve">kan följa utvecklingen av produkterna på marknaden. </w:t>
      </w:r>
    </w:p>
    <w:p w14:paraId="4296450A" w14:textId="77777777" w:rsidR="0086334B" w:rsidRDefault="0086334B" w:rsidP="00BF194F">
      <w:pPr>
        <w:rPr>
          <w:rFonts w:cstheme="minorHAnsi"/>
        </w:rPr>
      </w:pPr>
    </w:p>
    <w:p w14:paraId="5CDB13D6" w14:textId="5D0D1877" w:rsidR="00BF194F" w:rsidRPr="00C02EB7" w:rsidRDefault="00BF194F" w:rsidP="00BF194F">
      <w:pPr>
        <w:rPr>
          <w:rFonts w:cstheme="minorHAnsi"/>
        </w:rPr>
      </w:pPr>
      <w:r>
        <w:rPr>
          <w:rFonts w:cstheme="minorHAnsi"/>
        </w:rPr>
        <w:t xml:space="preserve">Vilka uppgifter som ska rapporteras och inom vilken tid framgår redan av lagen och förordningen. Det återstår därför </w:t>
      </w:r>
      <w:r w:rsidR="0086334B">
        <w:rPr>
          <w:rFonts w:cstheme="minorHAnsi"/>
        </w:rPr>
        <w:t xml:space="preserve">att ta fram </w:t>
      </w:r>
      <w:r w:rsidR="00B27976">
        <w:rPr>
          <w:rFonts w:cstheme="minorHAnsi"/>
        </w:rPr>
        <w:t xml:space="preserve">en </w:t>
      </w:r>
      <w:r>
        <w:rPr>
          <w:rFonts w:cstheme="minorHAnsi"/>
        </w:rPr>
        <w:t xml:space="preserve">reglering av i vilket format rapporteringsskyldigheten ska fullgöras. </w:t>
      </w:r>
      <w:r w:rsidR="0086334B">
        <w:rPr>
          <w:rFonts w:cstheme="minorHAnsi"/>
        </w:rPr>
        <w:t xml:space="preserve">Vi </w:t>
      </w:r>
      <w:r>
        <w:rPr>
          <w:rFonts w:cstheme="minorHAnsi"/>
        </w:rPr>
        <w:t>föreslår därför föreskrifter om att denna ska fullgöras i samma tekniska lösning som produktanmälan.</w:t>
      </w:r>
    </w:p>
    <w:p w14:paraId="5B94DF3E" w14:textId="77777777" w:rsidR="00BF194F" w:rsidRDefault="00BF194F" w:rsidP="00BF194F">
      <w:pPr>
        <w:rPr>
          <w:rFonts w:asciiTheme="majorHAnsi" w:hAnsiTheme="majorHAnsi" w:cstheme="majorHAnsi"/>
          <w:sz w:val="24"/>
          <w:szCs w:val="24"/>
        </w:rPr>
      </w:pPr>
    </w:p>
    <w:p w14:paraId="794539F1" w14:textId="4D6E2203" w:rsidR="00BF194F" w:rsidRPr="0072198C" w:rsidRDefault="00BF194F" w:rsidP="00581D41">
      <w:pPr>
        <w:pStyle w:val="Rubrik3"/>
      </w:pPr>
      <w:r w:rsidRPr="0072198C">
        <w:t xml:space="preserve">Underrättelseskyldighet </w:t>
      </w:r>
    </w:p>
    <w:p w14:paraId="1EC9B2EE" w14:textId="2D99A7EA" w:rsidR="00BF194F" w:rsidRDefault="00BF194F" w:rsidP="00BF194F">
      <w:pPr>
        <w:rPr>
          <w:rFonts w:cstheme="minorHAnsi"/>
        </w:rPr>
      </w:pPr>
      <w:r w:rsidRPr="00FD0483">
        <w:rPr>
          <w:rFonts w:cstheme="minorHAnsi"/>
        </w:rPr>
        <w:t xml:space="preserve">Bestämmelsen </w:t>
      </w:r>
      <w:r>
        <w:rPr>
          <w:rFonts w:cstheme="minorHAnsi"/>
        </w:rPr>
        <w:t xml:space="preserve">i 16 § </w:t>
      </w:r>
      <w:r w:rsidR="00FD4F4A">
        <w:rPr>
          <w:rFonts w:cstheme="minorHAnsi"/>
        </w:rPr>
        <w:t>LTN</w:t>
      </w:r>
      <w:r>
        <w:rPr>
          <w:rFonts w:cstheme="minorHAnsi"/>
        </w:rPr>
        <w:t xml:space="preserve"> </w:t>
      </w:r>
      <w:r w:rsidRPr="00FD0483">
        <w:rPr>
          <w:rFonts w:cstheme="minorHAnsi"/>
        </w:rPr>
        <w:t xml:space="preserve">säger att en tillverkare, importör eller distributör ska vidta en rad åtgärder </w:t>
      </w:r>
      <w:r w:rsidR="009E7DBB">
        <w:rPr>
          <w:rFonts w:cstheme="minorHAnsi"/>
        </w:rPr>
        <w:t>när</w:t>
      </w:r>
      <w:r w:rsidR="009E7DBB" w:rsidRPr="00FD0483">
        <w:rPr>
          <w:rFonts w:cstheme="minorHAnsi"/>
        </w:rPr>
        <w:t xml:space="preserve"> </w:t>
      </w:r>
      <w:r w:rsidRPr="00FD0483">
        <w:rPr>
          <w:rFonts w:cstheme="minorHAnsi"/>
        </w:rPr>
        <w:t>bristfälliga produkter upptäcks</w:t>
      </w:r>
      <w:r w:rsidR="00886C37">
        <w:rPr>
          <w:rFonts w:cstheme="minorHAnsi"/>
        </w:rPr>
        <w:t>,</w:t>
      </w:r>
      <w:r w:rsidRPr="00FD0483">
        <w:rPr>
          <w:rFonts w:cstheme="minorHAnsi"/>
        </w:rPr>
        <w:t xml:space="preserve"> och underrätta Folkhälsomyndigheten om detta. Ett identiskt krav finns för elektroniska cigaretter och påfyllnadsbehållare i 2 kap. 11 § lagen om tobak och liknande produkter. </w:t>
      </w:r>
      <w:r>
        <w:rPr>
          <w:rFonts w:cstheme="minorHAnsi"/>
        </w:rPr>
        <w:t xml:space="preserve">Folkhälsomyndigheten har genom föreskrifter reglerat i vilken form </w:t>
      </w:r>
      <w:r w:rsidR="000C2E29">
        <w:rPr>
          <w:rFonts w:cstheme="minorHAnsi"/>
        </w:rPr>
        <w:t xml:space="preserve">som </w:t>
      </w:r>
      <w:r>
        <w:rPr>
          <w:rFonts w:cstheme="minorHAnsi"/>
        </w:rPr>
        <w:t>underrättelse</w:t>
      </w:r>
      <w:r w:rsidR="00D72EF9">
        <w:rPr>
          <w:rFonts w:cstheme="minorHAnsi"/>
        </w:rPr>
        <w:t>rna</w:t>
      </w:r>
      <w:r>
        <w:rPr>
          <w:rFonts w:cstheme="minorHAnsi"/>
        </w:rPr>
        <w:t xml:space="preserve"> ska lämnas (8 § </w:t>
      </w:r>
      <w:r>
        <w:t>Folkhälsomyndighetens föreskrifter om elektroniska cigaretter och påfyllningsbehållare (</w:t>
      </w:r>
      <w:r>
        <w:rPr>
          <w:rFonts w:cstheme="minorHAnsi"/>
        </w:rPr>
        <w:t xml:space="preserve">HSLF-FS 2018:41)). Folkhälsomyndigheten anser att formen för underrättelseskyldigheten för nikotinprodukter ska ingå i de nya föreskrifterna och att uppgifterna ska lämnas i samma tekniska lösning som ska användas för produktanmälan. </w:t>
      </w:r>
    </w:p>
    <w:p w14:paraId="3AE21A85" w14:textId="77777777" w:rsidR="00BF194F" w:rsidRDefault="00BF194F" w:rsidP="00BF194F">
      <w:pPr>
        <w:tabs>
          <w:tab w:val="left" w:pos="4519"/>
        </w:tabs>
      </w:pPr>
    </w:p>
    <w:p w14:paraId="0F2033CA" w14:textId="77777777" w:rsidR="00BF194F" w:rsidRPr="005E1781" w:rsidRDefault="00BF194F" w:rsidP="00BF194F">
      <w:pPr>
        <w:rPr>
          <w:rFonts w:ascii="Sabon" w:eastAsia="Times New Roman" w:hAnsi="Sabon" w:cs="Times New Roman"/>
          <w:szCs w:val="20"/>
          <w:u w:val="single"/>
          <w:lang w:eastAsia="sv-SE"/>
        </w:rPr>
      </w:pPr>
    </w:p>
    <w:p w14:paraId="23420C18" w14:textId="77777777" w:rsidR="00E300A0" w:rsidRDefault="00E300A0" w:rsidP="00E300A0">
      <w:pPr>
        <w:rPr>
          <w:rFonts w:asciiTheme="majorHAnsi" w:hAnsiTheme="majorHAnsi" w:cstheme="majorHAnsi"/>
          <w:sz w:val="24"/>
          <w:szCs w:val="24"/>
        </w:rPr>
      </w:pPr>
    </w:p>
    <w:p w14:paraId="6E6FAC92" w14:textId="77777777" w:rsidR="00B66C5E" w:rsidRDefault="00B66C5E" w:rsidP="002301BD">
      <w:pPr>
        <w:rPr>
          <w:rFonts w:ascii="Sabon" w:eastAsia="Times New Roman" w:hAnsi="Sabon" w:cs="Times New Roman"/>
          <w:szCs w:val="20"/>
          <w:lang w:eastAsia="sv-SE"/>
        </w:rPr>
      </w:pPr>
    </w:p>
    <w:p w14:paraId="42DE8C90" w14:textId="422CBFFE" w:rsidR="00D13331" w:rsidRPr="00D13331" w:rsidRDefault="002301BD" w:rsidP="00D13331">
      <w:pPr>
        <w:pStyle w:val="Rubrik1"/>
      </w:pPr>
      <w:r w:rsidRPr="00CB691B">
        <w:lastRenderedPageBreak/>
        <w:t>Folkhälsomyndighetens bemyndigande</w:t>
      </w:r>
    </w:p>
    <w:p w14:paraId="6588BF54" w14:textId="1FE22E3B" w:rsidR="00D13331" w:rsidRPr="00A518AC" w:rsidRDefault="00D13331" w:rsidP="00D13331">
      <w:pPr>
        <w:rPr>
          <w:rFonts w:cstheme="minorHAnsi"/>
        </w:rPr>
      </w:pPr>
      <w:r w:rsidRPr="00A518AC">
        <w:rPr>
          <w:rFonts w:cstheme="minorHAnsi"/>
        </w:rPr>
        <w:t>I 48 §</w:t>
      </w:r>
      <w:r>
        <w:rPr>
          <w:rFonts w:cstheme="minorHAnsi"/>
        </w:rPr>
        <w:t xml:space="preserve"> </w:t>
      </w:r>
      <w:r w:rsidR="00FD4F4A">
        <w:rPr>
          <w:rFonts w:cstheme="minorHAnsi"/>
        </w:rPr>
        <w:t>LTN</w:t>
      </w:r>
      <w:r w:rsidRPr="00A518AC">
        <w:rPr>
          <w:rFonts w:cstheme="minorHAnsi"/>
        </w:rPr>
        <w:t xml:space="preserve"> finns bemyndigande </w:t>
      </w:r>
      <w:r>
        <w:rPr>
          <w:rFonts w:cstheme="minorHAnsi"/>
        </w:rPr>
        <w:t>för</w:t>
      </w:r>
      <w:r w:rsidRPr="00A518AC">
        <w:rPr>
          <w:rFonts w:cstheme="minorHAnsi"/>
        </w:rPr>
        <w:t xml:space="preserve"> regeringen </w:t>
      </w:r>
      <w:r>
        <w:rPr>
          <w:rFonts w:cstheme="minorHAnsi"/>
        </w:rPr>
        <w:t xml:space="preserve">eller den myndighet regeringen bestämmer </w:t>
      </w:r>
      <w:r w:rsidRPr="00A518AC">
        <w:rPr>
          <w:rFonts w:cstheme="minorHAnsi"/>
        </w:rPr>
        <w:t>att utfärda föreskrifter</w:t>
      </w:r>
      <w:r>
        <w:rPr>
          <w:rFonts w:cstheme="minorHAnsi"/>
        </w:rPr>
        <w:t>.</w:t>
      </w:r>
      <w:r w:rsidRPr="00A518AC">
        <w:rPr>
          <w:rFonts w:cstheme="minorHAnsi"/>
        </w:rPr>
        <w:t xml:space="preserve"> </w:t>
      </w:r>
    </w:p>
    <w:p w14:paraId="4A20F200" w14:textId="77777777" w:rsidR="00D13331" w:rsidRDefault="00D13331" w:rsidP="00D13331">
      <w:pPr>
        <w:rPr>
          <w:rFonts w:cstheme="minorHAnsi"/>
        </w:rPr>
      </w:pPr>
    </w:p>
    <w:p w14:paraId="6CF0C6D5" w14:textId="4798D952" w:rsidR="00D13331" w:rsidRDefault="00D13331" w:rsidP="00D13331">
      <w:pPr>
        <w:rPr>
          <w:rFonts w:cstheme="minorHAnsi"/>
        </w:rPr>
      </w:pPr>
      <w:r>
        <w:rPr>
          <w:rFonts w:cstheme="minorHAnsi"/>
        </w:rPr>
        <w:t xml:space="preserve">Folkhälsomyndigheten har enligt </w:t>
      </w:r>
      <w:r w:rsidR="007B241B">
        <w:rPr>
          <w:rFonts w:cstheme="minorHAnsi"/>
        </w:rPr>
        <w:t>16</w:t>
      </w:r>
      <w:r>
        <w:rPr>
          <w:rFonts w:cstheme="minorHAnsi"/>
        </w:rPr>
        <w:t xml:space="preserve"> § </w:t>
      </w:r>
      <w:r w:rsidR="00FD4F4A">
        <w:rPr>
          <w:rFonts w:cstheme="minorHAnsi"/>
        </w:rPr>
        <w:t>FTN</w:t>
      </w:r>
      <w:r>
        <w:rPr>
          <w:rFonts w:cstheme="minorHAnsi"/>
        </w:rPr>
        <w:t xml:space="preserve"> bemyndigande att meddela föreskrifter om </w:t>
      </w:r>
      <w:r w:rsidRPr="00A518AC">
        <w:rPr>
          <w:rFonts w:cstheme="minorHAnsi"/>
        </w:rPr>
        <w:t xml:space="preserve">  </w:t>
      </w:r>
    </w:p>
    <w:p w14:paraId="6C08DB9A" w14:textId="7C4A0DF5" w:rsidR="00D13331" w:rsidRPr="00A518AC" w:rsidRDefault="00D13331" w:rsidP="00D13331">
      <w:pPr>
        <w:rPr>
          <w:rFonts w:cstheme="minorHAnsi"/>
        </w:rPr>
      </w:pPr>
      <w:r>
        <w:rPr>
          <w:rFonts w:cstheme="minorHAnsi"/>
        </w:rPr>
        <w:t xml:space="preserve">  </w:t>
      </w:r>
      <w:r w:rsidRPr="00A518AC">
        <w:rPr>
          <w:rFonts w:cstheme="minorHAnsi"/>
        </w:rPr>
        <w:t xml:space="preserve"> 1. produktanmälan enligt 5 § </w:t>
      </w:r>
      <w:r w:rsidR="00FD4F4A">
        <w:rPr>
          <w:rFonts w:cstheme="minorHAnsi"/>
        </w:rPr>
        <w:t>LTN</w:t>
      </w:r>
      <w:r w:rsidRPr="00A518AC">
        <w:rPr>
          <w:rFonts w:cstheme="minorHAnsi"/>
        </w:rPr>
        <w:t>,</w:t>
      </w:r>
    </w:p>
    <w:p w14:paraId="2ADD9776" w14:textId="400672AE" w:rsidR="00D13331" w:rsidRPr="00A518AC" w:rsidRDefault="00D13331" w:rsidP="00D13331">
      <w:pPr>
        <w:rPr>
          <w:rFonts w:cstheme="minorHAnsi"/>
        </w:rPr>
      </w:pPr>
      <w:r w:rsidRPr="00A518AC">
        <w:rPr>
          <w:rFonts w:cstheme="minorHAnsi"/>
        </w:rPr>
        <w:t xml:space="preserve">   2. innehållet i och utformningen av en innehållsdeklaration enligt 7 § </w:t>
      </w:r>
      <w:r w:rsidR="00FD4F4A">
        <w:rPr>
          <w:rFonts w:cstheme="minorHAnsi"/>
        </w:rPr>
        <w:t>LTN</w:t>
      </w:r>
      <w:r w:rsidRPr="00A518AC">
        <w:rPr>
          <w:rFonts w:cstheme="minorHAnsi"/>
        </w:rPr>
        <w:t>,</w:t>
      </w:r>
    </w:p>
    <w:p w14:paraId="12084EBB" w14:textId="526A4EA8" w:rsidR="00D13331" w:rsidRPr="00A518AC" w:rsidRDefault="00D13331" w:rsidP="00D13331">
      <w:pPr>
        <w:rPr>
          <w:rFonts w:cstheme="minorHAnsi"/>
        </w:rPr>
      </w:pPr>
      <w:r w:rsidRPr="00A518AC">
        <w:rPr>
          <w:rFonts w:cstheme="minorHAnsi"/>
        </w:rPr>
        <w:t xml:space="preserve">   3. hur en hälsovarning ska utformas och återges enligt 7 och 10 §§ </w:t>
      </w:r>
      <w:r w:rsidR="00FD4F4A">
        <w:rPr>
          <w:rFonts w:cstheme="minorHAnsi"/>
        </w:rPr>
        <w:t>LTN</w:t>
      </w:r>
      <w:r w:rsidRPr="00A518AC">
        <w:rPr>
          <w:rFonts w:cstheme="minorHAnsi"/>
        </w:rPr>
        <w:t>,</w:t>
      </w:r>
    </w:p>
    <w:p w14:paraId="63C10CA3" w14:textId="53586DE1" w:rsidR="00D13331" w:rsidRPr="00A518AC" w:rsidRDefault="00D13331" w:rsidP="00D13331">
      <w:pPr>
        <w:rPr>
          <w:rFonts w:cstheme="minorHAnsi"/>
        </w:rPr>
      </w:pPr>
      <w:r w:rsidRPr="00A518AC">
        <w:rPr>
          <w:rFonts w:cstheme="minorHAnsi"/>
        </w:rPr>
        <w:t xml:space="preserve">   4. fullgörandet av rapporteringsskyldigheten enligt 14 § </w:t>
      </w:r>
      <w:r w:rsidR="00FD4F4A">
        <w:rPr>
          <w:rFonts w:cstheme="minorHAnsi"/>
        </w:rPr>
        <w:t>LTN</w:t>
      </w:r>
      <w:r w:rsidRPr="00A518AC">
        <w:rPr>
          <w:rFonts w:cstheme="minorHAnsi"/>
        </w:rPr>
        <w:t>,</w:t>
      </w:r>
    </w:p>
    <w:p w14:paraId="000EA59B" w14:textId="027C2B55" w:rsidR="00D13331" w:rsidRPr="00A518AC" w:rsidRDefault="00D13331" w:rsidP="00D13331">
      <w:pPr>
        <w:rPr>
          <w:rFonts w:cstheme="minorHAnsi"/>
        </w:rPr>
      </w:pPr>
      <w:r w:rsidRPr="00A518AC">
        <w:rPr>
          <w:rFonts w:cstheme="minorHAnsi"/>
        </w:rPr>
        <w:t xml:space="preserve">   5. systemet för informationssamling enligt 15 § </w:t>
      </w:r>
      <w:r w:rsidR="00FD4F4A">
        <w:rPr>
          <w:rFonts w:cstheme="minorHAnsi"/>
        </w:rPr>
        <w:t>LTN</w:t>
      </w:r>
      <w:r w:rsidRPr="00A518AC">
        <w:rPr>
          <w:rFonts w:cstheme="minorHAnsi"/>
        </w:rPr>
        <w:t>,</w:t>
      </w:r>
    </w:p>
    <w:p w14:paraId="4CF3DD5C" w14:textId="70970024" w:rsidR="00D13331" w:rsidRPr="00A518AC" w:rsidRDefault="00D13331" w:rsidP="00D13331">
      <w:pPr>
        <w:rPr>
          <w:rFonts w:cstheme="minorHAnsi"/>
        </w:rPr>
      </w:pPr>
      <w:r w:rsidRPr="00A518AC">
        <w:rPr>
          <w:rFonts w:cstheme="minorHAnsi"/>
        </w:rPr>
        <w:t xml:space="preserve">   6. underrättelseskyldigheten enligt 16 § </w:t>
      </w:r>
      <w:r w:rsidR="00FD4F4A">
        <w:rPr>
          <w:rFonts w:cstheme="minorHAnsi"/>
        </w:rPr>
        <w:t>LTN</w:t>
      </w:r>
      <w:r w:rsidRPr="00A518AC">
        <w:rPr>
          <w:rFonts w:cstheme="minorHAnsi"/>
        </w:rPr>
        <w:t>,</w:t>
      </w:r>
    </w:p>
    <w:p w14:paraId="427FF926" w14:textId="6BED61FC" w:rsidR="00D13331" w:rsidRPr="00A518AC" w:rsidRDefault="00D13331" w:rsidP="00D13331">
      <w:pPr>
        <w:rPr>
          <w:rFonts w:cstheme="minorHAnsi"/>
        </w:rPr>
      </w:pPr>
      <w:r w:rsidRPr="00A518AC">
        <w:rPr>
          <w:rFonts w:cstheme="minorHAnsi"/>
        </w:rPr>
        <w:t xml:space="preserve">   7. utformningen av egenkontrollprogram enligt 18 § </w:t>
      </w:r>
      <w:r w:rsidR="00FD4F4A">
        <w:rPr>
          <w:rFonts w:cstheme="minorHAnsi"/>
        </w:rPr>
        <w:t>LTN</w:t>
      </w:r>
      <w:r w:rsidRPr="00A518AC">
        <w:rPr>
          <w:rFonts w:cstheme="minorHAnsi"/>
        </w:rPr>
        <w:t>, och</w:t>
      </w:r>
    </w:p>
    <w:p w14:paraId="42860F68" w14:textId="0CD4E986" w:rsidR="00D13331" w:rsidRPr="00A518AC" w:rsidRDefault="00D13331" w:rsidP="00D13331">
      <w:pPr>
        <w:rPr>
          <w:rFonts w:cstheme="minorHAnsi"/>
        </w:rPr>
      </w:pPr>
      <w:r w:rsidRPr="00A518AC">
        <w:rPr>
          <w:rFonts w:cstheme="minorHAnsi"/>
        </w:rPr>
        <w:t xml:space="preserve">   8. genomförandet av kontrollköp enligt 37 § </w:t>
      </w:r>
      <w:r w:rsidR="00FD4F4A">
        <w:rPr>
          <w:rFonts w:cstheme="minorHAnsi"/>
        </w:rPr>
        <w:t>LTN</w:t>
      </w:r>
      <w:r w:rsidRPr="00A518AC">
        <w:rPr>
          <w:rFonts w:cstheme="minorHAnsi"/>
        </w:rPr>
        <w:t>.</w:t>
      </w:r>
    </w:p>
    <w:p w14:paraId="2C09D223" w14:textId="77777777" w:rsidR="00D13331" w:rsidRDefault="00D13331" w:rsidP="00D13331">
      <w:pPr>
        <w:rPr>
          <w:rFonts w:cstheme="minorHAnsi"/>
        </w:rPr>
      </w:pPr>
    </w:p>
    <w:p w14:paraId="0FCF5BE3" w14:textId="4DD60823" w:rsidR="00D13331" w:rsidRDefault="00D13331" w:rsidP="00D13331">
      <w:pPr>
        <w:rPr>
          <w:rFonts w:cstheme="minorHAnsi"/>
        </w:rPr>
      </w:pPr>
      <w:r>
        <w:rPr>
          <w:rFonts w:cstheme="minorHAnsi"/>
        </w:rPr>
        <w:t xml:space="preserve">Enligt </w:t>
      </w:r>
      <w:r w:rsidR="007B241B">
        <w:rPr>
          <w:rFonts w:cstheme="minorHAnsi"/>
        </w:rPr>
        <w:t>17</w:t>
      </w:r>
      <w:r w:rsidR="007B241B" w:rsidRPr="00A518AC">
        <w:rPr>
          <w:rFonts w:cstheme="minorHAnsi"/>
        </w:rPr>
        <w:t xml:space="preserve"> </w:t>
      </w:r>
      <w:r w:rsidRPr="00A518AC">
        <w:rPr>
          <w:rFonts w:cstheme="minorHAnsi"/>
        </w:rPr>
        <w:t>§</w:t>
      </w:r>
      <w:r>
        <w:rPr>
          <w:rFonts w:cstheme="minorHAnsi"/>
        </w:rPr>
        <w:t xml:space="preserve"> </w:t>
      </w:r>
      <w:r w:rsidR="00FD4F4A">
        <w:rPr>
          <w:rFonts w:cstheme="minorHAnsi"/>
        </w:rPr>
        <w:t>FTN</w:t>
      </w:r>
      <w:r w:rsidRPr="00A518AC">
        <w:rPr>
          <w:rFonts w:cstheme="minorHAnsi"/>
        </w:rPr>
        <w:t xml:space="preserve"> </w:t>
      </w:r>
      <w:r>
        <w:rPr>
          <w:rFonts w:cstheme="minorHAnsi"/>
        </w:rPr>
        <w:t xml:space="preserve">har </w:t>
      </w:r>
      <w:r w:rsidRPr="00A518AC">
        <w:rPr>
          <w:rFonts w:cstheme="minorHAnsi"/>
        </w:rPr>
        <w:t xml:space="preserve">Folkhälsomyndigheten </w:t>
      </w:r>
      <w:r w:rsidR="00126142">
        <w:rPr>
          <w:rFonts w:cstheme="minorHAnsi"/>
        </w:rPr>
        <w:t xml:space="preserve">även </w:t>
      </w:r>
      <w:r>
        <w:rPr>
          <w:rFonts w:cstheme="minorHAnsi"/>
        </w:rPr>
        <w:t xml:space="preserve">bemyndigande </w:t>
      </w:r>
      <w:r w:rsidRPr="00A518AC">
        <w:rPr>
          <w:rFonts w:cstheme="minorHAnsi"/>
        </w:rPr>
        <w:t xml:space="preserve">att meddela </w:t>
      </w:r>
      <w:r>
        <w:rPr>
          <w:rFonts w:cstheme="minorHAnsi"/>
        </w:rPr>
        <w:t xml:space="preserve">föreskrifter om </w:t>
      </w:r>
      <w:r w:rsidRPr="00A518AC">
        <w:rPr>
          <w:rFonts w:cstheme="minorHAnsi"/>
        </w:rPr>
        <w:t>verkställighet</w:t>
      </w:r>
      <w:r>
        <w:rPr>
          <w:rFonts w:cstheme="minorHAnsi"/>
        </w:rPr>
        <w:t xml:space="preserve"> av </w:t>
      </w:r>
      <w:r w:rsidR="00FD4F4A">
        <w:rPr>
          <w:rFonts w:cstheme="minorHAnsi"/>
        </w:rPr>
        <w:t>LTN</w:t>
      </w:r>
      <w:r>
        <w:rPr>
          <w:rFonts w:cstheme="minorHAnsi"/>
        </w:rPr>
        <w:t xml:space="preserve"> </w:t>
      </w:r>
      <w:r w:rsidRPr="00A518AC">
        <w:rPr>
          <w:rFonts w:cstheme="minorHAnsi"/>
        </w:rPr>
        <w:t xml:space="preserve">och </w:t>
      </w:r>
      <w:r w:rsidR="00FD4F4A">
        <w:rPr>
          <w:rFonts w:cstheme="minorHAnsi"/>
        </w:rPr>
        <w:t>FTN</w:t>
      </w:r>
      <w:r w:rsidRPr="00A518AC">
        <w:rPr>
          <w:rFonts w:cstheme="minorHAnsi"/>
        </w:rPr>
        <w:t>.</w:t>
      </w:r>
    </w:p>
    <w:p w14:paraId="2104DEC5" w14:textId="77777777" w:rsidR="00D13331" w:rsidRPr="00A518AC" w:rsidRDefault="00D13331" w:rsidP="00D13331">
      <w:pPr>
        <w:rPr>
          <w:rFonts w:cstheme="minorHAnsi"/>
        </w:rPr>
      </w:pPr>
    </w:p>
    <w:p w14:paraId="52E2F419" w14:textId="2252D901" w:rsidR="00D13331" w:rsidRDefault="00D13331" w:rsidP="00D13331">
      <w:pPr>
        <w:rPr>
          <w:rFonts w:cstheme="minorHAnsi"/>
        </w:rPr>
      </w:pPr>
      <w:r>
        <w:rPr>
          <w:rFonts w:cstheme="minorHAnsi"/>
        </w:rPr>
        <w:t>Vilka föreskrifter</w:t>
      </w:r>
      <w:r w:rsidR="00126142">
        <w:rPr>
          <w:rFonts w:cstheme="minorHAnsi"/>
        </w:rPr>
        <w:t xml:space="preserve"> som</w:t>
      </w:r>
      <w:r>
        <w:rPr>
          <w:rFonts w:cstheme="minorHAnsi"/>
        </w:rPr>
        <w:t xml:space="preserve"> </w:t>
      </w:r>
      <w:r w:rsidR="00105713">
        <w:rPr>
          <w:rFonts w:cstheme="minorHAnsi"/>
        </w:rPr>
        <w:t>Folkhälso</w:t>
      </w:r>
      <w:r>
        <w:rPr>
          <w:rFonts w:cstheme="minorHAnsi"/>
        </w:rPr>
        <w:t>myndigheten behöver ta fram är beroende av vilka delar som rege</w:t>
      </w:r>
      <w:r w:rsidRPr="00A518AC">
        <w:rPr>
          <w:rFonts w:cstheme="minorHAnsi"/>
        </w:rPr>
        <w:t xml:space="preserve">ringen </w:t>
      </w:r>
      <w:r>
        <w:rPr>
          <w:rFonts w:cstheme="minorHAnsi"/>
        </w:rPr>
        <w:t xml:space="preserve">väljer </w:t>
      </w:r>
      <w:r w:rsidRPr="00A518AC">
        <w:rPr>
          <w:rFonts w:cstheme="minorHAnsi"/>
        </w:rPr>
        <w:t xml:space="preserve">att föreskriva </w:t>
      </w:r>
      <w:r w:rsidR="00105713">
        <w:rPr>
          <w:rFonts w:cstheme="minorHAnsi"/>
        </w:rPr>
        <w:t xml:space="preserve">om </w:t>
      </w:r>
      <w:r w:rsidRPr="00A518AC">
        <w:rPr>
          <w:rFonts w:cstheme="minorHAnsi"/>
        </w:rPr>
        <w:t>själv</w:t>
      </w:r>
      <w:r>
        <w:rPr>
          <w:rFonts w:cstheme="minorHAnsi"/>
        </w:rPr>
        <w:t>.</w:t>
      </w:r>
      <w:r w:rsidRPr="00A518AC">
        <w:rPr>
          <w:rFonts w:cstheme="minorHAnsi"/>
        </w:rPr>
        <w:t xml:space="preserve"> I ett förslag till ändring av förordningen har regeringen </w:t>
      </w:r>
      <w:r w:rsidR="00802477">
        <w:rPr>
          <w:rFonts w:cstheme="minorHAnsi"/>
        </w:rPr>
        <w:t>ut</w:t>
      </w:r>
      <w:r>
        <w:rPr>
          <w:rFonts w:cstheme="minorHAnsi"/>
        </w:rPr>
        <w:t xml:space="preserve">nyttjat delar av sitt bemyndigande </w:t>
      </w:r>
      <w:r w:rsidRPr="00A518AC">
        <w:rPr>
          <w:rFonts w:cstheme="minorHAnsi"/>
        </w:rPr>
        <w:t>avseende produktanmälan, produktkrav, märkning och rapporteringsskyldighet</w:t>
      </w:r>
      <w:r>
        <w:rPr>
          <w:rFonts w:cstheme="minorHAnsi"/>
        </w:rPr>
        <w:t xml:space="preserve">. </w:t>
      </w:r>
    </w:p>
    <w:p w14:paraId="67BB3653" w14:textId="77777777" w:rsidR="00D13331" w:rsidRDefault="00D13331" w:rsidP="00D13331">
      <w:pPr>
        <w:rPr>
          <w:rFonts w:cstheme="minorHAnsi"/>
        </w:rPr>
      </w:pPr>
    </w:p>
    <w:p w14:paraId="210B131C" w14:textId="3CF26DA7" w:rsidR="00D13331" w:rsidRPr="00D13331" w:rsidRDefault="00D13331" w:rsidP="00D75489">
      <w:pPr>
        <w:pStyle w:val="Brdtext"/>
      </w:pPr>
    </w:p>
    <w:p w14:paraId="0EA83762" w14:textId="00FE662C" w:rsidR="00736A23" w:rsidRPr="00736A23" w:rsidRDefault="00274A38" w:rsidP="00736A23">
      <w:pPr>
        <w:pStyle w:val="Rubrik2"/>
      </w:pPr>
      <w:r>
        <w:t>Ikraftträdande och övergångsbestämmelser</w:t>
      </w:r>
    </w:p>
    <w:p w14:paraId="5BF426E2" w14:textId="77D6377B" w:rsidR="00817763" w:rsidRDefault="00D13331" w:rsidP="00274A38">
      <w:pPr>
        <w:pStyle w:val="Brdtext"/>
      </w:pPr>
      <w:r w:rsidRPr="00D13331">
        <w:t xml:space="preserve">Föreskrifterna behöver ta hänsyn till när de olika bestämmelserna i </w:t>
      </w:r>
      <w:r w:rsidR="00FD4F4A">
        <w:t>LTN</w:t>
      </w:r>
      <w:r w:rsidRPr="00D13331">
        <w:t xml:space="preserve"> och </w:t>
      </w:r>
      <w:r w:rsidR="00FD4F4A">
        <w:t>FTN</w:t>
      </w:r>
      <w:r w:rsidRPr="00D13331">
        <w:t xml:space="preserve"> träder i kraft</w:t>
      </w:r>
      <w:r w:rsidR="002A4D1F">
        <w:t>,</w:t>
      </w:r>
      <w:r w:rsidRPr="00D13331">
        <w:t xml:space="preserve"> samt de övergångsbestämmelser som finns i </w:t>
      </w:r>
      <w:r w:rsidR="00FD4F4A">
        <w:t>LTN</w:t>
      </w:r>
      <w:r w:rsidRPr="00D13331">
        <w:t>. Mot bakgrund av att förslaget till ändringsförordning</w:t>
      </w:r>
      <w:r w:rsidR="002A4D1F">
        <w:t>en</w:t>
      </w:r>
      <w:r w:rsidRPr="00D13331">
        <w:t xml:space="preserve"> inte kommer att beslutas förrän i slutet av november 2022</w:t>
      </w:r>
      <w:r w:rsidR="00817763">
        <w:t>,</w:t>
      </w:r>
      <w:r w:rsidRPr="00D13331">
        <w:t xml:space="preserve"> kommer inte Folkhälsomyndigheten att hinna publicera de nya föreskrifterna till den 1 januari 2023. </w:t>
      </w:r>
    </w:p>
    <w:p w14:paraId="79BE0758" w14:textId="77777777" w:rsidR="00817763" w:rsidRDefault="00817763" w:rsidP="00274A38">
      <w:pPr>
        <w:pStyle w:val="Brdtext"/>
      </w:pPr>
    </w:p>
    <w:p w14:paraId="49233B97" w14:textId="28241C69" w:rsidR="00274A38" w:rsidRDefault="00D13331" w:rsidP="00274A38">
      <w:pPr>
        <w:pStyle w:val="Brdtext"/>
      </w:pPr>
      <w:r w:rsidRPr="00D13331">
        <w:t xml:space="preserve">Det är dock viktigt att bransch och myndigheter ges rimlig tid att uppmärksamma och anpassa sig till föreskrifterna innan de träder i kraft. Folkhälsomyndigheten har därför tagit fram en kommunikationsplan med olika informationsinsatser. </w:t>
      </w:r>
      <w:r w:rsidR="00407415">
        <w:t>Vi</w:t>
      </w:r>
      <w:r w:rsidR="00407415" w:rsidRPr="00D13331">
        <w:t xml:space="preserve"> </w:t>
      </w:r>
      <w:r w:rsidRPr="00D13331">
        <w:t xml:space="preserve">bedömer att </w:t>
      </w:r>
      <w:r w:rsidR="00407415">
        <w:t>när det gäller</w:t>
      </w:r>
      <w:r w:rsidRPr="00D13331">
        <w:t xml:space="preserve"> innehållsdeklaration</w:t>
      </w:r>
      <w:r w:rsidR="00EA157E">
        <w:t>,</w:t>
      </w:r>
      <w:r w:rsidR="00E14228">
        <w:t xml:space="preserve"> </w:t>
      </w:r>
      <w:r w:rsidRPr="00D13331">
        <w:t xml:space="preserve">hälsovarning </w:t>
      </w:r>
      <w:r w:rsidR="00EA157E">
        <w:t>och</w:t>
      </w:r>
      <w:r w:rsidR="00EA157E" w:rsidRPr="00EA157E">
        <w:t xml:space="preserve"> </w:t>
      </w:r>
      <w:r w:rsidR="00EA157E" w:rsidRPr="00D13331">
        <w:t xml:space="preserve">underrättelseskyldighet </w:t>
      </w:r>
      <w:r w:rsidRPr="00D13331">
        <w:t xml:space="preserve">är den </w:t>
      </w:r>
      <w:r w:rsidR="00DF07B6">
        <w:t>2</w:t>
      </w:r>
      <w:r w:rsidRPr="00D13331">
        <w:t xml:space="preserve"> maj 2023 en </w:t>
      </w:r>
      <w:r w:rsidR="00DF07B6">
        <w:t>r</w:t>
      </w:r>
      <w:r w:rsidR="000310F5">
        <w:t>imlig</w:t>
      </w:r>
      <w:r w:rsidR="00DF07B6">
        <w:t xml:space="preserve"> </w:t>
      </w:r>
      <w:r w:rsidRPr="00D13331">
        <w:t xml:space="preserve">tidpunkt för ikraftträdande av föreskrifterna. Vad gäller produktanmälan och rapporteringsskyldighet </w:t>
      </w:r>
      <w:r w:rsidR="00E14228">
        <w:t>föreslås</w:t>
      </w:r>
      <w:r w:rsidR="00E14228" w:rsidRPr="00D13331">
        <w:t xml:space="preserve"> </w:t>
      </w:r>
      <w:r w:rsidRPr="00D13331">
        <w:t>föreskrifterna träda i kraft den 1 januari 2024.</w:t>
      </w:r>
    </w:p>
    <w:p w14:paraId="0C62B5EC" w14:textId="77777777" w:rsidR="00581D41" w:rsidRDefault="00581D41" w:rsidP="00274A38">
      <w:pPr>
        <w:pStyle w:val="Brdtext"/>
      </w:pPr>
    </w:p>
    <w:p w14:paraId="555B5F33" w14:textId="77777777" w:rsidR="00D13331" w:rsidRDefault="00D13331" w:rsidP="00274A38">
      <w:pPr>
        <w:pStyle w:val="Brdtext"/>
      </w:pPr>
    </w:p>
    <w:p w14:paraId="2F8708FB" w14:textId="77777777" w:rsidR="00F96F70" w:rsidRDefault="00F96F70" w:rsidP="00F96F70">
      <w:pPr>
        <w:pStyle w:val="Rubrik1"/>
        <w:rPr>
          <w:rFonts w:eastAsia="Times New Roman"/>
          <w:lang w:eastAsia="sv-SE"/>
        </w:rPr>
      </w:pPr>
      <w:r w:rsidRPr="00BF664B">
        <w:rPr>
          <w:rFonts w:eastAsia="Times New Roman"/>
          <w:lang w:eastAsia="sv-SE"/>
        </w:rPr>
        <w:t>Beskrivning av alternativa lösningar och vilka effekterna blir om någon reglering inte kommer till stånd</w:t>
      </w:r>
    </w:p>
    <w:p w14:paraId="6A7060AB" w14:textId="4C8CF83C" w:rsidR="00F96F70" w:rsidRDefault="00A54711" w:rsidP="00F96F70">
      <w:pPr>
        <w:spacing w:after="160" w:line="276" w:lineRule="auto"/>
        <w:rPr>
          <w:rFonts w:cstheme="minorHAnsi"/>
        </w:rPr>
      </w:pPr>
      <w:r>
        <w:rPr>
          <w:rFonts w:cstheme="minorHAnsi"/>
        </w:rPr>
        <w:t>Det finns olika sätt a</w:t>
      </w:r>
      <w:r w:rsidR="00F96F70" w:rsidRPr="00537DF5">
        <w:rPr>
          <w:rFonts w:cstheme="minorHAnsi"/>
        </w:rPr>
        <w:t>tt uppnå ett visst syfte</w:t>
      </w:r>
      <w:r w:rsidR="00417406">
        <w:rPr>
          <w:rFonts w:cstheme="minorHAnsi"/>
        </w:rPr>
        <w:t>. Ibland</w:t>
      </w:r>
      <w:r w:rsidR="00F96F70" w:rsidRPr="00537DF5">
        <w:rPr>
          <w:rFonts w:cstheme="minorHAnsi"/>
        </w:rPr>
        <w:t xml:space="preserve"> kan </w:t>
      </w:r>
      <w:r w:rsidR="00417406">
        <w:rPr>
          <w:rFonts w:cstheme="minorHAnsi"/>
        </w:rPr>
        <w:t xml:space="preserve">det </w:t>
      </w:r>
      <w:r w:rsidR="00F96F70" w:rsidRPr="00537DF5">
        <w:rPr>
          <w:rFonts w:cstheme="minorHAnsi"/>
        </w:rPr>
        <w:t xml:space="preserve">ske </w:t>
      </w:r>
      <w:r w:rsidR="00CF211B">
        <w:rPr>
          <w:rFonts w:cstheme="minorHAnsi"/>
        </w:rPr>
        <w:t xml:space="preserve">till exempel </w:t>
      </w:r>
      <w:r w:rsidR="00F96F70" w:rsidRPr="00537DF5">
        <w:rPr>
          <w:rFonts w:cstheme="minorHAnsi"/>
        </w:rPr>
        <w:t xml:space="preserve">genom </w:t>
      </w:r>
      <w:r w:rsidR="00F96F70">
        <w:rPr>
          <w:rFonts w:cstheme="minorHAnsi"/>
        </w:rPr>
        <w:t>att en myndighet utfärdar föreskrifter</w:t>
      </w:r>
      <w:r w:rsidR="00CF211B">
        <w:rPr>
          <w:rFonts w:cstheme="minorHAnsi"/>
        </w:rPr>
        <w:t>,</w:t>
      </w:r>
      <w:r w:rsidR="00F96F70">
        <w:rPr>
          <w:rFonts w:cstheme="minorHAnsi"/>
        </w:rPr>
        <w:t xml:space="preserve"> eller överlämnar åt aktörerna på marknaden att själva vidta åtgärder för att </w:t>
      </w:r>
      <w:r w:rsidR="00CF211B">
        <w:rPr>
          <w:rFonts w:cstheme="minorHAnsi"/>
        </w:rPr>
        <w:t>uppnå syftet</w:t>
      </w:r>
      <w:r w:rsidR="00F96F70">
        <w:rPr>
          <w:rFonts w:cstheme="minorHAnsi"/>
        </w:rPr>
        <w:t xml:space="preserve">.    </w:t>
      </w:r>
      <w:r w:rsidR="00F96F70" w:rsidRPr="00537DF5">
        <w:rPr>
          <w:rFonts w:cstheme="minorHAnsi"/>
        </w:rPr>
        <w:t xml:space="preserve"> </w:t>
      </w:r>
    </w:p>
    <w:p w14:paraId="5BBDB02E" w14:textId="5BE9A299" w:rsidR="00F96F70" w:rsidRDefault="00F96F70" w:rsidP="00F96F70">
      <w:pPr>
        <w:spacing w:after="160" w:line="276" w:lineRule="auto"/>
      </w:pPr>
      <w:r>
        <w:rPr>
          <w:rFonts w:cstheme="minorHAnsi"/>
        </w:rPr>
        <w:lastRenderedPageBreak/>
        <w:t>E</w:t>
      </w:r>
      <w:r w:rsidRPr="00CF2951">
        <w:rPr>
          <w:rFonts w:cstheme="minorHAnsi"/>
        </w:rPr>
        <w:t>tt bem</w:t>
      </w:r>
      <w:r>
        <w:rPr>
          <w:rFonts w:cstheme="minorHAnsi"/>
        </w:rPr>
        <w:t xml:space="preserve">yndigande </w:t>
      </w:r>
      <w:r w:rsidRPr="00CF2951">
        <w:rPr>
          <w:rFonts w:cstheme="minorHAnsi"/>
        </w:rPr>
        <w:t>att utfärda föreskrifter</w:t>
      </w:r>
      <w:r>
        <w:rPr>
          <w:rFonts w:cstheme="minorHAnsi"/>
        </w:rPr>
        <w:t xml:space="preserve"> innebär alltså </w:t>
      </w:r>
      <w:r w:rsidRPr="00CF2951">
        <w:rPr>
          <w:rFonts w:cstheme="minorHAnsi"/>
        </w:rPr>
        <w:t xml:space="preserve">inte en skyldighet att göra </w:t>
      </w:r>
      <w:r w:rsidR="00830E46">
        <w:rPr>
          <w:rFonts w:cstheme="minorHAnsi"/>
        </w:rPr>
        <w:t>det</w:t>
      </w:r>
      <w:r w:rsidR="00EA157E">
        <w:rPr>
          <w:rStyle w:val="Fotnotsreferens"/>
          <w:rFonts w:cstheme="minorHAnsi"/>
        </w:rPr>
        <w:footnoteReference w:id="2"/>
      </w:r>
      <w:r w:rsidRPr="00CF2951">
        <w:rPr>
          <w:rFonts w:cstheme="minorHAnsi"/>
        </w:rPr>
        <w:t xml:space="preserve">. Om behovet kan tillgodoses på ett mindre ingripande sätt bör </w:t>
      </w:r>
      <w:r w:rsidR="00090ADD">
        <w:rPr>
          <w:rFonts w:cstheme="minorHAnsi"/>
        </w:rPr>
        <w:t xml:space="preserve">det </w:t>
      </w:r>
      <w:r w:rsidRPr="00CF2951">
        <w:rPr>
          <w:rFonts w:cstheme="minorHAnsi"/>
        </w:rPr>
        <w:t>inte regler</w:t>
      </w:r>
      <w:r w:rsidR="00090ADD">
        <w:rPr>
          <w:rFonts w:cstheme="minorHAnsi"/>
        </w:rPr>
        <w:t>as</w:t>
      </w:r>
      <w:r w:rsidRPr="00CF2951">
        <w:rPr>
          <w:rFonts w:cstheme="minorHAnsi"/>
        </w:rPr>
        <w:t xml:space="preserve"> genom föreskrifter.</w:t>
      </w:r>
      <w:r>
        <w:rPr>
          <w:rFonts w:cstheme="minorHAnsi"/>
        </w:rPr>
        <w:t xml:space="preserve"> </w:t>
      </w:r>
      <w:r>
        <w:t xml:space="preserve">Myndigheterna måste ta ställning till både om de kostnader som föreskrifterna ger upphov till kan godtas och, om det finns alternativa lösningar, vad dessa kostar.  </w:t>
      </w:r>
    </w:p>
    <w:p w14:paraId="1F229D39" w14:textId="4EAA3BA2" w:rsidR="00F96F70" w:rsidRDefault="00F96F70" w:rsidP="00F96F70">
      <w:pPr>
        <w:autoSpaceDE w:val="0"/>
        <w:autoSpaceDN w:val="0"/>
        <w:adjustRightInd w:val="0"/>
        <w:spacing w:line="276" w:lineRule="auto"/>
      </w:pPr>
      <w:r>
        <w:rPr>
          <w:rFonts w:ascii="Times New Roman" w:hAnsi="Times New Roman" w:cs="Times New Roman"/>
        </w:rPr>
        <w:t xml:space="preserve">Vi har bedömt att föreskrifter behövs på alla områden som omfattas av denna konsekvensutredning, </w:t>
      </w:r>
      <w:r w:rsidR="000F09F7">
        <w:rPr>
          <w:rFonts w:ascii="Times New Roman" w:hAnsi="Times New Roman" w:cs="Times New Roman"/>
        </w:rPr>
        <w:t>det vill säga</w:t>
      </w:r>
      <w:r>
        <w:rPr>
          <w:rFonts w:ascii="Times New Roman" w:hAnsi="Times New Roman" w:cs="Times New Roman"/>
        </w:rPr>
        <w:t xml:space="preserve"> </w:t>
      </w:r>
      <w:r>
        <w:t>produktanmälan, märkning (innehållsdeklaration, hälsovarning samt återgivande av hälsovarning i vissa fall)</w:t>
      </w:r>
      <w:r w:rsidR="003F29C8">
        <w:t>,</w:t>
      </w:r>
      <w:r>
        <w:t xml:space="preserve"> </w:t>
      </w:r>
      <w:r w:rsidRPr="00DE5427">
        <w:t>underrättelseskyldighet om brister i produkter</w:t>
      </w:r>
      <w:r>
        <w:t xml:space="preserve"> samt rapportering av försäljningsvolymer och preferenser. </w:t>
      </w:r>
    </w:p>
    <w:p w14:paraId="618C8413" w14:textId="77777777" w:rsidR="00EB5A5C" w:rsidRDefault="00EB5A5C" w:rsidP="00F96F70">
      <w:pPr>
        <w:autoSpaceDE w:val="0"/>
        <w:autoSpaceDN w:val="0"/>
        <w:adjustRightInd w:val="0"/>
        <w:spacing w:line="276" w:lineRule="auto"/>
      </w:pPr>
    </w:p>
    <w:p w14:paraId="0DF6495C" w14:textId="24A5D825" w:rsidR="00F96F70" w:rsidRDefault="00EB5A5C" w:rsidP="00F96F70">
      <w:pPr>
        <w:autoSpaceDE w:val="0"/>
        <w:autoSpaceDN w:val="0"/>
        <w:adjustRightInd w:val="0"/>
        <w:spacing w:line="276" w:lineRule="auto"/>
      </w:pPr>
      <w:r w:rsidRPr="002F4E6C">
        <w:t xml:space="preserve">Den alternativa lösning som </w:t>
      </w:r>
      <w:r>
        <w:t xml:space="preserve">i första hand </w:t>
      </w:r>
      <w:r w:rsidRPr="002F4E6C">
        <w:t xml:space="preserve">står till buds </w:t>
      </w:r>
      <w:r>
        <w:t xml:space="preserve">i detta fall </w:t>
      </w:r>
      <w:r w:rsidRPr="002F4E6C">
        <w:t>är allmänna råd. Nedan redog</w:t>
      </w:r>
      <w:r>
        <w:t>ör</w:t>
      </w:r>
      <w:r w:rsidR="000F09F7">
        <w:t xml:space="preserve"> vi</w:t>
      </w:r>
      <w:r>
        <w:t xml:space="preserve"> för varför </w:t>
      </w:r>
      <w:r w:rsidR="000F09F7">
        <w:t xml:space="preserve">vi bedömer att </w:t>
      </w:r>
      <w:r>
        <w:t>det</w:t>
      </w:r>
      <w:r w:rsidR="005B45E7">
        <w:t xml:space="preserve"> inte är</w:t>
      </w:r>
      <w:r w:rsidRPr="002F4E6C">
        <w:t xml:space="preserve"> ett lämpligt alternativ</w:t>
      </w:r>
      <w:r>
        <w:t xml:space="preserve">. </w:t>
      </w:r>
      <w:r w:rsidR="001435B5">
        <w:t>Vi tar också s</w:t>
      </w:r>
      <w:r>
        <w:t>tällning till nollalternativet</w:t>
      </w:r>
      <w:r w:rsidRPr="002F4E6C">
        <w:t>.</w:t>
      </w:r>
    </w:p>
    <w:p w14:paraId="3C6903FF" w14:textId="77777777" w:rsidR="00F96F70" w:rsidRPr="00EE7DD5" w:rsidRDefault="00F96F70" w:rsidP="00F96F70">
      <w:pPr>
        <w:autoSpaceDE w:val="0"/>
        <w:autoSpaceDN w:val="0"/>
        <w:adjustRightInd w:val="0"/>
        <w:spacing w:line="276" w:lineRule="auto"/>
      </w:pPr>
      <w:r>
        <w:t xml:space="preserve"> </w:t>
      </w:r>
    </w:p>
    <w:p w14:paraId="23CB229C" w14:textId="77777777" w:rsidR="00F96F70" w:rsidRPr="000950A9" w:rsidRDefault="00F96F70" w:rsidP="00581D41">
      <w:pPr>
        <w:pStyle w:val="Rubrik2"/>
      </w:pPr>
      <w:r w:rsidRPr="000950A9">
        <w:t>A</w:t>
      </w:r>
      <w:r>
        <w:t>llmänna råd</w:t>
      </w:r>
    </w:p>
    <w:p w14:paraId="037AF052" w14:textId="38D3F10D" w:rsidR="00F96F70" w:rsidRPr="002F4E6C" w:rsidRDefault="00F96F70" w:rsidP="00F96F70">
      <w:pPr>
        <w:autoSpaceDE w:val="0"/>
        <w:autoSpaceDN w:val="0"/>
        <w:adjustRightInd w:val="0"/>
        <w:spacing w:line="276" w:lineRule="auto"/>
        <w:rPr>
          <w:rFonts w:ascii="Times New Roman" w:hAnsi="Times New Roman" w:cs="Times New Roman"/>
        </w:rPr>
      </w:pPr>
      <w:r w:rsidRPr="002F4E6C">
        <w:rPr>
          <w:rFonts w:ascii="Times New Roman" w:hAnsi="Times New Roman" w:cs="Times New Roman"/>
        </w:rPr>
        <w:t>Allmänna råd skiljer sig från föreskrifter genom att de inte</w:t>
      </w:r>
      <w:r w:rsidR="002C0D5B">
        <w:rPr>
          <w:rFonts w:ascii="Times New Roman" w:hAnsi="Times New Roman" w:cs="Times New Roman"/>
        </w:rPr>
        <w:t xml:space="preserve"> </w:t>
      </w:r>
      <w:r w:rsidRPr="002F4E6C">
        <w:rPr>
          <w:rFonts w:ascii="Times New Roman" w:hAnsi="Times New Roman" w:cs="Times New Roman"/>
        </w:rPr>
        <w:t xml:space="preserve">är bindande för </w:t>
      </w:r>
      <w:r w:rsidR="002C0D5B">
        <w:rPr>
          <w:rFonts w:ascii="Times New Roman" w:hAnsi="Times New Roman" w:cs="Times New Roman"/>
        </w:rPr>
        <w:t>varken</w:t>
      </w:r>
      <w:r w:rsidRPr="002F4E6C">
        <w:rPr>
          <w:rFonts w:ascii="Times New Roman" w:hAnsi="Times New Roman" w:cs="Times New Roman"/>
        </w:rPr>
        <w:t xml:space="preserve"> myndigheter eller enskilda. De allmänna råden är </w:t>
      </w:r>
      <w:r w:rsidRPr="002F4E6C">
        <w:rPr>
          <w:rFonts w:ascii="Times New Roman" w:hAnsi="Times New Roman" w:cs="Times New Roman"/>
          <w:iCs/>
        </w:rPr>
        <w:t>i</w:t>
      </w:r>
      <w:r w:rsidR="002C0D5B">
        <w:rPr>
          <w:rFonts w:ascii="Times New Roman" w:hAnsi="Times New Roman" w:cs="Times New Roman"/>
          <w:iCs/>
        </w:rPr>
        <w:t xml:space="preserve"> </w:t>
      </w:r>
      <w:r w:rsidRPr="002F4E6C">
        <w:rPr>
          <w:rFonts w:ascii="Times New Roman" w:hAnsi="Times New Roman" w:cs="Times New Roman"/>
          <w:iCs/>
        </w:rPr>
        <w:t xml:space="preserve">stället generella rekommendationer om tillämpningen av </w:t>
      </w:r>
      <w:r w:rsidR="00097C8D">
        <w:rPr>
          <w:rFonts w:ascii="Times New Roman" w:hAnsi="Times New Roman" w:cs="Times New Roman"/>
          <w:iCs/>
        </w:rPr>
        <w:t>författningen</w:t>
      </w:r>
      <w:r w:rsidR="00097C8D" w:rsidRPr="002F4E6C">
        <w:rPr>
          <w:rFonts w:ascii="Times New Roman" w:hAnsi="Times New Roman" w:cs="Times New Roman"/>
          <w:iCs/>
        </w:rPr>
        <w:t xml:space="preserve"> </w:t>
      </w:r>
      <w:r w:rsidRPr="002F4E6C">
        <w:rPr>
          <w:rFonts w:ascii="Times New Roman" w:hAnsi="Times New Roman" w:cs="Times New Roman"/>
          <w:iCs/>
        </w:rPr>
        <w:t>som</w:t>
      </w:r>
      <w:r w:rsidR="002C0D5B">
        <w:rPr>
          <w:rFonts w:ascii="Times New Roman" w:hAnsi="Times New Roman" w:cs="Times New Roman"/>
          <w:iCs/>
        </w:rPr>
        <w:t xml:space="preserve"> </w:t>
      </w:r>
      <w:r w:rsidRPr="002F4E6C">
        <w:rPr>
          <w:rFonts w:ascii="Times New Roman" w:hAnsi="Times New Roman" w:cs="Times New Roman"/>
          <w:iCs/>
        </w:rPr>
        <w:t>anger hur någon kan eller bör handla i ett visst hänseende</w:t>
      </w:r>
      <w:r w:rsidRPr="002F4E6C">
        <w:rPr>
          <w:rFonts w:ascii="Times New Roman" w:hAnsi="Times New Roman" w:cs="Times New Roman"/>
        </w:rPr>
        <w:t xml:space="preserve">. </w:t>
      </w:r>
    </w:p>
    <w:p w14:paraId="1E621C09" w14:textId="77777777" w:rsidR="00F96F70" w:rsidRPr="002F4E6C" w:rsidRDefault="00F96F70" w:rsidP="00F96F70">
      <w:pPr>
        <w:pStyle w:val="HSLF-FS-Brdtextindragfrstaraden"/>
        <w:spacing w:line="276" w:lineRule="auto"/>
        <w:ind w:firstLine="0"/>
        <w:jc w:val="left"/>
        <w:rPr>
          <w:sz w:val="22"/>
          <w:szCs w:val="22"/>
        </w:rPr>
      </w:pPr>
    </w:p>
    <w:p w14:paraId="4F47E6AD" w14:textId="5A873AC4" w:rsidR="00201CA7" w:rsidRDefault="00201CA7" w:rsidP="00201CA7">
      <w:pPr>
        <w:pStyle w:val="HSLF-FS-Brdtextindragfrstaraden"/>
        <w:spacing w:line="276" w:lineRule="auto"/>
        <w:ind w:firstLine="0"/>
        <w:jc w:val="left"/>
        <w:rPr>
          <w:sz w:val="22"/>
          <w:szCs w:val="22"/>
        </w:rPr>
      </w:pPr>
      <w:r w:rsidRPr="002F4E6C">
        <w:rPr>
          <w:sz w:val="22"/>
          <w:szCs w:val="22"/>
        </w:rPr>
        <w:t xml:space="preserve">I de fall där </w:t>
      </w:r>
      <w:r>
        <w:rPr>
          <w:sz w:val="22"/>
          <w:szCs w:val="22"/>
        </w:rPr>
        <w:t>syftet med bestämmelserna är att skydda konsumenters hälsa bedöm</w:t>
      </w:r>
      <w:r w:rsidR="0011144D">
        <w:rPr>
          <w:sz w:val="22"/>
          <w:szCs w:val="22"/>
        </w:rPr>
        <w:t>er Folkhälsomyndigheten</w:t>
      </w:r>
      <w:r>
        <w:rPr>
          <w:sz w:val="22"/>
          <w:szCs w:val="22"/>
        </w:rPr>
        <w:t xml:space="preserve"> </w:t>
      </w:r>
      <w:r w:rsidR="0011144D">
        <w:rPr>
          <w:sz w:val="22"/>
          <w:szCs w:val="22"/>
        </w:rPr>
        <w:t xml:space="preserve">att </w:t>
      </w:r>
      <w:r>
        <w:rPr>
          <w:sz w:val="22"/>
          <w:szCs w:val="22"/>
        </w:rPr>
        <w:t xml:space="preserve">allmänna råd </w:t>
      </w:r>
      <w:r w:rsidR="0011144D">
        <w:rPr>
          <w:sz w:val="22"/>
          <w:szCs w:val="22"/>
        </w:rPr>
        <w:t>är</w:t>
      </w:r>
      <w:r>
        <w:rPr>
          <w:sz w:val="22"/>
          <w:szCs w:val="22"/>
        </w:rPr>
        <w:t xml:space="preserve"> en för svag </w:t>
      </w:r>
      <w:r w:rsidR="003F29C8">
        <w:rPr>
          <w:sz w:val="22"/>
          <w:szCs w:val="22"/>
        </w:rPr>
        <w:t xml:space="preserve">åtgärd </w:t>
      </w:r>
      <w:r>
        <w:rPr>
          <w:sz w:val="22"/>
          <w:szCs w:val="22"/>
        </w:rPr>
        <w:t xml:space="preserve">för att uppnå syftet, eftersom de </w:t>
      </w:r>
      <w:r w:rsidRPr="00D75489">
        <w:rPr>
          <w:sz w:val="22"/>
          <w:szCs w:val="22"/>
        </w:rPr>
        <w:t xml:space="preserve">skyddsvärda aspekterna då riskerar att inte beaktas i lika hög utsträckning. </w:t>
      </w:r>
      <w:r w:rsidRPr="002F4E6C">
        <w:rPr>
          <w:sz w:val="22"/>
          <w:szCs w:val="22"/>
        </w:rPr>
        <w:t xml:space="preserve">Det krävs </w:t>
      </w:r>
      <w:r>
        <w:rPr>
          <w:sz w:val="22"/>
          <w:szCs w:val="22"/>
        </w:rPr>
        <w:t xml:space="preserve">därför </w:t>
      </w:r>
      <w:r w:rsidRPr="002F4E6C">
        <w:rPr>
          <w:sz w:val="22"/>
          <w:szCs w:val="22"/>
        </w:rPr>
        <w:t>att preciseringen av bestämmelse</w:t>
      </w:r>
      <w:r>
        <w:rPr>
          <w:sz w:val="22"/>
          <w:szCs w:val="22"/>
        </w:rPr>
        <w:t>r</w:t>
      </w:r>
      <w:r w:rsidRPr="002F4E6C">
        <w:rPr>
          <w:sz w:val="22"/>
          <w:szCs w:val="22"/>
        </w:rPr>
        <w:t>n</w:t>
      </w:r>
      <w:r>
        <w:rPr>
          <w:sz w:val="22"/>
          <w:szCs w:val="22"/>
        </w:rPr>
        <w:t>a</w:t>
      </w:r>
      <w:r w:rsidRPr="002F4E6C">
        <w:rPr>
          <w:sz w:val="22"/>
          <w:szCs w:val="22"/>
        </w:rPr>
        <w:t xml:space="preserve"> görs med obligatorisk</w:t>
      </w:r>
      <w:r>
        <w:rPr>
          <w:sz w:val="22"/>
          <w:szCs w:val="22"/>
        </w:rPr>
        <w:t>a</w:t>
      </w:r>
      <w:r w:rsidRPr="002F4E6C">
        <w:rPr>
          <w:sz w:val="22"/>
          <w:szCs w:val="22"/>
        </w:rPr>
        <w:t xml:space="preserve"> krav</w:t>
      </w:r>
      <w:r>
        <w:rPr>
          <w:sz w:val="22"/>
          <w:szCs w:val="22"/>
        </w:rPr>
        <w:t>.</w:t>
      </w:r>
      <w:r w:rsidRPr="002F4E6C">
        <w:rPr>
          <w:sz w:val="22"/>
          <w:szCs w:val="22"/>
        </w:rPr>
        <w:t xml:space="preserve"> Detta gäller </w:t>
      </w:r>
      <w:r w:rsidR="00FF5EB3" w:rsidRPr="002F4E6C">
        <w:rPr>
          <w:sz w:val="22"/>
          <w:szCs w:val="22"/>
        </w:rPr>
        <w:t>bland annat</w:t>
      </w:r>
      <w:r w:rsidRPr="002F4E6C">
        <w:rPr>
          <w:sz w:val="22"/>
          <w:szCs w:val="22"/>
        </w:rPr>
        <w:t xml:space="preserve"> i fråga om innehållsförteckningen för de tobaksfria nikotinprodukterna, som vi anser </w:t>
      </w:r>
      <w:r w:rsidR="00FF5EB3" w:rsidRPr="002F4E6C">
        <w:rPr>
          <w:sz w:val="22"/>
          <w:szCs w:val="22"/>
        </w:rPr>
        <w:t xml:space="preserve">måste vara på svenska </w:t>
      </w:r>
      <w:r w:rsidRPr="002F4E6C">
        <w:rPr>
          <w:sz w:val="22"/>
          <w:szCs w:val="22"/>
        </w:rPr>
        <w:t xml:space="preserve">av </w:t>
      </w:r>
      <w:r>
        <w:rPr>
          <w:sz w:val="22"/>
          <w:szCs w:val="22"/>
        </w:rPr>
        <w:t>hänsyn till skyddet av konsumenternas hälsa</w:t>
      </w:r>
      <w:r w:rsidRPr="002F4E6C">
        <w:rPr>
          <w:sz w:val="22"/>
          <w:szCs w:val="22"/>
        </w:rPr>
        <w:t xml:space="preserve">. </w:t>
      </w:r>
      <w:r>
        <w:rPr>
          <w:sz w:val="22"/>
          <w:szCs w:val="22"/>
        </w:rPr>
        <w:t>Samma överväganden om obligatoriska krav gäller för u</w:t>
      </w:r>
      <w:r w:rsidRPr="002F4E6C">
        <w:rPr>
          <w:sz w:val="22"/>
          <w:szCs w:val="22"/>
        </w:rPr>
        <w:t>nderrättelseskyldig</w:t>
      </w:r>
      <w:r>
        <w:rPr>
          <w:sz w:val="22"/>
          <w:szCs w:val="22"/>
        </w:rPr>
        <w:t>heten om brister i produkter (16</w:t>
      </w:r>
      <w:r w:rsidRPr="002F4E6C">
        <w:rPr>
          <w:sz w:val="22"/>
          <w:szCs w:val="22"/>
        </w:rPr>
        <w:t xml:space="preserve"> § </w:t>
      </w:r>
      <w:r w:rsidR="001435B5">
        <w:rPr>
          <w:sz w:val="22"/>
          <w:szCs w:val="22"/>
        </w:rPr>
        <w:t xml:space="preserve">andra stycket </w:t>
      </w:r>
      <w:r w:rsidR="00FD4F4A">
        <w:rPr>
          <w:sz w:val="22"/>
          <w:szCs w:val="22"/>
        </w:rPr>
        <w:t>LTN</w:t>
      </w:r>
      <w:r w:rsidRPr="002F4E6C">
        <w:rPr>
          <w:sz w:val="22"/>
          <w:szCs w:val="22"/>
        </w:rPr>
        <w:t xml:space="preserve">). </w:t>
      </w:r>
    </w:p>
    <w:p w14:paraId="73EDB63C" w14:textId="6144081E" w:rsidR="007F535A" w:rsidRPr="002F4E6C" w:rsidRDefault="007F535A" w:rsidP="00F96F70">
      <w:pPr>
        <w:pStyle w:val="HSLF-FS-Brdtextindragfrstaraden"/>
        <w:spacing w:line="276" w:lineRule="auto"/>
        <w:ind w:firstLine="0"/>
        <w:jc w:val="left"/>
        <w:rPr>
          <w:sz w:val="22"/>
          <w:szCs w:val="22"/>
        </w:rPr>
      </w:pPr>
    </w:p>
    <w:p w14:paraId="0FEC692A" w14:textId="3538FBDB" w:rsidR="0023078D" w:rsidRDefault="0023078D" w:rsidP="0023078D">
      <w:r>
        <w:t xml:space="preserve">En av Folkhälsomyndighetens uppgifter är att ta emot produktanmälningar, underrättelser om </w:t>
      </w:r>
      <w:r w:rsidRPr="002F4E6C">
        <w:t xml:space="preserve">brister i produkter </w:t>
      </w:r>
      <w:r>
        <w:t xml:space="preserve">samt </w:t>
      </w:r>
      <w:r w:rsidRPr="002F4E6C">
        <w:t>rapporter</w:t>
      </w:r>
      <w:r>
        <w:t xml:space="preserve"> om </w:t>
      </w:r>
      <w:r w:rsidRPr="002F4E6C">
        <w:t>försäljningsvolymer och preferenser</w:t>
      </w:r>
      <w:r>
        <w:t xml:space="preserve">. Uppgifterna ska användas till att </w:t>
      </w:r>
      <w:r w:rsidRPr="00E25583">
        <w:t xml:space="preserve">göra det möjligt </w:t>
      </w:r>
      <w:r w:rsidR="006E2141">
        <w:t>att</w:t>
      </w:r>
    </w:p>
    <w:p w14:paraId="7B8B1EC9" w14:textId="72373111" w:rsidR="0023078D" w:rsidRPr="007A3C7D" w:rsidRDefault="0023078D" w:rsidP="0023078D">
      <w:pPr>
        <w:pStyle w:val="Liststycke"/>
        <w:numPr>
          <w:ilvl w:val="0"/>
          <w:numId w:val="50"/>
        </w:numPr>
        <w:spacing w:before="60" w:after="165" w:line="300" w:lineRule="atLeast"/>
      </w:pPr>
      <w:r w:rsidRPr="007A3C7D">
        <w:t xml:space="preserve">överblicka vilka produkter som utvecklas och säljs till konsumenter på marknaden och att kunna utöva tillsyn över dem, </w:t>
      </w:r>
    </w:p>
    <w:p w14:paraId="1154B1F8" w14:textId="3E8EB24E" w:rsidR="006E2141" w:rsidRDefault="0023078D" w:rsidP="0010247B">
      <w:pPr>
        <w:pStyle w:val="Liststycke"/>
        <w:numPr>
          <w:ilvl w:val="0"/>
          <w:numId w:val="50"/>
        </w:numPr>
        <w:spacing w:before="60" w:after="165" w:line="300" w:lineRule="atLeast"/>
      </w:pPr>
      <w:r w:rsidRPr="007A3C7D">
        <w:t>samla in information om misstänkta skadliga effekter och om åtgärder mot bristfälliga produkter som tillverkare, importörer eller distributörer ska vidta</w:t>
      </w:r>
      <w:r w:rsidR="0011144D">
        <w:t>, och</w:t>
      </w:r>
      <w:r w:rsidRPr="007A3C7D">
        <w:t xml:space="preserve"> </w:t>
      </w:r>
    </w:p>
    <w:p w14:paraId="76921AB2" w14:textId="035B20FF" w:rsidR="0023078D" w:rsidRPr="007A3C7D" w:rsidRDefault="0011144D" w:rsidP="00D75489">
      <w:pPr>
        <w:pStyle w:val="Liststycke"/>
        <w:numPr>
          <w:ilvl w:val="0"/>
          <w:numId w:val="50"/>
        </w:numPr>
        <w:spacing w:before="60" w:after="165" w:line="300" w:lineRule="atLeast"/>
      </w:pPr>
      <w:r w:rsidRPr="007A3C7D">
        <w:t>följa hur nikotinprodukterna påverkar folkhälsan</w:t>
      </w:r>
      <w:r>
        <w:t>.</w:t>
      </w:r>
    </w:p>
    <w:p w14:paraId="5E1720E3" w14:textId="7CC368F7" w:rsidR="0023078D" w:rsidRPr="002F4E6C" w:rsidRDefault="0023078D" w:rsidP="0023078D">
      <w:pPr>
        <w:autoSpaceDE w:val="0"/>
        <w:autoSpaceDN w:val="0"/>
        <w:adjustRightInd w:val="0"/>
        <w:spacing w:line="276" w:lineRule="auto"/>
      </w:pPr>
      <w:r>
        <w:t xml:space="preserve">Utifrån detta är det angeläget att säkerställa att rätt uppgifter ges in, att de ges in på </w:t>
      </w:r>
      <w:r w:rsidR="003F29C8">
        <w:t>samma</w:t>
      </w:r>
      <w:r>
        <w:t xml:space="preserve"> sätt av alla som ska anmäla och rapportera i systemet och att de ges in i ett visst format. </w:t>
      </w:r>
      <w:r w:rsidR="000E794A">
        <w:t xml:space="preserve">Vi </w:t>
      </w:r>
      <w:r>
        <w:t xml:space="preserve">bedömer att detta knappast kan uppnås på annat sätt </w:t>
      </w:r>
      <w:r w:rsidRPr="002F4E6C">
        <w:t xml:space="preserve">än </w:t>
      </w:r>
      <w:r>
        <w:t xml:space="preserve">genom </w:t>
      </w:r>
      <w:r w:rsidRPr="002F4E6C">
        <w:t xml:space="preserve">en </w:t>
      </w:r>
      <w:r w:rsidRPr="002F4E6C">
        <w:rPr>
          <w:rFonts w:ascii="Times New Roman" w:hAnsi="Times New Roman" w:cs="Times New Roman"/>
        </w:rPr>
        <w:t>bindande och generellt gällande reglering.</w:t>
      </w:r>
      <w:r w:rsidRPr="002F4E6C">
        <w:t xml:space="preserve"> </w:t>
      </w:r>
      <w:r w:rsidR="00B37726">
        <w:t>Vi bedömer därför att varken p</w:t>
      </w:r>
      <w:r w:rsidRPr="002F4E6C">
        <w:t xml:space="preserve">reciseringen av produktanmälan, </w:t>
      </w:r>
      <w:r w:rsidRPr="002F4E6C">
        <w:lastRenderedPageBreak/>
        <w:t xml:space="preserve">underrättelseskyldighet om brister i produkter </w:t>
      </w:r>
      <w:r w:rsidR="00B37726">
        <w:t>eller</w:t>
      </w:r>
      <w:r w:rsidR="00B37726" w:rsidRPr="002F4E6C">
        <w:t xml:space="preserve"> </w:t>
      </w:r>
      <w:r w:rsidRPr="002F4E6C">
        <w:t xml:space="preserve">rapportering av försäljningsvolymer och preferenser </w:t>
      </w:r>
      <w:r w:rsidR="00B37726">
        <w:t>kan</w:t>
      </w:r>
      <w:r w:rsidRPr="002F4E6C">
        <w:t xml:space="preserve"> regleras genom allmänna råd. </w:t>
      </w:r>
    </w:p>
    <w:p w14:paraId="24B02059" w14:textId="77777777" w:rsidR="00F96F70" w:rsidRPr="002F4E6C" w:rsidRDefault="00F96F70" w:rsidP="00F96F70">
      <w:pPr>
        <w:autoSpaceDE w:val="0"/>
        <w:autoSpaceDN w:val="0"/>
        <w:adjustRightInd w:val="0"/>
        <w:spacing w:line="276" w:lineRule="auto"/>
      </w:pPr>
    </w:p>
    <w:p w14:paraId="13D5B07B" w14:textId="2D683E71" w:rsidR="00F96F70" w:rsidRPr="002F4E6C" w:rsidRDefault="00F96F70" w:rsidP="00F96F70">
      <w:pPr>
        <w:autoSpaceDE w:val="0"/>
        <w:autoSpaceDN w:val="0"/>
        <w:adjustRightInd w:val="0"/>
        <w:spacing w:line="276" w:lineRule="auto"/>
      </w:pPr>
      <w:r w:rsidRPr="002F4E6C">
        <w:t xml:space="preserve">Folkhälsomyndighetens bemyndigande </w:t>
      </w:r>
      <w:r w:rsidR="00C3263E">
        <w:t>gäller</w:t>
      </w:r>
      <w:r w:rsidR="00C3263E" w:rsidRPr="002F4E6C">
        <w:t xml:space="preserve"> </w:t>
      </w:r>
      <w:r w:rsidRPr="002F4E6C">
        <w:t>också utformning</w:t>
      </w:r>
      <w:r w:rsidR="00C3263E">
        <w:t>en</w:t>
      </w:r>
      <w:r w:rsidRPr="002F4E6C">
        <w:t xml:space="preserve"> av innehållsförteckning och hälsovarning</w:t>
      </w:r>
      <w:r>
        <w:t xml:space="preserve">. Det </w:t>
      </w:r>
      <w:r w:rsidRPr="002F4E6C">
        <w:t xml:space="preserve">vill säga sådant som teckensnitt på märkningen, märkningens placering på förpackningen och hur stora ytor av en förpackning som ska täckas av innehållsförteckning och hälsovarning. Syftet med hälsovarningarna </w:t>
      </w:r>
      <w:r w:rsidR="00B7724F">
        <w:t>och innehållsdeklaration</w:t>
      </w:r>
      <w:r w:rsidR="000152B6">
        <w:t>en</w:t>
      </w:r>
      <w:r w:rsidR="00B7724F">
        <w:t xml:space="preserve"> </w:t>
      </w:r>
      <w:r w:rsidRPr="002F4E6C">
        <w:t xml:space="preserve">är att varna för </w:t>
      </w:r>
      <w:r w:rsidR="00B7724F">
        <w:t xml:space="preserve">och informera om </w:t>
      </w:r>
      <w:r w:rsidRPr="002F4E6C">
        <w:t xml:space="preserve">produkternas skadlighet för </w:t>
      </w:r>
      <w:r w:rsidRPr="002F4E6C">
        <w:rPr>
          <w:rFonts w:cstheme="minorHAnsi"/>
        </w:rPr>
        <w:t>människors hälsa.</w:t>
      </w:r>
      <w:r w:rsidR="00B7724F">
        <w:rPr>
          <w:rFonts w:cstheme="minorHAnsi"/>
        </w:rPr>
        <w:t xml:space="preserve"> </w:t>
      </w:r>
      <w:r w:rsidRPr="002F4E6C">
        <w:rPr>
          <w:rFonts w:cstheme="minorHAnsi"/>
        </w:rPr>
        <w:t xml:space="preserve">Märkningen bör därför vara klart synlig och storleksmässigt framträdande på förpackningen. Det kan enligt </w:t>
      </w:r>
      <w:r w:rsidR="000152B6">
        <w:rPr>
          <w:rFonts w:cstheme="minorHAnsi"/>
        </w:rPr>
        <w:t>vår</w:t>
      </w:r>
      <w:r w:rsidR="000152B6" w:rsidRPr="002F4E6C">
        <w:rPr>
          <w:rFonts w:cstheme="minorHAnsi"/>
        </w:rPr>
        <w:t xml:space="preserve"> </w:t>
      </w:r>
      <w:r w:rsidRPr="002F4E6C">
        <w:rPr>
          <w:rFonts w:cstheme="minorHAnsi"/>
        </w:rPr>
        <w:t>bedömning inte säkerställas genom allmänna råd</w:t>
      </w:r>
      <w:r w:rsidR="000152B6">
        <w:rPr>
          <w:rFonts w:cstheme="minorHAnsi"/>
        </w:rPr>
        <w:t>,</w:t>
      </w:r>
      <w:r w:rsidRPr="002F4E6C">
        <w:rPr>
          <w:rFonts w:cstheme="minorHAnsi"/>
        </w:rPr>
        <w:t xml:space="preserve"> utan kräver en </w:t>
      </w:r>
      <w:r w:rsidRPr="002F4E6C">
        <w:rPr>
          <w:rFonts w:ascii="Times New Roman" w:hAnsi="Times New Roman" w:cs="Times New Roman"/>
        </w:rPr>
        <w:t>bindande och generellt gällande reglering</w:t>
      </w:r>
      <w:r w:rsidRPr="002F4E6C">
        <w:rPr>
          <w:rFonts w:cstheme="minorHAnsi"/>
        </w:rPr>
        <w:t xml:space="preserve">. </w:t>
      </w:r>
      <w:r w:rsidRPr="002F4E6C">
        <w:t xml:space="preserve">  </w:t>
      </w:r>
    </w:p>
    <w:p w14:paraId="07E0105D" w14:textId="77777777" w:rsidR="00F96F70" w:rsidRPr="002F4E6C" w:rsidRDefault="00F96F70" w:rsidP="00F96F70">
      <w:pPr>
        <w:autoSpaceDE w:val="0"/>
        <w:autoSpaceDN w:val="0"/>
        <w:adjustRightInd w:val="0"/>
        <w:spacing w:line="276" w:lineRule="auto"/>
      </w:pPr>
    </w:p>
    <w:p w14:paraId="55C68A31" w14:textId="3099FB48" w:rsidR="001435B5" w:rsidRPr="002F4E6C" w:rsidRDefault="001435B5" w:rsidP="001435B5">
      <w:pPr>
        <w:autoSpaceDE w:val="0"/>
        <w:autoSpaceDN w:val="0"/>
        <w:adjustRightInd w:val="0"/>
        <w:spacing w:line="276" w:lineRule="auto"/>
      </w:pPr>
      <w:r w:rsidRPr="00406CC0">
        <w:rPr>
          <w:rFonts w:cstheme="minorHAnsi"/>
        </w:rPr>
        <w:t xml:space="preserve">Bemyndigandet omfattar även </w:t>
      </w:r>
      <w:r w:rsidRPr="00406CC0">
        <w:t xml:space="preserve">återgivande av hälsovarningar genom kommersiella annonser vid viss marknadsföring enligt 10 § </w:t>
      </w:r>
      <w:r w:rsidR="00FD4F4A">
        <w:t>LTN</w:t>
      </w:r>
      <w:r w:rsidRPr="00406CC0">
        <w:t>. Enligt den bestämmelsen ska hälsovarningarna återges ”tydligt”.</w:t>
      </w:r>
      <w:r w:rsidRPr="001435B5">
        <w:t xml:space="preserve"> </w:t>
      </w:r>
      <w:r w:rsidR="0000461B">
        <w:t>Vi</w:t>
      </w:r>
      <w:r w:rsidR="0000461B" w:rsidRPr="00406CC0">
        <w:t xml:space="preserve"> </w:t>
      </w:r>
      <w:r w:rsidRPr="00406CC0">
        <w:t>bedömer att det krävs föreskrifter för att precisera vad som menas med det</w:t>
      </w:r>
      <w:r w:rsidR="005246FD">
        <w:t>,</w:t>
      </w:r>
      <w:r w:rsidRPr="00406CC0">
        <w:t xml:space="preserve"> och därmed också </w:t>
      </w:r>
      <w:r w:rsidR="005246FD">
        <w:t xml:space="preserve">för </w:t>
      </w:r>
      <w:r w:rsidRPr="00406CC0">
        <w:t>att säkerställa att syftet med hälsovarningarna uppnås vid marknadsföringen.</w:t>
      </w:r>
      <w:r w:rsidRPr="002F4E6C">
        <w:t xml:space="preserve"> </w:t>
      </w:r>
    </w:p>
    <w:p w14:paraId="4E4C793D" w14:textId="799A8DBF" w:rsidR="001435B5" w:rsidRDefault="001435B5" w:rsidP="00F96F70">
      <w:pPr>
        <w:autoSpaceDE w:val="0"/>
        <w:autoSpaceDN w:val="0"/>
        <w:adjustRightInd w:val="0"/>
        <w:spacing w:line="276" w:lineRule="auto"/>
        <w:rPr>
          <w:rFonts w:cstheme="minorHAnsi"/>
        </w:rPr>
      </w:pPr>
    </w:p>
    <w:p w14:paraId="752826B0" w14:textId="77777777" w:rsidR="00F96F70" w:rsidRPr="002F4E6C" w:rsidRDefault="00F96F70" w:rsidP="00F96F70">
      <w:pPr>
        <w:spacing w:after="160" w:line="276" w:lineRule="auto"/>
        <w:rPr>
          <w:rFonts w:cstheme="minorHAnsi"/>
          <w:b/>
          <w:i/>
        </w:rPr>
      </w:pPr>
    </w:p>
    <w:p w14:paraId="20611989" w14:textId="77777777" w:rsidR="00F96F70" w:rsidRPr="002F4E6C" w:rsidRDefault="00F96F70" w:rsidP="00581D41">
      <w:pPr>
        <w:pStyle w:val="Rubrik2"/>
      </w:pPr>
      <w:r w:rsidRPr="002F4E6C">
        <w:t>Nollalternativet</w:t>
      </w:r>
    </w:p>
    <w:p w14:paraId="481D7050" w14:textId="3F81EBE7" w:rsidR="00F96F70" w:rsidRPr="002F4E6C" w:rsidRDefault="00F96F70" w:rsidP="00F96F70">
      <w:pPr>
        <w:pStyle w:val="Brdtext"/>
        <w:spacing w:line="276" w:lineRule="auto"/>
      </w:pPr>
      <w:r w:rsidRPr="002F4E6C">
        <w:t>Nollalternativet vore i detta sammanhang att helt avstå från att gör</w:t>
      </w:r>
      <w:r>
        <w:t>a</w:t>
      </w:r>
      <w:r w:rsidRPr="002F4E6C">
        <w:t xml:space="preserve"> preciseringar av de aktuella bestämmelserna och överlämna till </w:t>
      </w:r>
      <w:r w:rsidR="00056B87">
        <w:t xml:space="preserve">tillverkare, importörer, </w:t>
      </w:r>
      <w:r w:rsidRPr="002F4E6C">
        <w:t xml:space="preserve">distributörer </w:t>
      </w:r>
      <w:r w:rsidR="00056B87">
        <w:t xml:space="preserve">och tillsynsorgan </w:t>
      </w:r>
      <w:r w:rsidRPr="002F4E6C">
        <w:t xml:space="preserve">att förhålla sig till vad som följer av lagen och förordningen om tobaksfria nikotinprodukter inom de aktuella områdena. Som beskrivits ovan med avseende på allmänna råd är reglerna i lagen och förordningen inte tillräckligt detaljerade för att förverkliga syftena med regleringen.  </w:t>
      </w:r>
    </w:p>
    <w:p w14:paraId="7E63D93D" w14:textId="77777777" w:rsidR="00F96F70" w:rsidRDefault="00F96F70" w:rsidP="00D75489">
      <w:pPr>
        <w:pStyle w:val="Brdtext"/>
        <w:rPr>
          <w:rFonts w:eastAsia="Times New Roman"/>
          <w:lang w:eastAsia="sv-SE"/>
        </w:rPr>
      </w:pPr>
    </w:p>
    <w:p w14:paraId="14926542" w14:textId="77777777" w:rsidR="00397A00" w:rsidRPr="002F4E6C" w:rsidRDefault="00397A00" w:rsidP="00397A00">
      <w:pPr>
        <w:spacing w:after="160" w:line="276" w:lineRule="auto"/>
        <w:rPr>
          <w:rFonts w:cstheme="minorHAnsi"/>
        </w:rPr>
      </w:pPr>
    </w:p>
    <w:p w14:paraId="479C4DE8" w14:textId="77777777" w:rsidR="007A579C" w:rsidRPr="00A46EF7" w:rsidRDefault="007A579C" w:rsidP="00A46EF7">
      <w:pPr>
        <w:pStyle w:val="Brdtext"/>
        <w:rPr>
          <w:lang w:eastAsia="sv-SE"/>
        </w:rPr>
      </w:pPr>
    </w:p>
    <w:p w14:paraId="7AFDF491" w14:textId="165363D6" w:rsidR="00736A23" w:rsidRDefault="002301BD" w:rsidP="00736A23">
      <w:pPr>
        <w:pStyle w:val="Rubrik1"/>
        <w:rPr>
          <w:rFonts w:eastAsia="Times New Roman"/>
          <w:lang w:eastAsia="sv-SE"/>
        </w:rPr>
      </w:pPr>
      <w:r w:rsidRPr="00B4578A">
        <w:rPr>
          <w:rFonts w:eastAsia="Times New Roman"/>
          <w:lang w:eastAsia="sv-SE"/>
        </w:rPr>
        <w:t>Uppgifter om vilka som berörs av regleringen</w:t>
      </w:r>
    </w:p>
    <w:p w14:paraId="66783205" w14:textId="77777777" w:rsidR="00736A23" w:rsidRPr="008F595C" w:rsidRDefault="00736A23" w:rsidP="00581D41">
      <w:pPr>
        <w:pStyle w:val="Rubrik2"/>
        <w:rPr>
          <w:rFonts w:eastAsia="Times New Roman"/>
          <w:lang w:eastAsia="sv-SE"/>
        </w:rPr>
      </w:pPr>
      <w:r w:rsidRPr="008F595C">
        <w:rPr>
          <w:rFonts w:eastAsia="Times New Roman"/>
          <w:lang w:eastAsia="sv-SE"/>
        </w:rPr>
        <w:t>Näringsliv</w:t>
      </w:r>
    </w:p>
    <w:p w14:paraId="1DFCB6CA" w14:textId="77777777" w:rsidR="00337926" w:rsidRPr="008F595C" w:rsidRDefault="00337926" w:rsidP="00581D41">
      <w:pPr>
        <w:pStyle w:val="Rubrik3"/>
        <w:rPr>
          <w:rFonts w:eastAsia="Times New Roman"/>
          <w:lang w:eastAsia="sv-SE"/>
        </w:rPr>
      </w:pPr>
      <w:r w:rsidRPr="008F595C">
        <w:rPr>
          <w:rFonts w:eastAsia="Times New Roman"/>
          <w:lang w:eastAsia="sv-SE"/>
        </w:rPr>
        <w:t>Tillverkare</w:t>
      </w:r>
      <w:r>
        <w:rPr>
          <w:rFonts w:eastAsia="Times New Roman"/>
          <w:lang w:eastAsia="sv-SE"/>
        </w:rPr>
        <w:t xml:space="preserve"> och </w:t>
      </w:r>
      <w:r w:rsidRPr="008F595C">
        <w:rPr>
          <w:rFonts w:eastAsia="Times New Roman"/>
          <w:lang w:eastAsia="sv-SE"/>
        </w:rPr>
        <w:t>importörer</w:t>
      </w:r>
      <w:r>
        <w:rPr>
          <w:rFonts w:eastAsia="Times New Roman"/>
          <w:lang w:eastAsia="sv-SE"/>
        </w:rPr>
        <w:t xml:space="preserve">  </w:t>
      </w:r>
    </w:p>
    <w:p w14:paraId="467ED843" w14:textId="4A076160" w:rsidR="00337926" w:rsidRPr="00337926" w:rsidRDefault="00337926" w:rsidP="00337926">
      <w:pPr>
        <w:spacing w:line="260" w:lineRule="atLeast"/>
        <w:rPr>
          <w:rFonts w:ascii="Times New Roman" w:eastAsia="Times New Roman" w:hAnsi="Times New Roman" w:cs="Times New Roman"/>
          <w:lang w:eastAsia="sv-SE"/>
        </w:rPr>
      </w:pPr>
      <w:r w:rsidRPr="00406CC0">
        <w:rPr>
          <w:rFonts w:ascii="Times New Roman" w:eastAsia="Times New Roman" w:hAnsi="Times New Roman" w:cs="Times New Roman"/>
          <w:lang w:eastAsia="sv-SE"/>
        </w:rPr>
        <w:t xml:space="preserve">I de föreslagna </w:t>
      </w:r>
      <w:r w:rsidRPr="00337926">
        <w:rPr>
          <w:rFonts w:ascii="Times New Roman" w:eastAsia="Times New Roman" w:hAnsi="Times New Roman" w:cs="Times New Roman"/>
          <w:lang w:eastAsia="sv-SE"/>
        </w:rPr>
        <w:t>föreskrifterna regleras var</w:t>
      </w:r>
      <w:r w:rsidRPr="00406CC0">
        <w:rPr>
          <w:rFonts w:ascii="Times New Roman" w:eastAsia="Times New Roman" w:hAnsi="Times New Roman" w:cs="Times New Roman"/>
          <w:lang w:eastAsia="sv-SE"/>
        </w:rPr>
        <w:t xml:space="preserve"> och hur </w:t>
      </w:r>
      <w:r w:rsidRPr="00406CC0">
        <w:t>produktanmälningar, underrättelser om brister i produkter samt rapporter om försäljningsvolymer och preferenser</w:t>
      </w:r>
      <w:r w:rsidRPr="00406CC0">
        <w:rPr>
          <w:rFonts w:ascii="Times New Roman" w:eastAsia="Times New Roman" w:hAnsi="Times New Roman" w:cs="Times New Roman"/>
          <w:lang w:eastAsia="sv-SE"/>
        </w:rPr>
        <w:t xml:space="preserve"> ska göras. </w:t>
      </w:r>
      <w:r w:rsidR="00DC4E9B">
        <w:rPr>
          <w:rFonts w:ascii="Times New Roman" w:eastAsia="Times New Roman" w:hAnsi="Times New Roman" w:cs="Times New Roman"/>
          <w:lang w:eastAsia="sv-SE"/>
        </w:rPr>
        <w:t xml:space="preserve">Föreskrifterna reglerar </w:t>
      </w:r>
      <w:r w:rsidR="0043570A">
        <w:rPr>
          <w:rFonts w:ascii="Times New Roman" w:eastAsia="Times New Roman" w:hAnsi="Times New Roman" w:cs="Times New Roman"/>
          <w:lang w:eastAsia="sv-SE"/>
        </w:rPr>
        <w:t>också</w:t>
      </w:r>
      <w:r w:rsidRPr="00406CC0">
        <w:rPr>
          <w:rFonts w:ascii="Times New Roman" w:eastAsia="Times New Roman" w:hAnsi="Times New Roman" w:cs="Times New Roman"/>
          <w:lang w:eastAsia="sv-SE"/>
        </w:rPr>
        <w:t xml:space="preserve"> hur märkningen av produkterna ska se ut och hur hälsovarningarna ska återges vid viss marknadsföring. De föreslagna föreskrifterna påverkar därmed framför</w:t>
      </w:r>
      <w:r w:rsidR="0043570A">
        <w:rPr>
          <w:rFonts w:ascii="Times New Roman" w:eastAsia="Times New Roman" w:hAnsi="Times New Roman" w:cs="Times New Roman"/>
          <w:lang w:eastAsia="sv-SE"/>
        </w:rPr>
        <w:t xml:space="preserve"> </w:t>
      </w:r>
      <w:r w:rsidRPr="00406CC0">
        <w:rPr>
          <w:rFonts w:ascii="Times New Roman" w:eastAsia="Times New Roman" w:hAnsi="Times New Roman" w:cs="Times New Roman"/>
          <w:lang w:eastAsia="sv-SE"/>
        </w:rPr>
        <w:t>allt tillverkare och importörer av tobaksfria nikotinprodukter</w:t>
      </w:r>
      <w:r w:rsidR="00FC5D3A">
        <w:rPr>
          <w:rFonts w:ascii="Times New Roman" w:eastAsia="Times New Roman" w:hAnsi="Times New Roman" w:cs="Times New Roman"/>
          <w:lang w:eastAsia="sv-SE"/>
        </w:rPr>
        <w:t>.</w:t>
      </w:r>
    </w:p>
    <w:p w14:paraId="0B3B4F99" w14:textId="77777777" w:rsidR="00337926" w:rsidRPr="00337926" w:rsidRDefault="00337926" w:rsidP="00337926">
      <w:pPr>
        <w:rPr>
          <w:rFonts w:ascii="Sabon" w:eastAsia="Times New Roman" w:hAnsi="Sabon" w:cs="Times New Roman"/>
          <w:szCs w:val="20"/>
          <w:lang w:eastAsia="sv-SE"/>
        </w:rPr>
      </w:pPr>
    </w:p>
    <w:p w14:paraId="7D694F1C" w14:textId="2423176A" w:rsidR="00337926" w:rsidRPr="00406CC0" w:rsidRDefault="00337926" w:rsidP="00581D41">
      <w:pPr>
        <w:pStyle w:val="Rubrik3"/>
        <w:rPr>
          <w:rFonts w:eastAsia="Times New Roman"/>
          <w:lang w:eastAsia="sv-SE"/>
        </w:rPr>
      </w:pPr>
      <w:r w:rsidRPr="00406CC0">
        <w:rPr>
          <w:rFonts w:eastAsia="Times New Roman"/>
          <w:lang w:eastAsia="sv-SE"/>
        </w:rPr>
        <w:t>Distributörer</w:t>
      </w:r>
    </w:p>
    <w:p w14:paraId="24A052DF" w14:textId="62770DB8" w:rsidR="00337926" w:rsidRPr="00406CC0" w:rsidRDefault="00337926" w:rsidP="00337926">
      <w:r w:rsidRPr="00406CC0">
        <w:t xml:space="preserve">Detaljhandlare kommer att påverkas av föreskrifterna eftersom de inte får tillhandahålla tobaksfria produkter till konsumenter på marknaden om de inte är märkta i enlighet med de föreslagna föreskrifterna. De omfattas också av föreskriften om </w:t>
      </w:r>
      <w:r w:rsidRPr="00406CC0">
        <w:rPr>
          <w:rFonts w:eastAsia="Times New Roman"/>
          <w:lang w:eastAsia="sv-SE"/>
        </w:rPr>
        <w:t xml:space="preserve">underrättelseskyldighet vid produktbrister. </w:t>
      </w:r>
    </w:p>
    <w:p w14:paraId="3597EA83" w14:textId="77777777" w:rsidR="00337926" w:rsidRPr="00406CC0" w:rsidRDefault="00337926" w:rsidP="00337926"/>
    <w:p w14:paraId="200C7198" w14:textId="77777777" w:rsidR="00337926" w:rsidRPr="00337926" w:rsidRDefault="00337926" w:rsidP="00337926">
      <w:r w:rsidRPr="00406CC0">
        <w:lastRenderedPageBreak/>
        <w:t xml:space="preserve">Partihandlare kommer att påverkas av föreskriften </w:t>
      </w:r>
      <w:r w:rsidRPr="00406CC0">
        <w:rPr>
          <w:rFonts w:eastAsia="Times New Roman"/>
          <w:lang w:eastAsia="sv-SE"/>
        </w:rPr>
        <w:t>om underrättelseskyldighet vid produktbrister i egenskap av distributörer.</w:t>
      </w:r>
      <w:r w:rsidRPr="00337926">
        <w:rPr>
          <w:rFonts w:eastAsia="Times New Roman"/>
          <w:lang w:eastAsia="sv-SE"/>
        </w:rPr>
        <w:t xml:space="preserve"> </w:t>
      </w:r>
    </w:p>
    <w:p w14:paraId="186E8B12" w14:textId="77777777" w:rsidR="00337926" w:rsidRPr="00337926" w:rsidRDefault="00337926" w:rsidP="00337926">
      <w:pPr>
        <w:rPr>
          <w:rFonts w:ascii="Arial" w:eastAsia="Times New Roman" w:hAnsi="Arial" w:cs="Arial"/>
          <w:szCs w:val="20"/>
          <w:lang w:eastAsia="sv-SE"/>
        </w:rPr>
      </w:pPr>
    </w:p>
    <w:p w14:paraId="63D9E384" w14:textId="77777777" w:rsidR="00337926" w:rsidRPr="00337926" w:rsidRDefault="00337926" w:rsidP="00581D41">
      <w:pPr>
        <w:pStyle w:val="Rubrik2"/>
        <w:rPr>
          <w:rFonts w:eastAsia="Times New Roman"/>
          <w:lang w:eastAsia="sv-SE"/>
        </w:rPr>
      </w:pPr>
      <w:r w:rsidRPr="00337926">
        <w:rPr>
          <w:rFonts w:eastAsia="Times New Roman"/>
          <w:lang w:eastAsia="sv-SE"/>
        </w:rPr>
        <w:t>Offentliga organ</w:t>
      </w:r>
    </w:p>
    <w:p w14:paraId="38FA1EB6" w14:textId="77777777" w:rsidR="00337926" w:rsidRPr="00406CC0" w:rsidRDefault="00337926" w:rsidP="00581D41">
      <w:pPr>
        <w:pStyle w:val="Rubrik3"/>
        <w:rPr>
          <w:rFonts w:eastAsia="Times New Roman"/>
          <w:lang w:eastAsia="sv-SE"/>
        </w:rPr>
      </w:pPr>
      <w:r w:rsidRPr="00406CC0">
        <w:rPr>
          <w:rFonts w:eastAsia="Times New Roman"/>
          <w:lang w:eastAsia="sv-SE"/>
        </w:rPr>
        <w:t xml:space="preserve">Kommuner </w:t>
      </w:r>
    </w:p>
    <w:p w14:paraId="6E790B33" w14:textId="0C564229" w:rsidR="00337926" w:rsidRPr="00337926" w:rsidRDefault="00337926" w:rsidP="00337926">
      <w:pPr>
        <w:spacing w:line="260" w:lineRule="atLeast"/>
        <w:rPr>
          <w:rFonts w:ascii="Times New Roman" w:eastAsia="Times New Roman" w:hAnsi="Times New Roman" w:cs="Times New Roman"/>
          <w:lang w:eastAsia="sv-SE"/>
        </w:rPr>
      </w:pPr>
      <w:r w:rsidRPr="00406CC0">
        <w:rPr>
          <w:rFonts w:ascii="Times New Roman" w:eastAsia="Times New Roman" w:hAnsi="Times New Roman" w:cs="Times New Roman"/>
          <w:lang w:eastAsia="sv-SE"/>
        </w:rPr>
        <w:t>Föreskrifterna kommer att påverka kommunerna, som har ansvar för tillsyn av tobaksfria nikotinprodukter på fysiska försäljningsställen. Det innebär att kommunerna behöver känna till och tillämpa de nya föreskrifterna i sin tillsyn.</w:t>
      </w:r>
      <w:r w:rsidRPr="00337926">
        <w:rPr>
          <w:rFonts w:ascii="Times New Roman" w:eastAsia="Times New Roman" w:hAnsi="Times New Roman" w:cs="Times New Roman"/>
          <w:lang w:eastAsia="sv-SE"/>
        </w:rPr>
        <w:t xml:space="preserve"> </w:t>
      </w:r>
    </w:p>
    <w:p w14:paraId="34AF90A0" w14:textId="77777777" w:rsidR="00337926" w:rsidRPr="00337926" w:rsidRDefault="00337926" w:rsidP="00337926">
      <w:pPr>
        <w:rPr>
          <w:rFonts w:ascii="Sabon" w:eastAsia="Times New Roman" w:hAnsi="Sabon" w:cs="Times New Roman"/>
          <w:szCs w:val="20"/>
          <w:lang w:eastAsia="sv-SE"/>
        </w:rPr>
      </w:pPr>
    </w:p>
    <w:p w14:paraId="4E4C0F95" w14:textId="77777777" w:rsidR="00337926" w:rsidRPr="00337926" w:rsidRDefault="00337926" w:rsidP="00337926">
      <w:pPr>
        <w:rPr>
          <w:rFonts w:ascii="Sabon" w:eastAsia="Times New Roman" w:hAnsi="Sabon" w:cs="Times New Roman"/>
          <w:szCs w:val="20"/>
          <w:lang w:eastAsia="sv-SE"/>
        </w:rPr>
      </w:pPr>
    </w:p>
    <w:p w14:paraId="56FEAF94" w14:textId="77777777" w:rsidR="00337926" w:rsidRPr="00571A61" w:rsidRDefault="00337926" w:rsidP="00581D41">
      <w:pPr>
        <w:pStyle w:val="Rubrik3"/>
        <w:rPr>
          <w:rFonts w:eastAsia="Times New Roman"/>
          <w:lang w:eastAsia="sv-SE"/>
        </w:rPr>
      </w:pPr>
      <w:r w:rsidRPr="00337926">
        <w:rPr>
          <w:rFonts w:eastAsia="Times New Roman"/>
          <w:lang w:eastAsia="sv-SE"/>
        </w:rPr>
        <w:t>Statliga myndigheter</w:t>
      </w:r>
    </w:p>
    <w:p w14:paraId="03A2A28D" w14:textId="762E8AAB" w:rsidR="00337926" w:rsidRPr="00337926" w:rsidRDefault="00337926" w:rsidP="00337926">
      <w:pPr>
        <w:spacing w:line="260" w:lineRule="atLeast"/>
        <w:rPr>
          <w:rFonts w:ascii="Times New Roman" w:eastAsia="Times New Roman" w:hAnsi="Times New Roman" w:cs="Times New Roman"/>
          <w:lang w:eastAsia="sv-SE"/>
        </w:rPr>
      </w:pPr>
      <w:r w:rsidRPr="00406CC0">
        <w:rPr>
          <w:rFonts w:ascii="Times New Roman" w:eastAsia="Times New Roman" w:hAnsi="Times New Roman" w:cs="Times New Roman"/>
          <w:lang w:eastAsia="sv-SE"/>
        </w:rPr>
        <w:t>De föreslagna föreskrifterna får på den statliga sidan framför</w:t>
      </w:r>
      <w:r w:rsidR="00AB2152">
        <w:rPr>
          <w:rFonts w:ascii="Times New Roman" w:eastAsia="Times New Roman" w:hAnsi="Times New Roman" w:cs="Times New Roman"/>
          <w:lang w:eastAsia="sv-SE"/>
        </w:rPr>
        <w:t xml:space="preserve"> </w:t>
      </w:r>
      <w:r w:rsidRPr="00406CC0">
        <w:rPr>
          <w:rFonts w:ascii="Times New Roman" w:eastAsia="Times New Roman" w:hAnsi="Times New Roman" w:cs="Times New Roman"/>
          <w:lang w:eastAsia="sv-SE"/>
        </w:rPr>
        <w:t>allt påverkan på Folkhälsomyndigheten, Konsumentverket och länsstyrelserna.</w:t>
      </w:r>
      <w:r w:rsidRPr="00337926">
        <w:rPr>
          <w:rFonts w:ascii="Times New Roman" w:eastAsia="Times New Roman" w:hAnsi="Times New Roman" w:cs="Times New Roman"/>
          <w:lang w:eastAsia="sv-SE"/>
        </w:rPr>
        <w:t xml:space="preserve"> </w:t>
      </w:r>
    </w:p>
    <w:p w14:paraId="1142B046" w14:textId="77777777" w:rsidR="00337926" w:rsidRPr="00337926" w:rsidRDefault="00337926" w:rsidP="00A3334D">
      <w:pPr>
        <w:pStyle w:val="Brdtext"/>
        <w:rPr>
          <w:rFonts w:eastAsia="Times New Roman"/>
          <w:lang w:eastAsia="sv-SE"/>
        </w:rPr>
      </w:pPr>
    </w:p>
    <w:p w14:paraId="467137FC" w14:textId="77777777" w:rsidR="00337926" w:rsidRPr="00337926" w:rsidRDefault="00337926" w:rsidP="00581D41">
      <w:pPr>
        <w:pStyle w:val="Rubrik3"/>
        <w:rPr>
          <w:rFonts w:eastAsia="Times New Roman"/>
          <w:lang w:eastAsia="sv-SE"/>
        </w:rPr>
      </w:pPr>
      <w:r w:rsidRPr="00337926">
        <w:rPr>
          <w:rFonts w:eastAsia="Times New Roman"/>
          <w:lang w:eastAsia="sv-SE"/>
        </w:rPr>
        <w:t>Folkhälsomyndigheten</w:t>
      </w:r>
    </w:p>
    <w:p w14:paraId="007D8E20" w14:textId="61272990" w:rsidR="00337926" w:rsidRPr="00337926" w:rsidRDefault="00337926" w:rsidP="00337926">
      <w:pPr>
        <w:spacing w:line="260" w:lineRule="atLeast"/>
        <w:rPr>
          <w:rFonts w:ascii="Times New Roman" w:eastAsia="Times New Roman" w:hAnsi="Times New Roman" w:cs="Times New Roman"/>
          <w:lang w:eastAsia="sv-SE"/>
        </w:rPr>
      </w:pPr>
      <w:r w:rsidRPr="00406CC0">
        <w:rPr>
          <w:rFonts w:ascii="Times New Roman" w:eastAsia="Times New Roman" w:hAnsi="Times New Roman" w:cs="Times New Roman"/>
          <w:lang w:eastAsia="sv-SE"/>
        </w:rPr>
        <w:t xml:space="preserve">Folkhälsomyndigheten har ansvar för tillsynsvägledning åt kommunerna och har även </w:t>
      </w:r>
      <w:r w:rsidR="00AB2152">
        <w:rPr>
          <w:rFonts w:ascii="Times New Roman" w:eastAsia="Times New Roman" w:hAnsi="Times New Roman" w:cs="Times New Roman"/>
          <w:lang w:eastAsia="sv-SE"/>
        </w:rPr>
        <w:t xml:space="preserve">ett </w:t>
      </w:r>
      <w:r w:rsidRPr="00406CC0">
        <w:rPr>
          <w:rFonts w:ascii="Times New Roman" w:eastAsia="Times New Roman" w:hAnsi="Times New Roman" w:cs="Times New Roman"/>
          <w:lang w:eastAsia="sv-SE"/>
        </w:rPr>
        <w:t>visst eget tillsynsansvar. I dessa roller påverkas Folkhälsomyndigheten av de preciserade kraven i föreskrifterna.</w:t>
      </w:r>
    </w:p>
    <w:p w14:paraId="6BC2115A" w14:textId="77777777" w:rsidR="00337926" w:rsidRPr="00337926" w:rsidRDefault="00337926" w:rsidP="00337926">
      <w:pPr>
        <w:spacing w:line="260" w:lineRule="atLeast"/>
        <w:rPr>
          <w:rFonts w:ascii="Tahoma" w:eastAsia="Times New Roman" w:hAnsi="Tahoma" w:cs="Tahoma"/>
          <w:b/>
          <w:sz w:val="18"/>
          <w:szCs w:val="18"/>
          <w:lang w:eastAsia="sv-SE"/>
        </w:rPr>
      </w:pPr>
    </w:p>
    <w:p w14:paraId="0F209E97" w14:textId="77777777" w:rsidR="00337926" w:rsidRPr="00337926" w:rsidRDefault="00337926" w:rsidP="00581D41">
      <w:pPr>
        <w:pStyle w:val="Rubrik3"/>
        <w:rPr>
          <w:rFonts w:eastAsia="Times New Roman"/>
          <w:lang w:eastAsia="sv-SE"/>
        </w:rPr>
      </w:pPr>
      <w:r w:rsidRPr="00337926">
        <w:rPr>
          <w:rFonts w:eastAsia="Times New Roman"/>
          <w:lang w:eastAsia="sv-SE"/>
        </w:rPr>
        <w:t>Konsumentverket</w:t>
      </w:r>
    </w:p>
    <w:p w14:paraId="7170AD4A" w14:textId="38A675E6" w:rsidR="00337926" w:rsidRPr="00337926" w:rsidRDefault="00337926" w:rsidP="00337926">
      <w:pPr>
        <w:spacing w:line="260" w:lineRule="atLeast"/>
        <w:rPr>
          <w:rFonts w:ascii="Times New Roman" w:eastAsia="Times New Roman" w:hAnsi="Times New Roman" w:cs="Times New Roman"/>
          <w:lang w:eastAsia="sv-SE"/>
        </w:rPr>
      </w:pPr>
      <w:r w:rsidRPr="00406CC0">
        <w:rPr>
          <w:rFonts w:ascii="Times New Roman" w:eastAsia="Times New Roman" w:hAnsi="Times New Roman" w:cs="Times New Roman"/>
          <w:lang w:eastAsia="sv-SE"/>
        </w:rPr>
        <w:t>Konsumentverket har ansvar för marknadsföringsbestämmelserna om tobaksfria nikotinprodukter. Ansvaret gäller både egen tillsyn och tillsynsvägledning åt kommunerna. I dessa roller påverkas Konsumentverket av de preciserade krav</w:t>
      </w:r>
      <w:r w:rsidR="00A20798">
        <w:rPr>
          <w:rFonts w:ascii="Times New Roman" w:eastAsia="Times New Roman" w:hAnsi="Times New Roman" w:cs="Times New Roman"/>
          <w:lang w:eastAsia="sv-SE"/>
        </w:rPr>
        <w:t>en</w:t>
      </w:r>
      <w:r w:rsidRPr="00406CC0">
        <w:rPr>
          <w:rFonts w:ascii="Times New Roman" w:eastAsia="Times New Roman" w:hAnsi="Times New Roman" w:cs="Times New Roman"/>
          <w:lang w:eastAsia="sv-SE"/>
        </w:rPr>
        <w:t xml:space="preserve"> </w:t>
      </w:r>
      <w:r w:rsidR="00A20798">
        <w:rPr>
          <w:rFonts w:ascii="Times New Roman" w:eastAsia="Times New Roman" w:hAnsi="Times New Roman" w:cs="Times New Roman"/>
          <w:lang w:eastAsia="sv-SE"/>
        </w:rPr>
        <w:t>på</w:t>
      </w:r>
      <w:r w:rsidR="00A20798" w:rsidRPr="00406CC0">
        <w:rPr>
          <w:rFonts w:ascii="Times New Roman" w:eastAsia="Times New Roman" w:hAnsi="Times New Roman" w:cs="Times New Roman"/>
          <w:lang w:eastAsia="sv-SE"/>
        </w:rPr>
        <w:t xml:space="preserve"> </w:t>
      </w:r>
      <w:r w:rsidRPr="00406CC0">
        <w:rPr>
          <w:rFonts w:ascii="Times New Roman" w:eastAsia="Times New Roman" w:hAnsi="Times New Roman" w:cs="Times New Roman"/>
          <w:lang w:eastAsia="sv-SE"/>
        </w:rPr>
        <w:t>hur hälsovarningar och innehållsdeklarationer ska se ut.</w:t>
      </w:r>
      <w:r w:rsidRPr="00337926">
        <w:rPr>
          <w:rFonts w:ascii="Times New Roman" w:eastAsia="Times New Roman" w:hAnsi="Times New Roman" w:cs="Times New Roman"/>
          <w:lang w:eastAsia="sv-SE"/>
        </w:rPr>
        <w:t xml:space="preserve"> </w:t>
      </w:r>
    </w:p>
    <w:p w14:paraId="0AB4F70F" w14:textId="77777777" w:rsidR="00337926" w:rsidRPr="00337926" w:rsidRDefault="00337926" w:rsidP="00337926">
      <w:pPr>
        <w:spacing w:line="260" w:lineRule="atLeast"/>
        <w:rPr>
          <w:rFonts w:ascii="Times New Roman" w:eastAsia="Times New Roman" w:hAnsi="Times New Roman" w:cs="Times New Roman"/>
          <w:lang w:eastAsia="sv-SE"/>
        </w:rPr>
      </w:pPr>
    </w:p>
    <w:p w14:paraId="5B76A1A3" w14:textId="77777777" w:rsidR="00337926" w:rsidRPr="00337926" w:rsidRDefault="00337926" w:rsidP="00337926">
      <w:pPr>
        <w:pStyle w:val="Brdtext"/>
        <w:rPr>
          <w:lang w:eastAsia="sv-SE"/>
        </w:rPr>
      </w:pPr>
    </w:p>
    <w:p w14:paraId="7123C3FA" w14:textId="77777777" w:rsidR="00337926" w:rsidRPr="00337926" w:rsidRDefault="00337926" w:rsidP="00581D41">
      <w:pPr>
        <w:pStyle w:val="Rubrik3"/>
        <w:rPr>
          <w:rFonts w:eastAsia="Times New Roman"/>
          <w:lang w:eastAsia="sv-SE"/>
        </w:rPr>
      </w:pPr>
      <w:r w:rsidRPr="00337926">
        <w:rPr>
          <w:rFonts w:eastAsia="Times New Roman"/>
          <w:lang w:eastAsia="sv-SE"/>
        </w:rPr>
        <w:t>Länsstyrelser</w:t>
      </w:r>
      <w:r w:rsidRPr="00406CC0">
        <w:rPr>
          <w:rFonts w:eastAsia="Times New Roman"/>
          <w:lang w:eastAsia="sv-SE"/>
        </w:rPr>
        <w:t>na</w:t>
      </w:r>
    </w:p>
    <w:p w14:paraId="04223EE4" w14:textId="53DC22EB" w:rsidR="00337926" w:rsidRPr="008F595C" w:rsidRDefault="00337926" w:rsidP="00337926">
      <w:pPr>
        <w:spacing w:line="260" w:lineRule="atLeast"/>
        <w:rPr>
          <w:rFonts w:ascii="Times New Roman" w:eastAsia="Times New Roman" w:hAnsi="Times New Roman" w:cs="Times New Roman"/>
          <w:lang w:eastAsia="sv-SE"/>
        </w:rPr>
      </w:pPr>
      <w:r w:rsidRPr="00406CC0">
        <w:rPr>
          <w:rFonts w:ascii="Times New Roman" w:eastAsia="Times New Roman" w:hAnsi="Times New Roman" w:cs="Times New Roman"/>
          <w:lang w:eastAsia="sv-SE"/>
        </w:rPr>
        <w:t xml:space="preserve">Länsstyrelserna har ansvar för </w:t>
      </w:r>
      <w:r w:rsidR="00097C8D">
        <w:rPr>
          <w:rFonts w:ascii="Times New Roman" w:eastAsia="Times New Roman" w:hAnsi="Times New Roman" w:cs="Times New Roman"/>
          <w:lang w:eastAsia="sv-SE"/>
        </w:rPr>
        <w:t>att ge information och råd till</w:t>
      </w:r>
      <w:r w:rsidRPr="00406CC0">
        <w:rPr>
          <w:rFonts w:ascii="Times New Roman" w:eastAsia="Times New Roman" w:hAnsi="Times New Roman" w:cs="Times New Roman"/>
          <w:lang w:eastAsia="sv-SE"/>
        </w:rPr>
        <w:t xml:space="preserve"> kommunerna enligt LTLP. </w:t>
      </w:r>
      <w:r w:rsidR="00FD4F4A">
        <w:rPr>
          <w:rFonts w:ascii="Times New Roman" w:eastAsia="Times New Roman" w:hAnsi="Times New Roman" w:cs="Times New Roman"/>
          <w:lang w:eastAsia="sv-SE"/>
        </w:rPr>
        <w:t>LTN</w:t>
      </w:r>
      <w:r w:rsidRPr="00406CC0">
        <w:rPr>
          <w:rFonts w:ascii="Times New Roman" w:eastAsia="Times New Roman" w:hAnsi="Times New Roman" w:cs="Times New Roman"/>
          <w:lang w:eastAsia="sv-SE"/>
        </w:rPr>
        <w:t xml:space="preserve"> medför att länsstyrelsernas </w:t>
      </w:r>
      <w:r w:rsidR="001477F7">
        <w:rPr>
          <w:rFonts w:ascii="Times New Roman" w:eastAsia="Times New Roman" w:hAnsi="Times New Roman" w:cs="Times New Roman"/>
          <w:lang w:eastAsia="sv-SE"/>
        </w:rPr>
        <w:t xml:space="preserve">ansvar för att ge information och råd till kommunerna </w:t>
      </w:r>
      <w:r w:rsidRPr="00406CC0">
        <w:rPr>
          <w:rFonts w:ascii="Times New Roman" w:eastAsia="Times New Roman" w:hAnsi="Times New Roman" w:cs="Times New Roman"/>
          <w:lang w:eastAsia="sv-SE"/>
        </w:rPr>
        <w:t xml:space="preserve">utökas till att även omfatta tobaksfria nikotinprodukter. Därmed påverkas de också av flera av de preciserade kraven i föreskrifterna. </w:t>
      </w:r>
    </w:p>
    <w:p w14:paraId="3B482524" w14:textId="77777777" w:rsidR="00337926" w:rsidRDefault="00337926" w:rsidP="00A3334D">
      <w:pPr>
        <w:pStyle w:val="Brdtext"/>
        <w:rPr>
          <w:rFonts w:eastAsia="Times New Roman"/>
          <w:lang w:eastAsia="sv-SE"/>
        </w:rPr>
      </w:pPr>
    </w:p>
    <w:p w14:paraId="20ED1E3F" w14:textId="77777777" w:rsidR="00337926" w:rsidRDefault="00337926" w:rsidP="00A3334D">
      <w:pPr>
        <w:pStyle w:val="Brdtext"/>
        <w:rPr>
          <w:rFonts w:eastAsia="Times New Roman"/>
          <w:lang w:eastAsia="sv-SE"/>
        </w:rPr>
      </w:pPr>
    </w:p>
    <w:p w14:paraId="33B67FC0" w14:textId="77777777" w:rsidR="000445A2" w:rsidRPr="008F595C" w:rsidRDefault="000445A2" w:rsidP="000445A2">
      <w:pPr>
        <w:spacing w:line="260" w:lineRule="atLeast"/>
        <w:rPr>
          <w:rFonts w:ascii="Tahoma" w:eastAsia="Times New Roman" w:hAnsi="Tahoma" w:cs="Tahoma"/>
          <w:b/>
          <w:sz w:val="18"/>
          <w:szCs w:val="18"/>
          <w:lang w:eastAsia="sv-SE"/>
        </w:rPr>
      </w:pPr>
    </w:p>
    <w:p w14:paraId="3E90AE9D" w14:textId="77777777" w:rsidR="00F85A20" w:rsidRDefault="00F85A20" w:rsidP="007E74A7">
      <w:pPr>
        <w:rPr>
          <w:rFonts w:ascii="Sabon" w:eastAsia="Times New Roman" w:hAnsi="Sabon" w:cs="Times New Roman"/>
          <w:szCs w:val="20"/>
          <w:lang w:eastAsia="sv-SE"/>
        </w:rPr>
      </w:pPr>
    </w:p>
    <w:p w14:paraId="4F87881D" w14:textId="77777777" w:rsidR="00C6775D" w:rsidRPr="008210BF" w:rsidRDefault="002301BD" w:rsidP="008210BF">
      <w:pPr>
        <w:pStyle w:val="Rubrik1"/>
      </w:pPr>
      <w:r w:rsidRPr="00CB691B">
        <w:t xml:space="preserve">Uppgifter om vilka kostnadsmässiga och andra konsekvenser </w:t>
      </w:r>
      <w:r w:rsidR="00274A38">
        <w:t xml:space="preserve">Folkhälsomyndighetens </w:t>
      </w:r>
      <w:r w:rsidRPr="00CB691B">
        <w:t>reglering medför och en jämförelse av konsekvenserna för de övervägda alternative</w:t>
      </w:r>
      <w:r w:rsidR="006C13B4" w:rsidRPr="00CB691B">
        <w:t>n</w:t>
      </w:r>
      <w:r w:rsidR="006D1A0F" w:rsidRPr="00CB691B">
        <w:t xml:space="preserve"> till reglering</w:t>
      </w:r>
    </w:p>
    <w:p w14:paraId="1D7D9A87" w14:textId="77777777" w:rsidR="00AD7EC6" w:rsidRPr="008210BF" w:rsidRDefault="00C6775D" w:rsidP="004362DC">
      <w:pPr>
        <w:pStyle w:val="Rubrik2"/>
      </w:pPr>
      <w:r w:rsidRPr="008210BF">
        <w:t>Ekonomiska effekte</w:t>
      </w:r>
      <w:r w:rsidR="00373D4C" w:rsidRPr="008210BF">
        <w:t>r</w:t>
      </w:r>
    </w:p>
    <w:p w14:paraId="4048709F" w14:textId="169F8E20" w:rsidR="00397A00" w:rsidRDefault="00397A00" w:rsidP="00397A00">
      <w:pPr>
        <w:pStyle w:val="Brdtext"/>
        <w:rPr>
          <w:rFonts w:eastAsia="Times New Roman"/>
          <w:lang w:eastAsia="sv-SE"/>
        </w:rPr>
      </w:pPr>
      <w:r>
        <w:rPr>
          <w:rFonts w:eastAsia="Times New Roman"/>
          <w:lang w:eastAsia="sv-SE"/>
        </w:rPr>
        <w:t xml:space="preserve">   </w:t>
      </w:r>
    </w:p>
    <w:p w14:paraId="7FAD0D04" w14:textId="77777777" w:rsidR="00337926" w:rsidRPr="008210BF" w:rsidRDefault="00337926" w:rsidP="00337926">
      <w:pPr>
        <w:pStyle w:val="Rubrik3"/>
        <w:rPr>
          <w:rFonts w:eastAsia="Times New Roman"/>
        </w:rPr>
      </w:pPr>
      <w:r w:rsidRPr="008210BF">
        <w:rPr>
          <w:rFonts w:eastAsia="Times New Roman"/>
        </w:rPr>
        <w:t>Tillverkare och importörer</w:t>
      </w:r>
      <w:r>
        <w:rPr>
          <w:rFonts w:eastAsia="Times New Roman"/>
        </w:rPr>
        <w:t xml:space="preserve"> </w:t>
      </w:r>
    </w:p>
    <w:p w14:paraId="2CD95F9F" w14:textId="337DD109" w:rsidR="00337926" w:rsidRDefault="00337926" w:rsidP="00337926">
      <w:pPr>
        <w:pStyle w:val="Brdtext"/>
        <w:rPr>
          <w:rFonts w:eastAsia="Times New Roman"/>
          <w:lang w:eastAsia="sv-SE"/>
        </w:rPr>
      </w:pPr>
      <w:r>
        <w:rPr>
          <w:rFonts w:eastAsia="Times New Roman"/>
          <w:lang w:eastAsia="sv-SE"/>
        </w:rPr>
        <w:t xml:space="preserve">Regleringen kommer på företagarsidan främst att träffa tillverkare och importörer. Folkhälsomyndigheten bedömer dock att regleringen inte kommer att vara särskilt kostnadsdrivande; se vidare under avsnitt 8. </w:t>
      </w:r>
    </w:p>
    <w:p w14:paraId="2A361255" w14:textId="77777777" w:rsidR="00337926" w:rsidRPr="00581CD5" w:rsidRDefault="00337926" w:rsidP="00337926">
      <w:pPr>
        <w:pStyle w:val="Brdtext"/>
        <w:rPr>
          <w:highlight w:val="yellow"/>
          <w:lang w:eastAsia="sv-SE"/>
        </w:rPr>
      </w:pPr>
    </w:p>
    <w:p w14:paraId="776A09DD" w14:textId="77777777" w:rsidR="00337926" w:rsidRPr="00CB691B" w:rsidRDefault="00337926" w:rsidP="00337926">
      <w:pPr>
        <w:pStyle w:val="Brdtext"/>
        <w:rPr>
          <w:lang w:eastAsia="sv-SE"/>
        </w:rPr>
      </w:pPr>
    </w:p>
    <w:p w14:paraId="3A094BF6" w14:textId="77777777" w:rsidR="00337926" w:rsidRDefault="00337926" w:rsidP="00337926">
      <w:pPr>
        <w:pStyle w:val="Rubrik3"/>
        <w:rPr>
          <w:rFonts w:eastAsia="Times New Roman"/>
        </w:rPr>
      </w:pPr>
      <w:r>
        <w:rPr>
          <w:rFonts w:eastAsia="Times New Roman"/>
        </w:rPr>
        <w:t>Detaljhandlare och partihandlare</w:t>
      </w:r>
    </w:p>
    <w:p w14:paraId="11B3ECC5" w14:textId="16A18903" w:rsidR="00337926" w:rsidRPr="00A3334D" w:rsidRDefault="00337926" w:rsidP="00406CC0">
      <w:pPr>
        <w:pStyle w:val="Rubrik3"/>
        <w:numPr>
          <w:ilvl w:val="0"/>
          <w:numId w:val="0"/>
        </w:numPr>
        <w:rPr>
          <w:rFonts w:asciiTheme="minorHAnsi" w:eastAsia="Times New Roman" w:hAnsiTheme="minorHAnsi" w:cstheme="minorHAnsi"/>
          <w:b w:val="0"/>
          <w:sz w:val="22"/>
          <w:szCs w:val="22"/>
        </w:rPr>
      </w:pPr>
      <w:r w:rsidRPr="00406CC0">
        <w:rPr>
          <w:rFonts w:asciiTheme="minorHAnsi" w:eastAsia="Times New Roman" w:hAnsiTheme="minorHAnsi" w:cstheme="minorHAnsi"/>
          <w:b w:val="0"/>
          <w:sz w:val="22"/>
          <w:szCs w:val="22"/>
        </w:rPr>
        <w:t xml:space="preserve">Folkhälsomyndigheten bedömer att förslaget till föreskrifter inte kommer att innebära några särskilda kostnader för detaljhandlare och partihandlare. Deras skyldighet att kontrollera styckförpackningar följer av </w:t>
      </w:r>
      <w:r w:rsidR="00FD4F4A">
        <w:rPr>
          <w:rFonts w:asciiTheme="minorHAnsi" w:eastAsia="Times New Roman" w:hAnsiTheme="minorHAnsi" w:cstheme="minorHAnsi"/>
          <w:b w:val="0"/>
          <w:sz w:val="22"/>
          <w:szCs w:val="22"/>
        </w:rPr>
        <w:t>LTN</w:t>
      </w:r>
      <w:r w:rsidRPr="00406CC0">
        <w:rPr>
          <w:rFonts w:asciiTheme="minorHAnsi" w:eastAsia="Times New Roman" w:hAnsiTheme="minorHAnsi" w:cstheme="minorHAnsi"/>
          <w:b w:val="0"/>
          <w:sz w:val="22"/>
          <w:szCs w:val="22"/>
        </w:rPr>
        <w:t xml:space="preserve">, och är således inte en följd av de föreslagna föreskrifterna. I egenskap av distributörer träffas de av </w:t>
      </w:r>
      <w:r w:rsidRPr="00406CC0">
        <w:rPr>
          <w:rFonts w:asciiTheme="minorHAnsi" w:hAnsiTheme="minorHAnsi" w:cstheme="minorHAnsi"/>
          <w:b w:val="0"/>
          <w:sz w:val="22"/>
          <w:szCs w:val="22"/>
        </w:rPr>
        <w:t xml:space="preserve">föreskriften </w:t>
      </w:r>
      <w:r w:rsidRPr="00406CC0">
        <w:rPr>
          <w:rFonts w:asciiTheme="minorHAnsi" w:eastAsia="Times New Roman" w:hAnsiTheme="minorHAnsi" w:cstheme="minorHAnsi"/>
          <w:b w:val="0"/>
          <w:sz w:val="22"/>
          <w:szCs w:val="22"/>
        </w:rPr>
        <w:t>om underrättelseskyldighet vid produktbrister. Folkhälsomyndigheten bedömer dock att sådana underrättelser i de flesta fall kommer att göras av tillverkare och importörer, inte av detaljhandlare och partihandlare.</w:t>
      </w:r>
      <w:r>
        <w:rPr>
          <w:rFonts w:asciiTheme="minorHAnsi" w:eastAsia="Times New Roman" w:hAnsiTheme="minorHAnsi" w:cstheme="minorHAnsi"/>
          <w:b w:val="0"/>
          <w:sz w:val="22"/>
          <w:szCs w:val="22"/>
        </w:rPr>
        <w:t xml:space="preserve"> De senare kommer därför inte behöva stå för kostnaderna för detta. </w:t>
      </w:r>
      <w:r w:rsidRPr="00406CC0">
        <w:rPr>
          <w:rFonts w:asciiTheme="minorHAnsi" w:eastAsia="Times New Roman" w:hAnsiTheme="minorHAnsi" w:cstheme="minorHAnsi"/>
          <w:b w:val="0"/>
          <w:sz w:val="22"/>
          <w:szCs w:val="22"/>
        </w:rPr>
        <w:t xml:space="preserve"> </w:t>
      </w:r>
    </w:p>
    <w:p w14:paraId="3E8EF139" w14:textId="77777777" w:rsidR="00337926" w:rsidRPr="00337926" w:rsidRDefault="00337926" w:rsidP="00337926">
      <w:pPr>
        <w:rPr>
          <w:rFonts w:eastAsia="Times New Roman" w:cstheme="minorHAnsi"/>
          <w:lang w:eastAsia="sv-SE"/>
        </w:rPr>
      </w:pPr>
    </w:p>
    <w:p w14:paraId="0CC8DF44" w14:textId="77777777" w:rsidR="00337926" w:rsidRPr="003F1BE4" w:rsidRDefault="00337926" w:rsidP="00337926">
      <w:pPr>
        <w:pStyle w:val="Brdtext"/>
        <w:rPr>
          <w:highlight w:val="yellow"/>
          <w:lang w:eastAsia="sv-SE"/>
        </w:rPr>
      </w:pPr>
    </w:p>
    <w:p w14:paraId="1129F917" w14:textId="77777777" w:rsidR="00337926" w:rsidRDefault="00337926" w:rsidP="00337926">
      <w:pPr>
        <w:pStyle w:val="Rubrik3"/>
        <w:rPr>
          <w:rFonts w:eastAsia="Times New Roman"/>
        </w:rPr>
      </w:pPr>
      <w:r w:rsidRPr="00D669DC">
        <w:rPr>
          <w:rFonts w:eastAsia="Times New Roman"/>
        </w:rPr>
        <w:t>Kommuner</w:t>
      </w:r>
    </w:p>
    <w:p w14:paraId="1245A27A" w14:textId="7F929640" w:rsidR="00337926" w:rsidRDefault="00337926" w:rsidP="00337926">
      <w:pPr>
        <w:pStyle w:val="Brdtext"/>
      </w:pPr>
      <w:r w:rsidRPr="008D22F4">
        <w:rPr>
          <w:rFonts w:ascii="Times New Roman" w:eastAsia="Times New Roman" w:hAnsi="Times New Roman" w:cs="Times New Roman"/>
          <w:lang w:eastAsia="sv-SE"/>
        </w:rPr>
        <w:t>Kommunerna ha</w:t>
      </w:r>
      <w:r>
        <w:rPr>
          <w:rFonts w:ascii="Times New Roman" w:eastAsia="Times New Roman" w:hAnsi="Times New Roman" w:cs="Times New Roman"/>
          <w:lang w:eastAsia="sv-SE"/>
        </w:rPr>
        <w:t>r</w:t>
      </w:r>
      <w:r w:rsidRPr="008D22F4">
        <w:rPr>
          <w:rFonts w:ascii="Times New Roman" w:eastAsia="Times New Roman" w:hAnsi="Times New Roman" w:cs="Times New Roman"/>
          <w:lang w:eastAsia="sv-SE"/>
        </w:rPr>
        <w:t xml:space="preserve"> tillsynsansvar över p</w:t>
      </w:r>
      <w:r w:rsidRPr="008D22F4">
        <w:rPr>
          <w:rFonts w:ascii="Times New Roman" w:hAnsi="Times New Roman" w:cs="Times New Roman"/>
          <w:color w:val="000000"/>
          <w:shd w:val="clear" w:color="auto" w:fill="FFFFFF"/>
        </w:rPr>
        <w:t>roduktanmälan, märkning</w:t>
      </w:r>
      <w:r w:rsidR="002F6B62">
        <w:rPr>
          <w:rFonts w:ascii="Times New Roman" w:hAnsi="Times New Roman" w:cs="Times New Roman"/>
          <w:color w:val="000000"/>
          <w:shd w:val="clear" w:color="auto" w:fill="FFFFFF"/>
        </w:rPr>
        <w:t>,</w:t>
      </w:r>
      <w:r w:rsidRPr="008D22F4">
        <w:rPr>
          <w:rFonts w:ascii="Times New Roman" w:hAnsi="Times New Roman" w:cs="Times New Roman"/>
          <w:color w:val="000000"/>
          <w:shd w:val="clear" w:color="auto" w:fill="FFFFFF"/>
        </w:rPr>
        <w:t xml:space="preserve"> rapporteringsskyldighet och återgivning av märkning enligt </w:t>
      </w:r>
      <w:r>
        <w:rPr>
          <w:rFonts w:ascii="Times New Roman" w:hAnsi="Times New Roman" w:cs="Times New Roman"/>
          <w:color w:val="000000"/>
          <w:shd w:val="clear" w:color="auto" w:fill="FFFFFF"/>
        </w:rPr>
        <w:t xml:space="preserve">10 § </w:t>
      </w:r>
      <w:r w:rsidR="00FD4F4A">
        <w:rPr>
          <w:rFonts w:ascii="Times New Roman" w:hAnsi="Times New Roman" w:cs="Times New Roman"/>
          <w:color w:val="000000"/>
          <w:shd w:val="clear" w:color="auto" w:fill="FFFFFF"/>
        </w:rPr>
        <w:t>LTN</w:t>
      </w:r>
      <w:r w:rsidRPr="008D22F4">
        <w:rPr>
          <w:rFonts w:ascii="Times New Roman" w:hAnsi="Times New Roman" w:cs="Times New Roman"/>
          <w:color w:val="000000"/>
          <w:shd w:val="clear" w:color="auto" w:fill="FFFFFF"/>
        </w:rPr>
        <w:t xml:space="preserve">. </w:t>
      </w:r>
      <w:r w:rsidR="00DF07B6">
        <w:rPr>
          <w:rFonts w:ascii="Times New Roman" w:hAnsi="Times New Roman" w:cs="Times New Roman"/>
          <w:color w:val="000000"/>
          <w:shd w:val="clear" w:color="auto" w:fill="FFFFFF"/>
        </w:rPr>
        <w:t xml:space="preserve">Det kan förutsättas bli enklare för kommuner att utöva tillsyn även på det här området </w:t>
      </w:r>
      <w:r w:rsidR="005320B4">
        <w:rPr>
          <w:rFonts w:ascii="Times New Roman" w:hAnsi="Times New Roman" w:cs="Times New Roman"/>
          <w:color w:val="000000"/>
          <w:shd w:val="clear" w:color="auto" w:fill="FFFFFF"/>
        </w:rPr>
        <w:t xml:space="preserve">eftersom </w:t>
      </w:r>
      <w:r w:rsidR="00DF07B6">
        <w:rPr>
          <w:rFonts w:ascii="Times New Roman" w:hAnsi="Times New Roman" w:cs="Times New Roman"/>
          <w:color w:val="000000"/>
          <w:shd w:val="clear" w:color="auto" w:fill="FFFFFF"/>
        </w:rPr>
        <w:t xml:space="preserve">de föreslagna bestämmelserna i stor utsträckning liknar dem på tobak och elektroniska cigaretter. </w:t>
      </w:r>
      <w:r w:rsidR="009517E9" w:rsidRPr="00406CC0">
        <w:rPr>
          <w:rFonts w:eastAsia="Times New Roman" w:cstheme="minorHAnsi"/>
        </w:rPr>
        <w:t xml:space="preserve">Folkhälsomyndigheten </w:t>
      </w:r>
      <w:r w:rsidR="009517E9">
        <w:rPr>
          <w:rFonts w:eastAsia="Times New Roman" w:cstheme="minorHAnsi"/>
        </w:rPr>
        <w:t xml:space="preserve">bedömer att </w:t>
      </w:r>
      <w:r w:rsidR="009517E9">
        <w:t>e</w:t>
      </w:r>
      <w:r w:rsidRPr="008D22F4">
        <w:t xml:space="preserve">ffekterna </w:t>
      </w:r>
      <w:r w:rsidR="009517E9">
        <w:t>blir</w:t>
      </w:r>
      <w:r w:rsidRPr="008D22F4">
        <w:t xml:space="preserve"> begränsade och proportionerliga</w:t>
      </w:r>
      <w:r w:rsidR="009517E9">
        <w:t>,</w:t>
      </w:r>
      <w:r w:rsidR="002F6B62">
        <w:t xml:space="preserve"> </w:t>
      </w:r>
      <w:r w:rsidR="005320B4">
        <w:t xml:space="preserve">eftersom </w:t>
      </w:r>
      <w:r>
        <w:t>tillsynen finansieras genom avgifter</w:t>
      </w:r>
      <w:r w:rsidRPr="008D22F4">
        <w:t xml:space="preserve">. </w:t>
      </w:r>
    </w:p>
    <w:p w14:paraId="1476E1DD" w14:textId="77777777" w:rsidR="00337926" w:rsidRDefault="00337926" w:rsidP="00337926">
      <w:pPr>
        <w:pStyle w:val="Brdtext"/>
        <w:rPr>
          <w:rFonts w:ascii="Times New Roman" w:hAnsi="Times New Roman" w:cs="Times New Roman"/>
          <w:color w:val="000000"/>
          <w:shd w:val="clear" w:color="auto" w:fill="FFFFFF"/>
        </w:rPr>
      </w:pPr>
    </w:p>
    <w:p w14:paraId="2FC38FF6" w14:textId="77777777" w:rsidR="00337926" w:rsidRPr="00274A38" w:rsidRDefault="00337926" w:rsidP="00337926">
      <w:pPr>
        <w:pStyle w:val="Brdtext"/>
        <w:rPr>
          <w:lang w:eastAsia="sv-SE"/>
        </w:rPr>
      </w:pPr>
    </w:p>
    <w:p w14:paraId="7C769E70" w14:textId="77777777" w:rsidR="00337926" w:rsidRPr="00D669DC" w:rsidRDefault="00337926" w:rsidP="00337926">
      <w:pPr>
        <w:pStyle w:val="Rubrik3"/>
        <w:rPr>
          <w:rFonts w:eastAsia="Times New Roman"/>
        </w:rPr>
      </w:pPr>
      <w:r w:rsidRPr="00D669DC">
        <w:rPr>
          <w:rFonts w:eastAsia="Times New Roman"/>
        </w:rPr>
        <w:t>Länsstyrelser</w:t>
      </w:r>
      <w:r>
        <w:rPr>
          <w:rFonts w:eastAsia="Times New Roman"/>
        </w:rPr>
        <w:t>na</w:t>
      </w:r>
    </w:p>
    <w:p w14:paraId="100560BB" w14:textId="5B71EF78" w:rsidR="00337926" w:rsidRPr="00FC5D3A" w:rsidRDefault="00337926" w:rsidP="00FC5D3A">
      <w:pPr>
        <w:pStyle w:val="Brdtext"/>
        <w:rPr>
          <w:rFonts w:ascii="Times New Roman" w:hAnsi="Times New Roman" w:cs="Times New Roman"/>
          <w:color w:val="000000"/>
          <w:shd w:val="clear" w:color="auto" w:fill="FFFFFF"/>
        </w:rPr>
      </w:pPr>
      <w:r w:rsidRPr="007D399C">
        <w:rPr>
          <w:rFonts w:ascii="Times New Roman" w:hAnsi="Times New Roman" w:cs="Times New Roman"/>
          <w:color w:val="000000"/>
          <w:shd w:val="clear" w:color="auto" w:fill="FFFFFF"/>
        </w:rPr>
        <w:t xml:space="preserve">Länsstyrelserna har ansvar för </w:t>
      </w:r>
      <w:r w:rsidR="00097C8D">
        <w:rPr>
          <w:rFonts w:ascii="Times New Roman" w:hAnsi="Times New Roman" w:cs="Times New Roman"/>
          <w:color w:val="000000"/>
          <w:shd w:val="clear" w:color="auto" w:fill="FFFFFF"/>
        </w:rPr>
        <w:t>att ge information och råd till</w:t>
      </w:r>
      <w:r w:rsidRPr="007D399C">
        <w:rPr>
          <w:rFonts w:ascii="Times New Roman" w:hAnsi="Times New Roman" w:cs="Times New Roman"/>
          <w:color w:val="000000"/>
          <w:shd w:val="clear" w:color="auto" w:fill="FFFFFF"/>
        </w:rPr>
        <w:t xml:space="preserve"> kommunerna utifrån föreskrifterna. </w:t>
      </w:r>
      <w:r w:rsidR="00495AFC" w:rsidRPr="00406CC0">
        <w:rPr>
          <w:rFonts w:eastAsia="Times New Roman" w:cstheme="minorHAnsi"/>
        </w:rPr>
        <w:t>Folkhälsomyndigheten</w:t>
      </w:r>
      <w:r w:rsidR="00495AFC">
        <w:rPr>
          <w:rFonts w:eastAsia="Times New Roman" w:cstheme="minorHAnsi"/>
        </w:rPr>
        <w:t xml:space="preserve"> bedömer att </w:t>
      </w:r>
      <w:r w:rsidR="00495AFC">
        <w:rPr>
          <w:rFonts w:ascii="Times New Roman" w:hAnsi="Times New Roman" w:cs="Times New Roman"/>
          <w:color w:val="000000"/>
          <w:shd w:val="clear" w:color="auto" w:fill="FFFFFF"/>
        </w:rPr>
        <w:t>b</w:t>
      </w:r>
      <w:r w:rsidRPr="007D399C">
        <w:rPr>
          <w:rFonts w:ascii="Times New Roman" w:hAnsi="Times New Roman" w:cs="Times New Roman"/>
          <w:color w:val="000000"/>
          <w:shd w:val="clear" w:color="auto" w:fill="FFFFFF"/>
        </w:rPr>
        <w:t>elastningen på länsstyrelse</w:t>
      </w:r>
      <w:r w:rsidR="00495AFC">
        <w:rPr>
          <w:rFonts w:ascii="Times New Roman" w:hAnsi="Times New Roman" w:cs="Times New Roman"/>
          <w:color w:val="000000"/>
          <w:shd w:val="clear" w:color="auto" w:fill="FFFFFF"/>
        </w:rPr>
        <w:t>rna</w:t>
      </w:r>
      <w:r w:rsidRPr="007D399C">
        <w:rPr>
          <w:rFonts w:ascii="Times New Roman" w:hAnsi="Times New Roman" w:cs="Times New Roman"/>
          <w:color w:val="000000"/>
          <w:shd w:val="clear" w:color="auto" w:fill="FFFFFF"/>
        </w:rPr>
        <w:t xml:space="preserve"> bli</w:t>
      </w:r>
      <w:r w:rsidR="00495AFC">
        <w:rPr>
          <w:rFonts w:ascii="Times New Roman" w:hAnsi="Times New Roman" w:cs="Times New Roman"/>
          <w:color w:val="000000"/>
          <w:shd w:val="clear" w:color="auto" w:fill="FFFFFF"/>
        </w:rPr>
        <w:t>r</w:t>
      </w:r>
      <w:r w:rsidRPr="007D399C">
        <w:rPr>
          <w:rFonts w:ascii="Times New Roman" w:hAnsi="Times New Roman" w:cs="Times New Roman"/>
          <w:color w:val="000000"/>
          <w:shd w:val="clear" w:color="auto" w:fill="FFFFFF"/>
        </w:rPr>
        <w:t xml:space="preserve"> måttlig och hanterbar inom ramen för deras nuvarande resurser, eftersom de redan idag vägleder kommunerna för närliggande produkter med liknande krav. </w:t>
      </w:r>
    </w:p>
    <w:p w14:paraId="395CA6BF" w14:textId="77777777" w:rsidR="00337926" w:rsidRPr="007D399C" w:rsidRDefault="00337926" w:rsidP="00337926">
      <w:pPr>
        <w:rPr>
          <w:rFonts w:ascii="Sabon" w:eastAsia="Times New Roman" w:hAnsi="Sabon" w:cs="Times New Roman"/>
          <w:szCs w:val="20"/>
          <w:lang w:eastAsia="sv-SE"/>
        </w:rPr>
      </w:pPr>
    </w:p>
    <w:p w14:paraId="3275CBCC" w14:textId="77777777" w:rsidR="00337926" w:rsidRPr="007D399C" w:rsidRDefault="00337926" w:rsidP="00337926">
      <w:pPr>
        <w:pStyle w:val="Rubrik3"/>
        <w:rPr>
          <w:rFonts w:eastAsia="Times New Roman"/>
        </w:rPr>
      </w:pPr>
      <w:r w:rsidRPr="007D399C">
        <w:rPr>
          <w:rFonts w:eastAsia="Times New Roman"/>
        </w:rPr>
        <w:t>Folkhälsomyndigheten</w:t>
      </w:r>
    </w:p>
    <w:p w14:paraId="6C1825DA" w14:textId="41EF19EC" w:rsidR="00337926" w:rsidRPr="007D399C" w:rsidRDefault="00337926" w:rsidP="00337926">
      <w:pPr>
        <w:pStyle w:val="Brdtext"/>
      </w:pPr>
      <w:r w:rsidRPr="007D399C">
        <w:rPr>
          <w:rFonts w:ascii="Times New Roman" w:eastAsia="Times New Roman" w:hAnsi="Times New Roman" w:cs="Times New Roman"/>
          <w:lang w:eastAsia="sv-SE"/>
        </w:rPr>
        <w:t>Folkhälsom</w:t>
      </w:r>
      <w:r w:rsidR="004B23F1">
        <w:rPr>
          <w:rFonts w:ascii="Times New Roman" w:eastAsia="Times New Roman" w:hAnsi="Times New Roman" w:cs="Times New Roman"/>
          <w:lang w:eastAsia="sv-SE"/>
        </w:rPr>
        <w:t>y</w:t>
      </w:r>
      <w:r w:rsidRPr="007D399C">
        <w:rPr>
          <w:rFonts w:ascii="Times New Roman" w:eastAsia="Times New Roman" w:hAnsi="Times New Roman" w:cs="Times New Roman"/>
          <w:lang w:eastAsia="sv-SE"/>
        </w:rPr>
        <w:t>ndigheten ansvarar för tillsynsvägledning åt kommunerna utifrån föreskrifterna. I den rollen behöver Folkhälsomyndigheten ta fram vägledningsmaterial åt kommunerna, vilket kan föra med sig vissa kostnader. Folkhälsomyndigheten har även visst eget tillsy</w:t>
      </w:r>
      <w:r w:rsidR="00F315BE" w:rsidRPr="007D399C">
        <w:rPr>
          <w:rFonts w:ascii="Times New Roman" w:eastAsia="Times New Roman" w:hAnsi="Times New Roman" w:cs="Times New Roman"/>
          <w:lang w:eastAsia="sv-SE"/>
        </w:rPr>
        <w:t>nsansvar utifrån föreskrifterna. Tillsynsansvaret ä</w:t>
      </w:r>
      <w:r w:rsidR="00FC5D3A">
        <w:rPr>
          <w:rFonts w:ascii="Times New Roman" w:eastAsia="Times New Roman" w:hAnsi="Times New Roman" w:cs="Times New Roman"/>
          <w:lang w:eastAsia="sv-SE"/>
        </w:rPr>
        <w:t xml:space="preserve">r dock inte </w:t>
      </w:r>
      <w:r w:rsidR="00EA634D">
        <w:rPr>
          <w:rFonts w:ascii="Times New Roman" w:eastAsia="Times New Roman" w:hAnsi="Times New Roman" w:cs="Times New Roman"/>
          <w:lang w:eastAsia="sv-SE"/>
        </w:rPr>
        <w:t xml:space="preserve">föranlett </w:t>
      </w:r>
      <w:r w:rsidR="00FC5D3A">
        <w:rPr>
          <w:rFonts w:ascii="Times New Roman" w:eastAsia="Times New Roman" w:hAnsi="Times New Roman" w:cs="Times New Roman"/>
          <w:lang w:eastAsia="sv-SE"/>
        </w:rPr>
        <w:t>av föresk</w:t>
      </w:r>
      <w:r w:rsidR="00F315BE" w:rsidRPr="007D399C">
        <w:rPr>
          <w:rFonts w:ascii="Times New Roman" w:eastAsia="Times New Roman" w:hAnsi="Times New Roman" w:cs="Times New Roman"/>
          <w:lang w:eastAsia="sv-SE"/>
        </w:rPr>
        <w:t>r</w:t>
      </w:r>
      <w:r w:rsidR="00FC5D3A">
        <w:rPr>
          <w:rFonts w:ascii="Times New Roman" w:eastAsia="Times New Roman" w:hAnsi="Times New Roman" w:cs="Times New Roman"/>
          <w:lang w:eastAsia="sv-SE"/>
        </w:rPr>
        <w:t>i</w:t>
      </w:r>
      <w:r w:rsidR="00F315BE" w:rsidRPr="007D399C">
        <w:rPr>
          <w:rFonts w:ascii="Times New Roman" w:eastAsia="Times New Roman" w:hAnsi="Times New Roman" w:cs="Times New Roman"/>
          <w:lang w:eastAsia="sv-SE"/>
        </w:rPr>
        <w:t>fterna utan följer av lagen</w:t>
      </w:r>
      <w:r w:rsidR="00EA634D">
        <w:rPr>
          <w:rFonts w:ascii="Times New Roman" w:eastAsia="Times New Roman" w:hAnsi="Times New Roman" w:cs="Times New Roman"/>
          <w:lang w:eastAsia="sv-SE"/>
        </w:rPr>
        <w:t>.</w:t>
      </w:r>
      <w:r w:rsidRPr="007D399C">
        <w:rPr>
          <w:rFonts w:ascii="Times New Roman" w:eastAsia="Times New Roman" w:hAnsi="Times New Roman" w:cs="Times New Roman"/>
          <w:lang w:eastAsia="sv-SE"/>
        </w:rPr>
        <w:t xml:space="preserve"> </w:t>
      </w:r>
    </w:p>
    <w:p w14:paraId="757106BE" w14:textId="77777777" w:rsidR="00337926" w:rsidRPr="007D399C" w:rsidRDefault="00337926" w:rsidP="00337926">
      <w:pPr>
        <w:pStyle w:val="Brdtext"/>
        <w:rPr>
          <w:lang w:eastAsia="sv-SE"/>
        </w:rPr>
      </w:pPr>
    </w:p>
    <w:p w14:paraId="0C1C8C41" w14:textId="77777777" w:rsidR="00337926" w:rsidRPr="007D399C" w:rsidRDefault="00337926" w:rsidP="00337926">
      <w:pPr>
        <w:pStyle w:val="Brdtext"/>
        <w:rPr>
          <w:lang w:eastAsia="sv-SE"/>
        </w:rPr>
      </w:pPr>
    </w:p>
    <w:p w14:paraId="3E3D5C60" w14:textId="3AA2557D" w:rsidR="00337926" w:rsidRPr="007D399C" w:rsidRDefault="00337926" w:rsidP="00337926">
      <w:pPr>
        <w:pStyle w:val="Rubrik3"/>
      </w:pPr>
      <w:r w:rsidRPr="007D399C">
        <w:t>Andra statliga myndigheter</w:t>
      </w:r>
    </w:p>
    <w:p w14:paraId="530DA2A5" w14:textId="5A5534F2" w:rsidR="00337926" w:rsidRPr="007D399C" w:rsidRDefault="00337926" w:rsidP="00337926">
      <w:pPr>
        <w:spacing w:line="260" w:lineRule="atLeast"/>
        <w:rPr>
          <w:rFonts w:ascii="Times New Roman" w:eastAsia="Times New Roman" w:hAnsi="Times New Roman" w:cs="Times New Roman"/>
          <w:lang w:eastAsia="sv-SE"/>
        </w:rPr>
      </w:pPr>
      <w:r w:rsidRPr="007D399C">
        <w:rPr>
          <w:rFonts w:ascii="Times New Roman" w:eastAsia="Times New Roman" w:hAnsi="Times New Roman" w:cs="Times New Roman"/>
          <w:lang w:eastAsia="sv-SE"/>
        </w:rPr>
        <w:t xml:space="preserve">Konsumentverket har ansvar för marknadsföringsbestämmelserna om tobaksfria nikotinprodukter </w:t>
      </w:r>
      <w:r w:rsidR="00F664E7">
        <w:rPr>
          <w:rFonts w:ascii="Times New Roman" w:eastAsia="Times New Roman" w:hAnsi="Times New Roman" w:cs="Times New Roman"/>
          <w:lang w:eastAsia="sv-SE"/>
        </w:rPr>
        <w:t>–</w:t>
      </w:r>
      <w:r w:rsidRPr="007D399C">
        <w:rPr>
          <w:rFonts w:ascii="Times New Roman" w:eastAsia="Times New Roman" w:hAnsi="Times New Roman" w:cs="Times New Roman"/>
          <w:lang w:eastAsia="sv-SE"/>
        </w:rPr>
        <w:t xml:space="preserve"> däribland bestämmelsen om </w:t>
      </w:r>
      <w:r w:rsidRPr="007D399C">
        <w:rPr>
          <w:rFonts w:ascii="Times New Roman" w:hAnsi="Times New Roman" w:cs="Times New Roman"/>
          <w:color w:val="000000"/>
          <w:shd w:val="clear" w:color="auto" w:fill="FFFFFF"/>
        </w:rPr>
        <w:t>återgivning av hälsovarning vid marknadsföring i vissa annonser till konsumenter som preciserats i de föreslagna föreskrifterna.</w:t>
      </w:r>
      <w:r w:rsidRPr="007D399C">
        <w:rPr>
          <w:rFonts w:ascii="Times New Roman" w:eastAsia="Times New Roman" w:hAnsi="Times New Roman" w:cs="Times New Roman"/>
          <w:lang w:eastAsia="sv-SE"/>
        </w:rPr>
        <w:t xml:space="preserve"> Konsumentverkets ansvar gäller både </w:t>
      </w:r>
      <w:r w:rsidR="00B54A62">
        <w:rPr>
          <w:rFonts w:ascii="Times New Roman" w:eastAsia="Times New Roman" w:hAnsi="Times New Roman" w:cs="Times New Roman"/>
          <w:lang w:eastAsia="sv-SE"/>
        </w:rPr>
        <w:t>deras</w:t>
      </w:r>
      <w:r w:rsidR="00B54A62" w:rsidRPr="007D399C">
        <w:rPr>
          <w:rFonts w:ascii="Times New Roman" w:eastAsia="Times New Roman" w:hAnsi="Times New Roman" w:cs="Times New Roman"/>
          <w:lang w:eastAsia="sv-SE"/>
        </w:rPr>
        <w:t xml:space="preserve"> </w:t>
      </w:r>
      <w:r w:rsidRPr="007D399C">
        <w:rPr>
          <w:rFonts w:ascii="Times New Roman" w:eastAsia="Times New Roman" w:hAnsi="Times New Roman" w:cs="Times New Roman"/>
          <w:lang w:eastAsia="sv-SE"/>
        </w:rPr>
        <w:t xml:space="preserve">egen tillsyn och tillsynsvägledning åt kommunerna. </w:t>
      </w:r>
      <w:r w:rsidR="00636C42">
        <w:rPr>
          <w:rFonts w:ascii="Times New Roman" w:eastAsia="Times New Roman" w:hAnsi="Times New Roman" w:cs="Times New Roman"/>
          <w:lang w:eastAsia="sv-SE"/>
        </w:rPr>
        <w:t>De föreslagna föreskrifterna</w:t>
      </w:r>
      <w:r w:rsidR="00636C42" w:rsidRPr="007D399C">
        <w:rPr>
          <w:rFonts w:ascii="Times New Roman" w:eastAsia="Times New Roman" w:hAnsi="Times New Roman" w:cs="Times New Roman"/>
          <w:lang w:eastAsia="sv-SE"/>
        </w:rPr>
        <w:t xml:space="preserve"> </w:t>
      </w:r>
      <w:r w:rsidRPr="007D399C">
        <w:rPr>
          <w:rFonts w:ascii="Times New Roman" w:eastAsia="Times New Roman" w:hAnsi="Times New Roman" w:cs="Times New Roman"/>
          <w:lang w:eastAsia="sv-SE"/>
        </w:rPr>
        <w:t xml:space="preserve">kan antas medföra vissa kostnader för vägledningsmaterial till kommunerna. </w:t>
      </w:r>
    </w:p>
    <w:p w14:paraId="4D2570A1" w14:textId="77777777" w:rsidR="00337926" w:rsidRPr="007D399C" w:rsidRDefault="00337926" w:rsidP="00337926">
      <w:pPr>
        <w:spacing w:line="260" w:lineRule="atLeast"/>
      </w:pPr>
    </w:p>
    <w:p w14:paraId="122E6F53" w14:textId="77777777" w:rsidR="006C13B4" w:rsidRDefault="006C13B4" w:rsidP="00A3334D">
      <w:pPr>
        <w:pStyle w:val="Brdtext"/>
        <w:rPr>
          <w:rFonts w:eastAsia="Times New Roman"/>
          <w:lang w:eastAsia="sv-SE"/>
        </w:rPr>
      </w:pPr>
    </w:p>
    <w:p w14:paraId="1A7176A1" w14:textId="14678EB3" w:rsidR="00C6775D" w:rsidRDefault="00D47704" w:rsidP="004362DC">
      <w:pPr>
        <w:pStyle w:val="Rubrik2"/>
        <w:rPr>
          <w:rFonts w:eastAsia="Times New Roman"/>
          <w:lang w:eastAsia="sv-SE"/>
        </w:rPr>
      </w:pPr>
      <w:r>
        <w:rPr>
          <w:rFonts w:eastAsia="Times New Roman"/>
          <w:lang w:eastAsia="sv-SE"/>
        </w:rPr>
        <w:t>Miljö, jämställdhet och sociala effekter</w:t>
      </w:r>
      <w:r w:rsidR="00F0657F">
        <w:rPr>
          <w:rFonts w:eastAsia="Times New Roman"/>
          <w:lang w:eastAsia="sv-SE"/>
        </w:rPr>
        <w:br/>
      </w:r>
    </w:p>
    <w:p w14:paraId="766B2CC9" w14:textId="00B67C66" w:rsidR="00F315BE" w:rsidRDefault="00F00244" w:rsidP="00F315BE">
      <w:pPr>
        <w:pStyle w:val="Rubrik3"/>
        <w:rPr>
          <w:lang w:eastAsia="sv-SE"/>
        </w:rPr>
      </w:pPr>
      <w:r>
        <w:rPr>
          <w:lang w:eastAsia="sv-SE"/>
        </w:rPr>
        <w:t>Miljömässiga konsekvenser</w:t>
      </w:r>
    </w:p>
    <w:p w14:paraId="7468DF32" w14:textId="3E0239AB" w:rsidR="00F315BE" w:rsidRPr="00A3334D" w:rsidRDefault="00F315BE" w:rsidP="00FC5D3A">
      <w:pPr>
        <w:pStyle w:val="HSLF-FS-Brdtextindragfrstaraden"/>
        <w:ind w:firstLine="0"/>
        <w:rPr>
          <w:color w:val="auto"/>
          <w:sz w:val="22"/>
          <w:szCs w:val="22"/>
        </w:rPr>
      </w:pPr>
      <w:r w:rsidRPr="00A3334D">
        <w:rPr>
          <w:color w:val="auto"/>
          <w:sz w:val="22"/>
          <w:szCs w:val="22"/>
        </w:rPr>
        <w:t>Förslaget bedöms inte få några miljömässiga konsekvenser.</w:t>
      </w:r>
    </w:p>
    <w:p w14:paraId="049E8E4A" w14:textId="77777777" w:rsidR="00F00244" w:rsidRDefault="00F00244" w:rsidP="00F00244">
      <w:pPr>
        <w:pStyle w:val="Brdtext"/>
        <w:rPr>
          <w:lang w:eastAsia="sv-SE"/>
        </w:rPr>
      </w:pPr>
    </w:p>
    <w:p w14:paraId="51C554BE" w14:textId="77777777" w:rsidR="00F00244" w:rsidRDefault="00F00244" w:rsidP="00F00244">
      <w:pPr>
        <w:pStyle w:val="Rubrik3"/>
        <w:rPr>
          <w:lang w:eastAsia="sv-SE"/>
        </w:rPr>
      </w:pPr>
      <w:r>
        <w:rPr>
          <w:lang w:eastAsia="sv-SE"/>
        </w:rPr>
        <w:lastRenderedPageBreak/>
        <w:t>Sociala konsekvenser inklusive jämställdhet och hälsa</w:t>
      </w:r>
    </w:p>
    <w:p w14:paraId="2A3D27FE" w14:textId="338B11EA" w:rsidR="00A44E07" w:rsidRDefault="00A44E07" w:rsidP="00915D73">
      <w:pPr>
        <w:pStyle w:val="Brdtext"/>
      </w:pPr>
    </w:p>
    <w:p w14:paraId="27CB870C" w14:textId="15630641" w:rsidR="00A44E07" w:rsidRDefault="00A44E07" w:rsidP="00A44E07">
      <w:pPr>
        <w:pStyle w:val="Brdtext"/>
      </w:pPr>
      <w:r w:rsidRPr="00A44E07">
        <w:t xml:space="preserve">De tobaksfria nikotinprodukterna har tidigare varit oreglerade. Det kan antas ha bidragit till att en stor andel - 14, 6 procent – av personer i den yngsta åldersgruppen 16-29 år använder nikotinsnus dagligen eller ibland. Den största andelen av dessa är kvinnor. </w:t>
      </w:r>
      <w:r w:rsidRPr="00A44E07">
        <w:rPr>
          <w:vertAlign w:val="superscript"/>
        </w:rPr>
        <w:footnoteReference w:id="3"/>
      </w:r>
    </w:p>
    <w:p w14:paraId="12F3B9B1" w14:textId="796ADF61" w:rsidR="003D0A17" w:rsidRDefault="003D0A17" w:rsidP="00A44E07">
      <w:pPr>
        <w:pStyle w:val="Brdtext"/>
      </w:pPr>
    </w:p>
    <w:p w14:paraId="1C6169DC" w14:textId="77777777" w:rsidR="003D0A17" w:rsidRPr="003D0A17" w:rsidRDefault="003D0A17" w:rsidP="001F5E5B">
      <w:pPr>
        <w:pStyle w:val="Brdtext"/>
      </w:pPr>
      <w:r w:rsidRPr="003D0A17">
        <w:t>Andel personer i yngsta åldersgruppen 16-29 år som använder nikotinsnus dagligen eller ibland:</w:t>
      </w:r>
    </w:p>
    <w:p w14:paraId="43DA978B" w14:textId="77777777" w:rsidR="003D0A17" w:rsidRDefault="003D0A17" w:rsidP="001F5E5B">
      <w:pPr>
        <w:pStyle w:val="Brdtext"/>
        <w:ind w:left="1440"/>
      </w:pPr>
    </w:p>
    <w:p w14:paraId="6026CC80" w14:textId="561D79E8" w:rsidR="003D0A17" w:rsidRPr="003D0A17" w:rsidRDefault="003D0A17" w:rsidP="003D0A17">
      <w:pPr>
        <w:pStyle w:val="Brdtext"/>
        <w:numPr>
          <w:ilvl w:val="1"/>
          <w:numId w:val="51"/>
        </w:numPr>
      </w:pPr>
      <w:r w:rsidRPr="003D0A17">
        <w:t>Totalt: 14,6%</w:t>
      </w:r>
    </w:p>
    <w:p w14:paraId="4B803173" w14:textId="77777777" w:rsidR="003D0A17" w:rsidRPr="003D0A17" w:rsidRDefault="003D0A17" w:rsidP="003D0A17">
      <w:pPr>
        <w:pStyle w:val="Brdtext"/>
        <w:numPr>
          <w:ilvl w:val="1"/>
          <w:numId w:val="51"/>
        </w:numPr>
      </w:pPr>
      <w:r w:rsidRPr="003D0A17">
        <w:t>Kvinnor: 17,7%</w:t>
      </w:r>
    </w:p>
    <w:p w14:paraId="0FF5F8A6" w14:textId="218F9D17" w:rsidR="003D0A17" w:rsidRDefault="003D0A17" w:rsidP="003D0A17">
      <w:pPr>
        <w:pStyle w:val="Brdtext"/>
        <w:numPr>
          <w:ilvl w:val="1"/>
          <w:numId w:val="51"/>
        </w:numPr>
      </w:pPr>
      <w:r w:rsidRPr="003D0A17">
        <w:t>Män: 11,7%</w:t>
      </w:r>
    </w:p>
    <w:p w14:paraId="1D8A5067" w14:textId="77777777" w:rsidR="001F5E5B" w:rsidRPr="003D0A17" w:rsidRDefault="001F5E5B" w:rsidP="001F5E5B">
      <w:pPr>
        <w:pStyle w:val="Brdtext"/>
        <w:ind w:left="1440"/>
      </w:pPr>
    </w:p>
    <w:p w14:paraId="5EEF6DF7" w14:textId="3BC67121" w:rsidR="00C6775D" w:rsidRPr="00CB691B" w:rsidRDefault="00A44E07" w:rsidP="00C6775D">
      <w:pPr>
        <w:rPr>
          <w:rFonts w:ascii="Sabon" w:eastAsia="Times New Roman" w:hAnsi="Sabon" w:cs="Times New Roman"/>
          <w:szCs w:val="20"/>
          <w:lang w:eastAsia="sv-SE"/>
        </w:rPr>
      </w:pPr>
      <w:r w:rsidRPr="00A44E07">
        <w:rPr>
          <w:lang w:eastAsia="sv-SE"/>
        </w:rPr>
        <w:t>Folkhälsomyndigheten bedömer att preciseringen genom föreskrifter kommer att bidra till att uppnå syftena med LTN, att begränsa hälsorisker och olägenheter förenade med användandet av nikotinprodukter, särskilt bland barn och ungdomar. Föreskrifterna kan också antas bidra till ökad jämställdhet.</w:t>
      </w:r>
    </w:p>
    <w:p w14:paraId="225A979D" w14:textId="77777777" w:rsidR="005064BE" w:rsidRPr="005E1781" w:rsidRDefault="005064BE" w:rsidP="002301BD">
      <w:pPr>
        <w:rPr>
          <w:rFonts w:ascii="Sabon" w:eastAsia="Times New Roman" w:hAnsi="Sabon" w:cs="Times New Roman"/>
          <w:szCs w:val="20"/>
          <w:u w:val="single"/>
          <w:lang w:eastAsia="sv-SE"/>
        </w:rPr>
      </w:pPr>
    </w:p>
    <w:p w14:paraId="7CEB09CC" w14:textId="6302391E" w:rsidR="00BF386A" w:rsidRDefault="002301BD" w:rsidP="00BF386A">
      <w:pPr>
        <w:pStyle w:val="Rubrik1"/>
      </w:pPr>
      <w:r w:rsidRPr="00CB691B">
        <w:rPr>
          <w:rStyle w:val="Rubrik2Char"/>
          <w:b/>
        </w:rPr>
        <w:t>Bedömning av om regleringen överensstämmer med</w:t>
      </w:r>
      <w:r w:rsidRPr="00CB691B">
        <w:t xml:space="preserve"> eller går utöver de skyldigheter som följer av Sveriges anslutning till Europeiska unionen</w:t>
      </w:r>
    </w:p>
    <w:p w14:paraId="38D84E47" w14:textId="4D821830" w:rsidR="00BF386A" w:rsidRDefault="00BF386A" w:rsidP="004428F0">
      <w:pPr>
        <w:pStyle w:val="Brdtext"/>
      </w:pPr>
      <w:r>
        <w:t>Folkhälsomyndigheten bedöm</w:t>
      </w:r>
      <w:r w:rsidR="007E083E">
        <w:t>er</w:t>
      </w:r>
      <w:r>
        <w:t xml:space="preserve"> att de föreslagna bestämmelserna överensstämmer med de krav och skyldigheter som följer av Sveriges anslutning till Europiska unionen. Förslagen översänds till Kommerskollegium i enlighet med 6 § förordningen (1994:2029) om tekniska regler </w:t>
      </w:r>
      <w:r w:rsidR="007E083E">
        <w:t xml:space="preserve">eftersom </w:t>
      </w:r>
      <w:r>
        <w:t>de utgör sådana tekniska regler som framgår av 2 § samma förordning. Förordningen ansluter till Sveriges internationella förpliktelser enligt Europaparlamentets och rådets direktiv (EU) 2015/1535 av den 9 september 2015 om ett informationsförfarande beträffande tekniska föreskrifter och beträffande föreskrifter för informationssamhällets tjänster. Reglerna i föreskrifterna begränsar i viss mån den fria rörligheten av varor till skydd av folkhälsan genom art. 36 EUF. Den begränsning av inomeuropeisk handel som blir konsekvensen av reglerna har Folkhälsomyndigheten bedömt vara proportionerlig i förhållande till vad som ska uppnås, vilket är att begränsa skadeverkningarna av nikotin bland framför</w:t>
      </w:r>
      <w:r w:rsidR="00EF48F5">
        <w:t xml:space="preserve"> </w:t>
      </w:r>
      <w:r>
        <w:t xml:space="preserve">allt barn och unga. </w:t>
      </w:r>
    </w:p>
    <w:p w14:paraId="36596406" w14:textId="243B7AF9" w:rsidR="00636C42" w:rsidRDefault="00636C42" w:rsidP="004428F0">
      <w:pPr>
        <w:pStyle w:val="Brdtext"/>
      </w:pPr>
    </w:p>
    <w:p w14:paraId="5721A92F" w14:textId="5A183970" w:rsidR="00716C6D" w:rsidRDefault="00274A38" w:rsidP="00716C6D">
      <w:pPr>
        <w:pStyle w:val="Rubrik1"/>
        <w:rPr>
          <w:rFonts w:eastAsia="Times New Roman"/>
          <w:lang w:eastAsia="sv-SE"/>
        </w:rPr>
      </w:pPr>
      <w:r>
        <w:rPr>
          <w:rFonts w:eastAsia="Times New Roman"/>
          <w:lang w:eastAsia="sv-SE"/>
        </w:rPr>
        <w:t>Företag</w:t>
      </w:r>
    </w:p>
    <w:p w14:paraId="6F5FC5DE" w14:textId="4F0A9AEA" w:rsidR="002301BD" w:rsidRPr="00581D41" w:rsidRDefault="002301BD" w:rsidP="00581D41">
      <w:pPr>
        <w:pStyle w:val="Rubrik2"/>
        <w:rPr>
          <w:rFonts w:eastAsia="Times New Roman"/>
          <w:lang w:eastAsia="sv-SE"/>
        </w:rPr>
      </w:pPr>
      <w:r w:rsidRPr="00581D41">
        <w:rPr>
          <w:rFonts w:eastAsia="Times New Roman"/>
          <w:lang w:eastAsia="sv-SE"/>
        </w:rPr>
        <w:t>Beskrivning av antalet företag som berörs, vilka branscher företagen är verksamma i samt storleken på företagen</w:t>
      </w:r>
    </w:p>
    <w:p w14:paraId="11655395" w14:textId="496D74B0" w:rsidR="005457D4" w:rsidRDefault="00716C6D" w:rsidP="00337C92">
      <w:pPr>
        <w:pStyle w:val="Brdtext"/>
      </w:pPr>
      <w:r w:rsidRPr="004428F0">
        <w:t xml:space="preserve">Av förarbetena till </w:t>
      </w:r>
      <w:r w:rsidR="00FD4F4A">
        <w:t>LTN</w:t>
      </w:r>
      <w:r w:rsidRPr="004428F0">
        <w:t xml:space="preserve"> framgår att u</w:t>
      </w:r>
      <w:r w:rsidR="009C5E90" w:rsidRPr="004428F0">
        <w:t>ppgifter</w:t>
      </w:r>
      <w:r w:rsidR="00BD0335">
        <w:t>na</w:t>
      </w:r>
      <w:r w:rsidR="009C5E90" w:rsidRPr="004428F0">
        <w:t xml:space="preserve"> om marknaden för tobaksfritt snus är osäk</w:t>
      </w:r>
      <w:r w:rsidR="00BD0335">
        <w:t>ra</w:t>
      </w:r>
      <w:r w:rsidR="009C5E90" w:rsidRPr="004428F0">
        <w:t xml:space="preserve">. Eftersom det inte finns någon särskild reglering av tobaksfria nikotinprodukter sedan tidigare finns det </w:t>
      </w:r>
      <w:r w:rsidR="009B47AB">
        <w:t xml:space="preserve">idag </w:t>
      </w:r>
      <w:r w:rsidR="009C5E90" w:rsidRPr="004428F0">
        <w:t xml:space="preserve">ingen </w:t>
      </w:r>
      <w:r w:rsidR="00325505" w:rsidRPr="004428F0">
        <w:t>uppgifts</w:t>
      </w:r>
      <w:r w:rsidR="009C5E90" w:rsidRPr="004428F0">
        <w:t xml:space="preserve">skyldighet </w:t>
      </w:r>
      <w:r w:rsidR="00F47A53" w:rsidRPr="004428F0">
        <w:t>till</w:t>
      </w:r>
      <w:r w:rsidR="009C5E90" w:rsidRPr="004428F0">
        <w:t xml:space="preserve"> myndigheterna. </w:t>
      </w:r>
      <w:r w:rsidR="00595BDA">
        <w:t xml:space="preserve">Det </w:t>
      </w:r>
      <w:r w:rsidR="00595BDA" w:rsidRPr="006412AC">
        <w:t xml:space="preserve">finns </w:t>
      </w:r>
      <w:r w:rsidR="00595BDA">
        <w:t xml:space="preserve">inte </w:t>
      </w:r>
      <w:r w:rsidR="009B47AB">
        <w:t xml:space="preserve">heller </w:t>
      </w:r>
      <w:r w:rsidR="00595BDA">
        <w:t xml:space="preserve">tillgång till </w:t>
      </w:r>
      <w:r w:rsidR="00595BDA" w:rsidRPr="006412AC">
        <w:lastRenderedPageBreak/>
        <w:t xml:space="preserve">branschstatistik </w:t>
      </w:r>
      <w:r w:rsidR="00595BDA">
        <w:t xml:space="preserve">med </w:t>
      </w:r>
      <w:r w:rsidR="009C5E90" w:rsidRPr="004428F0">
        <w:t>särskilda branschkoder för tobaksfria nikotinprodukter</w:t>
      </w:r>
      <w:r w:rsidR="005C7F10" w:rsidRPr="004428F0">
        <w:rPr>
          <w:rStyle w:val="Fotnotsreferens"/>
        </w:rPr>
        <w:footnoteReference w:id="4"/>
      </w:r>
      <w:r w:rsidR="009C5E90" w:rsidRPr="004428F0">
        <w:t xml:space="preserve">. </w:t>
      </w:r>
      <w:r w:rsidR="00F21D1F" w:rsidRPr="004428F0">
        <w:t xml:space="preserve">De företag som berörs av föreskrifterna är </w:t>
      </w:r>
      <w:r w:rsidR="001B6587" w:rsidRPr="004428F0">
        <w:t xml:space="preserve">främst </w:t>
      </w:r>
      <w:r w:rsidR="00F21D1F" w:rsidRPr="004428F0">
        <w:t xml:space="preserve">tillverkare och importörer av </w:t>
      </w:r>
      <w:r w:rsidR="005C7F10" w:rsidRPr="004428F0">
        <w:t xml:space="preserve">tobaksfria </w:t>
      </w:r>
      <w:r w:rsidR="00F21D1F" w:rsidRPr="004428F0">
        <w:t>nikotinprodukter</w:t>
      </w:r>
      <w:r w:rsidR="00325505" w:rsidRPr="004428F0">
        <w:t xml:space="preserve"> samt i </w:t>
      </w:r>
      <w:r w:rsidR="001B6587" w:rsidRPr="004428F0">
        <w:t xml:space="preserve">mindre omfattning </w:t>
      </w:r>
      <w:r w:rsidR="00325505" w:rsidRPr="004428F0">
        <w:t>distributörer</w:t>
      </w:r>
      <w:r w:rsidR="001B6587" w:rsidRPr="004428F0">
        <w:t>, vilket innefattar även detaljhand</w:t>
      </w:r>
      <w:r w:rsidR="005C7F10" w:rsidRPr="004428F0">
        <w:t>lare</w:t>
      </w:r>
      <w:r w:rsidR="001B6587" w:rsidRPr="004428F0">
        <w:t>.</w:t>
      </w:r>
      <w:r w:rsidR="001D143B" w:rsidRPr="004428F0">
        <w:t xml:space="preserve"> </w:t>
      </w:r>
    </w:p>
    <w:p w14:paraId="2CC17778" w14:textId="77777777" w:rsidR="005457D4" w:rsidRDefault="005457D4" w:rsidP="00337C92">
      <w:pPr>
        <w:pStyle w:val="Brdtext"/>
      </w:pPr>
    </w:p>
    <w:p w14:paraId="7CC9BDDD" w14:textId="49408875" w:rsidR="00F8656B" w:rsidRPr="004428F0" w:rsidRDefault="00F21D1F" w:rsidP="00337C92">
      <w:pPr>
        <w:pStyle w:val="Brdtext"/>
      </w:pPr>
      <w:r w:rsidRPr="004428F0">
        <w:t xml:space="preserve">Enligt </w:t>
      </w:r>
      <w:r w:rsidRPr="00447B0D">
        <w:rPr>
          <w:lang w:eastAsia="sv-SE"/>
        </w:rPr>
        <w:t>Folkhälsomyndighetens egna beräkningar uppgår a</w:t>
      </w:r>
      <w:r w:rsidR="00337C92" w:rsidRPr="00447B0D">
        <w:rPr>
          <w:lang w:eastAsia="sv-SE"/>
        </w:rPr>
        <w:t>ntalet</w:t>
      </w:r>
      <w:r w:rsidRPr="00447B0D">
        <w:rPr>
          <w:lang w:eastAsia="sv-SE"/>
        </w:rPr>
        <w:t xml:space="preserve"> </w:t>
      </w:r>
      <w:r w:rsidR="001B6587" w:rsidRPr="004F074B">
        <w:rPr>
          <w:lang w:eastAsia="sv-SE"/>
        </w:rPr>
        <w:t xml:space="preserve">tillverkare och importörer </w:t>
      </w:r>
      <w:r w:rsidRPr="00CF3A61">
        <w:rPr>
          <w:lang w:eastAsia="sv-SE"/>
        </w:rPr>
        <w:t>till</w:t>
      </w:r>
      <w:r w:rsidR="0010753F" w:rsidRPr="00CF3A61">
        <w:rPr>
          <w:lang w:eastAsia="sv-SE"/>
        </w:rPr>
        <w:t xml:space="preserve"> sammanlagt 55, varav 33 är baserade i Sverige</w:t>
      </w:r>
      <w:r w:rsidR="008F409D" w:rsidRPr="00CF3A61">
        <w:rPr>
          <w:lang w:eastAsia="sv-SE"/>
        </w:rPr>
        <w:t xml:space="preserve"> (se tabell 1 nedan, </w:t>
      </w:r>
      <w:r w:rsidR="009115D5">
        <w:rPr>
          <w:lang w:eastAsia="sv-SE"/>
        </w:rPr>
        <w:t xml:space="preserve">som visar hur de är fördelade </w:t>
      </w:r>
      <w:r w:rsidR="008F409D" w:rsidRPr="00CF3A61">
        <w:rPr>
          <w:lang w:eastAsia="sv-SE"/>
        </w:rPr>
        <w:t>utif</w:t>
      </w:r>
      <w:r w:rsidR="0003514B" w:rsidRPr="00CF3A61">
        <w:rPr>
          <w:lang w:eastAsia="sv-SE"/>
        </w:rPr>
        <w:t>rån företagsstorlek).</w:t>
      </w:r>
      <w:r w:rsidR="0010753F" w:rsidRPr="004428F0">
        <w:t xml:space="preserve"> Det är främst företag som tillverkar tobakssnus som även tillverkar </w:t>
      </w:r>
      <w:r w:rsidR="007D399C">
        <w:t xml:space="preserve">tobaksfria </w:t>
      </w:r>
      <w:r w:rsidR="0010753F" w:rsidRPr="004428F0">
        <w:t>nikotinprodukter</w:t>
      </w:r>
      <w:r w:rsidR="0003514B" w:rsidRPr="004428F0">
        <w:t>.</w:t>
      </w:r>
    </w:p>
    <w:p w14:paraId="0EB9262C" w14:textId="346958B4" w:rsidR="00E8637C" w:rsidRPr="00E8637C" w:rsidRDefault="00E8637C" w:rsidP="00E8637C">
      <w:pPr>
        <w:spacing w:before="60" w:after="160" w:line="300" w:lineRule="atLeast"/>
        <w:rPr>
          <w:rFonts w:ascii="Times New Roman" w:eastAsia="Times New Roman" w:hAnsi="Times New Roman" w:cs="Times New Roman"/>
          <w:color w:val="000000"/>
        </w:rPr>
      </w:pPr>
      <w:r w:rsidRPr="00E8637C">
        <w:rPr>
          <w:rFonts w:ascii="Times New Roman" w:eastAsia="Times New Roman" w:hAnsi="Times New Roman" w:cs="Times New Roman"/>
          <w:color w:val="000000"/>
        </w:rPr>
        <w:t xml:space="preserve">Vid bedömning av företagens storlek </w:t>
      </w:r>
      <w:r w:rsidR="00455B9D">
        <w:rPr>
          <w:rFonts w:ascii="Times New Roman" w:eastAsia="Times New Roman" w:hAnsi="Times New Roman" w:cs="Times New Roman"/>
          <w:color w:val="000000"/>
        </w:rPr>
        <w:t>har Folkhälsomyndigheten</w:t>
      </w:r>
      <w:r w:rsidR="005C7F10">
        <w:rPr>
          <w:rFonts w:ascii="Times New Roman" w:eastAsia="Times New Roman" w:hAnsi="Times New Roman" w:cs="Times New Roman"/>
          <w:color w:val="000000"/>
        </w:rPr>
        <w:t xml:space="preserve"> utgått från Europeiska k</w:t>
      </w:r>
      <w:r w:rsidRPr="00E8637C">
        <w:rPr>
          <w:rFonts w:ascii="Times New Roman" w:eastAsia="Times New Roman" w:hAnsi="Times New Roman" w:cs="Times New Roman"/>
          <w:color w:val="000000"/>
        </w:rPr>
        <w:t>ommissionens rekommen</w:t>
      </w:r>
      <w:r w:rsidRPr="00E8637C">
        <w:rPr>
          <w:rFonts w:ascii="Times New Roman" w:eastAsia="Times New Roman" w:hAnsi="Times New Roman" w:cs="Times New Roman"/>
          <w:color w:val="000000"/>
        </w:rPr>
        <w:softHyphen/>
        <w:t>dation om definitionen av mikroföretag samt små och medelstora företag</w:t>
      </w:r>
      <w:r w:rsidR="00617262">
        <w:rPr>
          <w:rFonts w:ascii="Times New Roman" w:eastAsia="Times New Roman" w:hAnsi="Times New Roman" w:cs="Times New Roman"/>
          <w:color w:val="000000"/>
        </w:rPr>
        <w:t>. Vi har dessutom</w:t>
      </w:r>
      <w:r w:rsidRPr="00E8637C">
        <w:rPr>
          <w:rFonts w:ascii="Times New Roman" w:eastAsia="Times New Roman" w:hAnsi="Times New Roman" w:cs="Times New Roman"/>
          <w:color w:val="000000"/>
        </w:rPr>
        <w:t xml:space="preserve"> lagt till kategorin enmansföretag enligt följande:</w:t>
      </w:r>
    </w:p>
    <w:p w14:paraId="6FFA145D"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sidRPr="00E8637C">
        <w:rPr>
          <w:rFonts w:ascii="Times New Roman" w:eastAsia="Times New Roman" w:hAnsi="Times New Roman" w:cs="Times New Roman"/>
          <w:b/>
          <w:color w:val="000000"/>
        </w:rPr>
        <w:t>Stora företag</w:t>
      </w:r>
      <w:r w:rsidRPr="00E8637C">
        <w:rPr>
          <w:rFonts w:ascii="Times New Roman" w:eastAsia="Times New Roman" w:hAnsi="Times New Roman" w:cs="Times New Roman"/>
          <w:color w:val="000000"/>
        </w:rPr>
        <w:t>. över 250 anställda, årsomsättning: över 525 miljoner kr.</w:t>
      </w:r>
    </w:p>
    <w:p w14:paraId="67EC1E55"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sidRPr="00E8637C">
        <w:rPr>
          <w:rFonts w:ascii="Times New Roman" w:eastAsia="Times New Roman" w:hAnsi="Times New Roman" w:cs="Times New Roman"/>
          <w:b/>
          <w:color w:val="000000"/>
        </w:rPr>
        <w:t>Medelstora företag</w:t>
      </w:r>
      <w:r w:rsidRPr="00E8637C">
        <w:rPr>
          <w:rFonts w:ascii="Times New Roman" w:eastAsia="Times New Roman" w:hAnsi="Times New Roman" w:cs="Times New Roman"/>
          <w:color w:val="000000"/>
        </w:rPr>
        <w:t>. 50–249 anställda, årsomsättning: 100–525 miljoner kr.</w:t>
      </w:r>
    </w:p>
    <w:p w14:paraId="6854881B"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sidRPr="00E8637C">
        <w:rPr>
          <w:rFonts w:ascii="Times New Roman" w:eastAsia="Times New Roman" w:hAnsi="Times New Roman" w:cs="Times New Roman"/>
          <w:b/>
          <w:color w:val="000000"/>
        </w:rPr>
        <w:t>Småföretag</w:t>
      </w:r>
      <w:r w:rsidRPr="00E8637C">
        <w:rPr>
          <w:rFonts w:ascii="Times New Roman" w:eastAsia="Times New Roman" w:hAnsi="Times New Roman" w:cs="Times New Roman"/>
          <w:color w:val="000000"/>
        </w:rPr>
        <w:t>. 10–49 anställda, årsomsättning: 21–105 miljoner kr.</w:t>
      </w:r>
    </w:p>
    <w:p w14:paraId="0DF65CDD"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sidRPr="00E8637C">
        <w:rPr>
          <w:rFonts w:ascii="Times New Roman" w:eastAsia="Times New Roman" w:hAnsi="Times New Roman" w:cs="Times New Roman"/>
          <w:b/>
          <w:color w:val="000000"/>
        </w:rPr>
        <w:t>Mikroföretag</w:t>
      </w:r>
      <w:r w:rsidRPr="00E8637C">
        <w:rPr>
          <w:rFonts w:ascii="Times New Roman" w:eastAsia="Times New Roman" w:hAnsi="Times New Roman" w:cs="Times New Roman"/>
          <w:color w:val="000000"/>
        </w:rPr>
        <w:t>. 1–9 anställda, årsomsättning: 0–21 miljoner kr.</w:t>
      </w:r>
    </w:p>
    <w:p w14:paraId="3F5530B9"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sidRPr="00E8637C">
        <w:rPr>
          <w:rFonts w:ascii="Times New Roman" w:eastAsia="Times New Roman" w:hAnsi="Times New Roman" w:cs="Times New Roman"/>
          <w:b/>
          <w:color w:val="000000"/>
        </w:rPr>
        <w:t>Enmansföretag</w:t>
      </w:r>
      <w:r w:rsidRPr="00E8637C">
        <w:rPr>
          <w:rFonts w:ascii="Times New Roman" w:eastAsia="Times New Roman" w:hAnsi="Times New Roman" w:cs="Times New Roman"/>
          <w:color w:val="000000"/>
        </w:rPr>
        <w:t>. 0 anställda.</w:t>
      </w:r>
    </w:p>
    <w:p w14:paraId="388AAD97" w14:textId="77777777" w:rsidR="00E8637C" w:rsidRDefault="00E8637C" w:rsidP="00337C92">
      <w:pPr>
        <w:pStyle w:val="Brdtext"/>
        <w:rPr>
          <w:sz w:val="20"/>
          <w:szCs w:val="20"/>
        </w:rPr>
      </w:pPr>
    </w:p>
    <w:p w14:paraId="5CE666A9" w14:textId="407A9545" w:rsidR="00337C92" w:rsidRDefault="00F8656B" w:rsidP="00337C92">
      <w:pPr>
        <w:pStyle w:val="Brdtext"/>
        <w:rPr>
          <w:sz w:val="20"/>
          <w:szCs w:val="20"/>
        </w:rPr>
      </w:pPr>
      <w:r w:rsidRPr="00842A4C">
        <w:t xml:space="preserve">Antalet näringsidkare i Sverige med fysiska försäljningsställen för tobaksfria nikotinprodukter </w:t>
      </w:r>
      <w:r>
        <w:t xml:space="preserve">kan, enligt Folkhälsomyndighetens </w:t>
      </w:r>
      <w:r w:rsidR="005C7F10">
        <w:t>bedömning</w:t>
      </w:r>
      <w:r>
        <w:t xml:space="preserve">, </w:t>
      </w:r>
      <w:r w:rsidRPr="00842A4C">
        <w:t xml:space="preserve">likställas med antalet detaljhandelstillstånd för tobaksvaror plus antalet anmälda försäljningsställen av e-cigaretter som inte har </w:t>
      </w:r>
      <w:r w:rsidRPr="00BD2019">
        <w:t xml:space="preserve">något tobakstillstånd </w:t>
      </w:r>
      <w:r w:rsidR="00D51E20">
        <w:t>(</w:t>
      </w:r>
      <w:r w:rsidRPr="00BD2019">
        <w:t>c</w:t>
      </w:r>
      <w:r w:rsidR="00D51E20">
        <w:t>irk</w:t>
      </w:r>
      <w:r w:rsidRPr="00BD2019">
        <w:t>a 300</w:t>
      </w:r>
      <w:r w:rsidR="00D51E20">
        <w:t>)</w:t>
      </w:r>
      <w:r w:rsidRPr="00BD2019">
        <w:t>. Det totala antalet fysiska försäljningsställen som tillhandahåller tobaksfria nikotinprodukter år 2022 bör uppgå till c</w:t>
      </w:r>
      <w:r w:rsidR="00ED2E37">
        <w:t>irk</w:t>
      </w:r>
      <w:r w:rsidRPr="00BD2019">
        <w:t>a 7 800</w:t>
      </w:r>
      <w:r>
        <w:t xml:space="preserve">. </w:t>
      </w:r>
      <w:r w:rsidR="009534A3">
        <w:t>Å</w:t>
      </w:r>
      <w:r w:rsidRPr="00F8656B">
        <w:rPr>
          <w:rFonts w:ascii="Times New Roman" w:eastAsia="Times New Roman" w:hAnsi="Times New Roman" w:cs="Times New Roman"/>
        </w:rPr>
        <w:t xml:space="preserve">r 2022 är </w:t>
      </w:r>
      <w:r w:rsidR="009534A3">
        <w:rPr>
          <w:rFonts w:ascii="Times New Roman" w:eastAsia="Times New Roman" w:hAnsi="Times New Roman" w:cs="Times New Roman"/>
        </w:rPr>
        <w:t xml:space="preserve">det </w:t>
      </w:r>
      <w:r w:rsidRPr="00F8656B">
        <w:rPr>
          <w:rFonts w:ascii="Times New Roman" w:eastAsia="Times New Roman" w:hAnsi="Times New Roman" w:cs="Times New Roman"/>
        </w:rPr>
        <w:t>minst 71 näringsidkare i Sverige som bedriver detaljhandel med tobaksfria nikotinprodukter på annat sätt än på ett fysiskt försäljningsställe</w:t>
      </w:r>
      <w:r w:rsidR="009534A3">
        <w:rPr>
          <w:rFonts w:ascii="Times New Roman" w:eastAsia="Times New Roman" w:hAnsi="Times New Roman" w:cs="Times New Roman"/>
        </w:rPr>
        <w:t>, vilket ger en totalsumma på 7</w:t>
      </w:r>
      <w:r w:rsidR="00ED2E37">
        <w:rPr>
          <w:rFonts w:ascii="Times New Roman" w:eastAsia="Times New Roman" w:hAnsi="Times New Roman" w:cs="Times New Roman"/>
        </w:rPr>
        <w:t> </w:t>
      </w:r>
      <w:r w:rsidR="009534A3">
        <w:rPr>
          <w:rFonts w:ascii="Times New Roman" w:eastAsia="Times New Roman" w:hAnsi="Times New Roman" w:cs="Times New Roman"/>
        </w:rPr>
        <w:t>871 detaljhandlare.</w:t>
      </w:r>
      <w:r w:rsidR="0003514B">
        <w:rPr>
          <w:rFonts w:ascii="Times New Roman" w:eastAsia="Times New Roman" w:hAnsi="Times New Roman" w:cs="Times New Roman"/>
        </w:rPr>
        <w:t xml:space="preserve"> För fördelning på företagsstorlek av detaljhandlare har Folkhälsomyndigheten tillgång till statistik för år 2021, se tabell 2.</w:t>
      </w:r>
    </w:p>
    <w:p w14:paraId="58F5F6BD" w14:textId="3C85E296" w:rsidR="00712516" w:rsidRDefault="00712516" w:rsidP="00337C92">
      <w:pPr>
        <w:pStyle w:val="Brdtext"/>
        <w:rPr>
          <w:sz w:val="20"/>
          <w:szCs w:val="20"/>
        </w:rPr>
      </w:pPr>
    </w:p>
    <w:p w14:paraId="277C5662" w14:textId="77777777" w:rsidR="00E76AEB" w:rsidRPr="009602C3" w:rsidRDefault="00E76AEB" w:rsidP="00E76AEB">
      <w:pPr>
        <w:pStyle w:val="Tabell-ochdiagramrubrik-F"/>
        <w:rPr>
          <w:sz w:val="20"/>
          <w:szCs w:val="20"/>
        </w:rPr>
      </w:pPr>
      <w:r>
        <w:rPr>
          <w:sz w:val="20"/>
          <w:szCs w:val="20"/>
        </w:rPr>
        <w:t>Tabell 1</w:t>
      </w:r>
      <w:r w:rsidRPr="0003514B">
        <w:rPr>
          <w:sz w:val="20"/>
          <w:szCs w:val="20"/>
        </w:rPr>
        <w:t xml:space="preserve">. </w:t>
      </w:r>
      <w:r>
        <w:rPr>
          <w:sz w:val="20"/>
          <w:szCs w:val="20"/>
        </w:rPr>
        <w:br/>
      </w:r>
      <w:r w:rsidRPr="0003514B">
        <w:rPr>
          <w:sz w:val="20"/>
          <w:szCs w:val="20"/>
        </w:rPr>
        <w:t xml:space="preserve">Antal </w:t>
      </w:r>
      <w:r>
        <w:rPr>
          <w:sz w:val="20"/>
          <w:szCs w:val="20"/>
        </w:rPr>
        <w:t xml:space="preserve">tillverkare och importörer </w:t>
      </w:r>
      <w:r w:rsidRPr="0003514B">
        <w:rPr>
          <w:sz w:val="20"/>
          <w:szCs w:val="20"/>
        </w:rPr>
        <w:t>uppdela</w:t>
      </w:r>
      <w:r>
        <w:rPr>
          <w:sz w:val="20"/>
          <w:szCs w:val="20"/>
        </w:rPr>
        <w:t>d efter företagsstorlek, år 2022</w:t>
      </w:r>
      <w:r w:rsidRPr="0003514B">
        <w:rPr>
          <w:sz w:val="20"/>
          <w:szCs w:val="20"/>
        </w:rPr>
        <w:t>.</w:t>
      </w:r>
    </w:p>
    <w:tbl>
      <w:tblPr>
        <w:tblStyle w:val="FoHMMestsiffror"/>
        <w:tblW w:w="0" w:type="auto"/>
        <w:tblLook w:val="04A0" w:firstRow="1" w:lastRow="0" w:firstColumn="1" w:lastColumn="0" w:noHBand="0" w:noVBand="1"/>
      </w:tblPr>
      <w:tblGrid>
        <w:gridCol w:w="1560"/>
        <w:gridCol w:w="1417"/>
      </w:tblGrid>
      <w:tr w:rsidR="00E76AEB" w:rsidRPr="008206B9" w14:paraId="1601828B" w14:textId="77777777" w:rsidTr="00960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80AB23C" w14:textId="77777777" w:rsidR="00E76AEB" w:rsidRPr="008206B9" w:rsidRDefault="00E76AEB" w:rsidP="009602C3">
            <w:pPr>
              <w:pStyle w:val="Tabelltext-F"/>
            </w:pPr>
            <w:r>
              <w:t>Företagsstorlek</w:t>
            </w:r>
          </w:p>
        </w:tc>
        <w:tc>
          <w:tcPr>
            <w:tcW w:w="1417" w:type="dxa"/>
          </w:tcPr>
          <w:p w14:paraId="7D649052" w14:textId="77777777" w:rsidR="00E76AEB" w:rsidRPr="008206B9" w:rsidRDefault="00E76AEB" w:rsidP="009602C3">
            <w:pPr>
              <w:pStyle w:val="Tabelltext-F"/>
              <w:cnfStyle w:val="100000000000" w:firstRow="1" w:lastRow="0" w:firstColumn="0" w:lastColumn="0" w:oddVBand="0" w:evenVBand="0" w:oddHBand="0" w:evenHBand="0" w:firstRowFirstColumn="0" w:firstRowLastColumn="0" w:lastRowFirstColumn="0" w:lastRowLastColumn="0"/>
            </w:pPr>
            <w:r>
              <w:t>Antal företag</w:t>
            </w:r>
          </w:p>
        </w:tc>
      </w:tr>
      <w:tr w:rsidR="00E76AEB" w:rsidRPr="008206B9" w14:paraId="2D1C71E1" w14:textId="77777777" w:rsidTr="00960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2F9BF93" w14:textId="77777777" w:rsidR="00E76AEB" w:rsidRPr="008206B9" w:rsidRDefault="00E76AEB" w:rsidP="009602C3">
            <w:pPr>
              <w:pStyle w:val="Tabelltext-F"/>
            </w:pPr>
            <w:r>
              <w:t>Enmansföretag</w:t>
            </w:r>
          </w:p>
        </w:tc>
        <w:tc>
          <w:tcPr>
            <w:tcW w:w="1417" w:type="dxa"/>
          </w:tcPr>
          <w:p w14:paraId="52374344" w14:textId="77777777" w:rsidR="00E76AEB" w:rsidRPr="008206B9"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11</w:t>
            </w:r>
          </w:p>
        </w:tc>
      </w:tr>
      <w:tr w:rsidR="00E76AEB" w:rsidRPr="008206B9" w14:paraId="1C7D0785" w14:textId="77777777" w:rsidTr="009602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74986FA" w14:textId="77777777" w:rsidR="00E76AEB" w:rsidRPr="008206B9" w:rsidRDefault="00E76AEB" w:rsidP="009602C3">
            <w:pPr>
              <w:pStyle w:val="Tabelltext-F"/>
            </w:pPr>
            <w:r>
              <w:t>Mikro</w:t>
            </w:r>
          </w:p>
        </w:tc>
        <w:tc>
          <w:tcPr>
            <w:tcW w:w="1417" w:type="dxa"/>
          </w:tcPr>
          <w:p w14:paraId="1ACBEE2D" w14:textId="77777777" w:rsidR="00E76AEB" w:rsidRPr="008206B9" w:rsidRDefault="00E76AEB" w:rsidP="009602C3">
            <w:pPr>
              <w:pStyle w:val="Tabelltext-F"/>
              <w:cnfStyle w:val="000000010000" w:firstRow="0" w:lastRow="0" w:firstColumn="0" w:lastColumn="0" w:oddVBand="0" w:evenVBand="0" w:oddHBand="0" w:evenHBand="1" w:firstRowFirstColumn="0" w:firstRowLastColumn="0" w:lastRowFirstColumn="0" w:lastRowLastColumn="0"/>
            </w:pPr>
            <w:r>
              <w:t>12</w:t>
            </w:r>
          </w:p>
        </w:tc>
      </w:tr>
      <w:tr w:rsidR="00E76AEB" w:rsidRPr="008206B9" w14:paraId="63BC207D" w14:textId="77777777" w:rsidTr="00960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39644A0" w14:textId="77777777" w:rsidR="00E76AEB" w:rsidRPr="008206B9" w:rsidRDefault="00E76AEB" w:rsidP="009602C3">
            <w:pPr>
              <w:pStyle w:val="Tabelltext-F"/>
            </w:pPr>
            <w:r>
              <w:t>Små</w:t>
            </w:r>
          </w:p>
        </w:tc>
        <w:tc>
          <w:tcPr>
            <w:tcW w:w="1417" w:type="dxa"/>
          </w:tcPr>
          <w:p w14:paraId="36D3504B" w14:textId="77777777" w:rsidR="00E76AEB" w:rsidRPr="008206B9"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2</w:t>
            </w:r>
          </w:p>
        </w:tc>
      </w:tr>
      <w:tr w:rsidR="00E76AEB" w:rsidRPr="008206B9" w14:paraId="64499D2F" w14:textId="77777777" w:rsidTr="009602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337540B" w14:textId="77777777" w:rsidR="00E76AEB" w:rsidRPr="008206B9" w:rsidRDefault="00E76AEB" w:rsidP="009602C3">
            <w:pPr>
              <w:pStyle w:val="Tabelltext-F"/>
            </w:pPr>
            <w:r>
              <w:t>Medelstora</w:t>
            </w:r>
          </w:p>
        </w:tc>
        <w:tc>
          <w:tcPr>
            <w:tcW w:w="1417" w:type="dxa"/>
          </w:tcPr>
          <w:p w14:paraId="3CA014C5" w14:textId="77777777" w:rsidR="00E76AEB" w:rsidRPr="008206B9" w:rsidRDefault="00E76AEB" w:rsidP="009602C3">
            <w:pPr>
              <w:pStyle w:val="Tabelltext-F"/>
              <w:cnfStyle w:val="000000010000" w:firstRow="0" w:lastRow="0" w:firstColumn="0" w:lastColumn="0" w:oddVBand="0" w:evenVBand="0" w:oddHBand="0" w:evenHBand="1" w:firstRowFirstColumn="0" w:firstRowLastColumn="0" w:lastRowFirstColumn="0" w:lastRowLastColumn="0"/>
            </w:pPr>
            <w:r>
              <w:t>3</w:t>
            </w:r>
          </w:p>
        </w:tc>
      </w:tr>
      <w:tr w:rsidR="00E76AEB" w:rsidRPr="008206B9" w14:paraId="5040ABF3" w14:textId="77777777" w:rsidTr="00960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720092F" w14:textId="77777777" w:rsidR="00E76AEB" w:rsidRDefault="00E76AEB" w:rsidP="009602C3">
            <w:pPr>
              <w:pStyle w:val="Tabelltext-F"/>
            </w:pPr>
            <w:r>
              <w:t>Stora</w:t>
            </w:r>
          </w:p>
        </w:tc>
        <w:tc>
          <w:tcPr>
            <w:tcW w:w="1417" w:type="dxa"/>
          </w:tcPr>
          <w:p w14:paraId="230D4C9B" w14:textId="77777777" w:rsidR="00E76AEB"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5</w:t>
            </w:r>
          </w:p>
        </w:tc>
      </w:tr>
    </w:tbl>
    <w:p w14:paraId="5C117AB8" w14:textId="77777777" w:rsidR="00E76AEB" w:rsidRPr="009602C3" w:rsidRDefault="00E76AEB" w:rsidP="00E76AEB">
      <w:pPr>
        <w:pStyle w:val="Tabelltext-F"/>
        <w:rPr>
          <w:sz w:val="14"/>
          <w:szCs w:val="14"/>
          <w:lang w:eastAsia="sv-SE"/>
        </w:rPr>
      </w:pPr>
      <w:r w:rsidRPr="009602C3">
        <w:rPr>
          <w:sz w:val="14"/>
          <w:szCs w:val="14"/>
        </w:rPr>
        <w:t>Källa</w:t>
      </w:r>
      <w:r w:rsidRPr="00EF6DED">
        <w:t>:</w:t>
      </w:r>
      <w:r>
        <w:t xml:space="preserve"> </w:t>
      </w:r>
      <w:r>
        <w:rPr>
          <w:sz w:val="14"/>
          <w:szCs w:val="14"/>
        </w:rPr>
        <w:t xml:space="preserve">Folkhälsomyndighetens egna efterforskningar. </w:t>
      </w:r>
    </w:p>
    <w:p w14:paraId="77527034" w14:textId="64B32984" w:rsidR="00712516" w:rsidRPr="00337C92" w:rsidRDefault="00712516" w:rsidP="00337C92">
      <w:pPr>
        <w:pStyle w:val="Brdtext"/>
        <w:rPr>
          <w:lang w:eastAsia="sv-SE"/>
        </w:rPr>
      </w:pPr>
    </w:p>
    <w:p w14:paraId="227A32A4" w14:textId="77777777" w:rsidR="001F5E5B" w:rsidRDefault="001F5E5B" w:rsidP="004B481C">
      <w:pPr>
        <w:pStyle w:val="Tabell-ochdiagramrubrik-F"/>
        <w:rPr>
          <w:sz w:val="20"/>
          <w:szCs w:val="20"/>
        </w:rPr>
      </w:pPr>
    </w:p>
    <w:p w14:paraId="3ACB0C5D" w14:textId="1876D947" w:rsidR="004B481C" w:rsidRPr="0003514B" w:rsidRDefault="004B481C" w:rsidP="004B481C">
      <w:pPr>
        <w:pStyle w:val="Tabell-ochdiagramrubrik-F"/>
        <w:rPr>
          <w:sz w:val="20"/>
          <w:szCs w:val="20"/>
        </w:rPr>
      </w:pPr>
      <w:r w:rsidRPr="0003514B">
        <w:rPr>
          <w:sz w:val="20"/>
          <w:szCs w:val="20"/>
        </w:rPr>
        <w:lastRenderedPageBreak/>
        <w:t>Tabell 2 Antal detaljister av tobaksvaror uppdelad efter företagsstorlek, år 2021.</w:t>
      </w:r>
    </w:p>
    <w:tbl>
      <w:tblPr>
        <w:tblStyle w:val="FoHMMestsiffror"/>
        <w:tblW w:w="0" w:type="auto"/>
        <w:tblLayout w:type="fixed"/>
        <w:tblLook w:val="04A0" w:firstRow="1" w:lastRow="0" w:firstColumn="1" w:lastColumn="0" w:noHBand="0" w:noVBand="1"/>
        <w:tblDescription w:val="Totalt antal enmansföretag 3416 st.&#10;Totalt antal mikroföretag 2335 st.&#10;Totalt antal småföretag 1348 st.&#10;Totalt antal medelstora företag 333 st.&#10;Totalt antal stora företag 28 st."/>
      </w:tblPr>
      <w:tblGrid>
        <w:gridCol w:w="2786"/>
        <w:gridCol w:w="916"/>
        <w:gridCol w:w="917"/>
        <w:gridCol w:w="916"/>
        <w:gridCol w:w="917"/>
        <w:gridCol w:w="917"/>
      </w:tblGrid>
      <w:tr w:rsidR="004B481C" w:rsidRPr="00EF6DED" w14:paraId="1A1B5013" w14:textId="77777777" w:rsidTr="006B7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1AA616A4" w14:textId="77777777" w:rsidR="004B481C" w:rsidRPr="00EF6DED" w:rsidRDefault="004B481C" w:rsidP="00E51ABB">
            <w:pPr>
              <w:pStyle w:val="Tabelltext-F"/>
            </w:pPr>
            <w:r w:rsidRPr="00EF6DED">
              <w:t>SNI-kod / Företagsstorlek</w:t>
            </w:r>
          </w:p>
        </w:tc>
        <w:tc>
          <w:tcPr>
            <w:tcW w:w="916" w:type="dxa"/>
          </w:tcPr>
          <w:p w14:paraId="70BF56A9" w14:textId="12723C7D"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rsidRPr="00EF6DED">
              <w:t>Enmans</w:t>
            </w:r>
            <w:r w:rsidR="006B590E">
              <w:t>-</w:t>
            </w:r>
            <w:r w:rsidRPr="00EF6DED">
              <w:t>företag</w:t>
            </w:r>
          </w:p>
        </w:tc>
        <w:tc>
          <w:tcPr>
            <w:tcW w:w="917" w:type="dxa"/>
          </w:tcPr>
          <w:p w14:paraId="776C7D5D"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rsidRPr="00EF6DED">
              <w:t>Mikro</w:t>
            </w:r>
          </w:p>
        </w:tc>
        <w:tc>
          <w:tcPr>
            <w:tcW w:w="916" w:type="dxa"/>
          </w:tcPr>
          <w:p w14:paraId="18124F40"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rsidRPr="00EF6DED">
              <w:t>Små</w:t>
            </w:r>
          </w:p>
        </w:tc>
        <w:tc>
          <w:tcPr>
            <w:tcW w:w="917" w:type="dxa"/>
          </w:tcPr>
          <w:p w14:paraId="11770479"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rsidRPr="00EF6DED">
              <w:t>Medelstora</w:t>
            </w:r>
          </w:p>
        </w:tc>
        <w:tc>
          <w:tcPr>
            <w:tcW w:w="917" w:type="dxa"/>
          </w:tcPr>
          <w:p w14:paraId="1DF34E9B"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rsidRPr="00EF6DED">
              <w:t>Stora</w:t>
            </w:r>
          </w:p>
        </w:tc>
      </w:tr>
      <w:tr w:rsidR="004B481C" w:rsidRPr="00EF6DED" w14:paraId="13A28B49" w14:textId="77777777" w:rsidTr="006B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24DBB27C" w14:textId="77777777" w:rsidR="004B481C" w:rsidRPr="00EF6DED" w:rsidRDefault="004B481C" w:rsidP="00E51ABB">
            <w:pPr>
              <w:pStyle w:val="Tabelltext-F"/>
            </w:pPr>
            <w:r w:rsidRPr="00EF6DED">
              <w:t>47.260 tobaksaffärer</w:t>
            </w:r>
          </w:p>
        </w:tc>
        <w:tc>
          <w:tcPr>
            <w:tcW w:w="916" w:type="dxa"/>
          </w:tcPr>
          <w:p w14:paraId="1B5B00C3"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rsidRPr="00EF6DED">
              <w:t>431</w:t>
            </w:r>
          </w:p>
        </w:tc>
        <w:tc>
          <w:tcPr>
            <w:tcW w:w="917" w:type="dxa"/>
          </w:tcPr>
          <w:p w14:paraId="0D38F7C8"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rsidRPr="00EF6DED">
              <w:t>449</w:t>
            </w:r>
          </w:p>
        </w:tc>
        <w:tc>
          <w:tcPr>
            <w:tcW w:w="916" w:type="dxa"/>
          </w:tcPr>
          <w:p w14:paraId="5D867D4F"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22</w:t>
            </w:r>
          </w:p>
        </w:tc>
        <w:tc>
          <w:tcPr>
            <w:tcW w:w="917" w:type="dxa"/>
          </w:tcPr>
          <w:p w14:paraId="0B822EBF"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0</w:t>
            </w:r>
          </w:p>
        </w:tc>
        <w:tc>
          <w:tcPr>
            <w:tcW w:w="917" w:type="dxa"/>
          </w:tcPr>
          <w:p w14:paraId="1C481035"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0</w:t>
            </w:r>
          </w:p>
        </w:tc>
      </w:tr>
      <w:tr w:rsidR="004B481C" w:rsidRPr="00EF6DED" w14:paraId="2A37C79A" w14:textId="77777777" w:rsidTr="006B7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5DC634AD" w14:textId="77777777" w:rsidR="004B481C" w:rsidRPr="00EF6DED" w:rsidRDefault="004B481C" w:rsidP="00E51ABB">
            <w:pPr>
              <w:pStyle w:val="Tabelltext-F"/>
            </w:pPr>
            <w:r w:rsidRPr="00EF6DED">
              <w:t>47.111 varuhus och stormarknader med brett sortiment, mest livsmedel, drycker och tobak</w:t>
            </w:r>
          </w:p>
        </w:tc>
        <w:tc>
          <w:tcPr>
            <w:tcW w:w="916" w:type="dxa"/>
          </w:tcPr>
          <w:p w14:paraId="17DFC3CA"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rsidRPr="00EF6DED">
              <w:t>48</w:t>
            </w:r>
          </w:p>
        </w:tc>
        <w:tc>
          <w:tcPr>
            <w:tcW w:w="917" w:type="dxa"/>
          </w:tcPr>
          <w:p w14:paraId="7E66E848"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rsidRPr="00EF6DED">
              <w:t>26</w:t>
            </w:r>
          </w:p>
        </w:tc>
        <w:tc>
          <w:tcPr>
            <w:tcW w:w="916" w:type="dxa"/>
          </w:tcPr>
          <w:p w14:paraId="4CEA126F"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rsidRPr="00EF6DED">
              <w:t>14</w:t>
            </w:r>
          </w:p>
        </w:tc>
        <w:tc>
          <w:tcPr>
            <w:tcW w:w="917" w:type="dxa"/>
          </w:tcPr>
          <w:p w14:paraId="4AD204F7"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rsidRPr="00EF6DED">
              <w:t>28</w:t>
            </w:r>
          </w:p>
        </w:tc>
        <w:tc>
          <w:tcPr>
            <w:tcW w:w="917" w:type="dxa"/>
          </w:tcPr>
          <w:p w14:paraId="76154CFF"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rsidRPr="00EF6DED">
              <w:t>3</w:t>
            </w:r>
          </w:p>
        </w:tc>
      </w:tr>
      <w:tr w:rsidR="004B481C" w:rsidRPr="00EF6DED" w14:paraId="64FA3FBB" w14:textId="77777777" w:rsidTr="006B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38F12740" w14:textId="77777777" w:rsidR="004B481C" w:rsidRPr="00EF6DED" w:rsidRDefault="004B481C" w:rsidP="00E51ABB">
            <w:pPr>
              <w:pStyle w:val="Tabelltext-F"/>
            </w:pPr>
            <w:r w:rsidRPr="00EF6DED">
              <w:t>47.112 livsmedelsbutiker med brett sortiment</w:t>
            </w:r>
          </w:p>
        </w:tc>
        <w:tc>
          <w:tcPr>
            <w:tcW w:w="916" w:type="dxa"/>
          </w:tcPr>
          <w:p w14:paraId="167BA6F5"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rsidRPr="00EF6DED">
              <w:t>2 293</w:t>
            </w:r>
          </w:p>
        </w:tc>
        <w:tc>
          <w:tcPr>
            <w:tcW w:w="917" w:type="dxa"/>
          </w:tcPr>
          <w:p w14:paraId="20C0BD47"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rsidRPr="00EF6DED">
              <w:t>1 740</w:t>
            </w:r>
          </w:p>
        </w:tc>
        <w:tc>
          <w:tcPr>
            <w:tcW w:w="916" w:type="dxa"/>
          </w:tcPr>
          <w:p w14:paraId="1D2A1015"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1 297</w:t>
            </w:r>
          </w:p>
        </w:tc>
        <w:tc>
          <w:tcPr>
            <w:tcW w:w="917" w:type="dxa"/>
          </w:tcPr>
          <w:p w14:paraId="71B7AD73"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303</w:t>
            </w:r>
          </w:p>
        </w:tc>
        <w:tc>
          <w:tcPr>
            <w:tcW w:w="917" w:type="dxa"/>
          </w:tcPr>
          <w:p w14:paraId="2E85FAFB"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26</w:t>
            </w:r>
          </w:p>
        </w:tc>
      </w:tr>
      <w:tr w:rsidR="004B481C" w:rsidRPr="00EF6DED" w14:paraId="030A19CE" w14:textId="77777777" w:rsidTr="006B7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6F6BCCE3" w14:textId="77777777" w:rsidR="004B481C" w:rsidRPr="00EF6DED" w:rsidRDefault="004B481C" w:rsidP="00E51ABB">
            <w:pPr>
              <w:pStyle w:val="Tabelltext-F"/>
            </w:pPr>
            <w:r w:rsidRPr="00EF6DED">
              <w:t>47.810 torg- och marknadshandel med livsmedel, drycker och tobak</w:t>
            </w:r>
          </w:p>
        </w:tc>
        <w:tc>
          <w:tcPr>
            <w:tcW w:w="916" w:type="dxa"/>
          </w:tcPr>
          <w:p w14:paraId="15A00625"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rsidRPr="00EF6DED">
              <w:t>644</w:t>
            </w:r>
          </w:p>
        </w:tc>
        <w:tc>
          <w:tcPr>
            <w:tcW w:w="917" w:type="dxa"/>
          </w:tcPr>
          <w:p w14:paraId="37187FA6"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rsidRPr="00EF6DED">
              <w:t>120</w:t>
            </w:r>
          </w:p>
        </w:tc>
        <w:tc>
          <w:tcPr>
            <w:tcW w:w="916" w:type="dxa"/>
          </w:tcPr>
          <w:p w14:paraId="41E5E4B6"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rsidRPr="00EF6DED">
              <w:t>15</w:t>
            </w:r>
          </w:p>
        </w:tc>
        <w:tc>
          <w:tcPr>
            <w:tcW w:w="917" w:type="dxa"/>
          </w:tcPr>
          <w:p w14:paraId="2B83F90E"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rsidRPr="00EF6DED">
              <w:t>1</w:t>
            </w:r>
          </w:p>
        </w:tc>
        <w:tc>
          <w:tcPr>
            <w:tcW w:w="917" w:type="dxa"/>
          </w:tcPr>
          <w:p w14:paraId="00F646E3"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rsidRPr="00EF6DED">
              <w:t>0</w:t>
            </w:r>
          </w:p>
        </w:tc>
      </w:tr>
      <w:tr w:rsidR="004B481C" w:rsidRPr="00EF6DED" w14:paraId="4A1ACF74" w14:textId="77777777" w:rsidTr="006B7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358CB52D" w14:textId="77777777" w:rsidR="004B481C" w:rsidRPr="00EF6DED" w:rsidRDefault="004B481C" w:rsidP="00E51ABB">
            <w:pPr>
              <w:pStyle w:val="Tabelltext-F"/>
            </w:pPr>
            <w:r w:rsidRPr="00EF6DED">
              <w:t>Summa</w:t>
            </w:r>
            <w:r w:rsidRPr="00EF6DED">
              <w:br/>
              <w:t>(andel)</w:t>
            </w:r>
          </w:p>
        </w:tc>
        <w:tc>
          <w:tcPr>
            <w:tcW w:w="916" w:type="dxa"/>
          </w:tcPr>
          <w:p w14:paraId="720F4D4E"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rsidRPr="00EF6DED">
              <w:t>3 416</w:t>
            </w:r>
            <w:r w:rsidRPr="00EF6DED">
              <w:br/>
              <w:t>(46%)</w:t>
            </w:r>
          </w:p>
        </w:tc>
        <w:tc>
          <w:tcPr>
            <w:tcW w:w="917" w:type="dxa"/>
          </w:tcPr>
          <w:p w14:paraId="5015A5A4"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rsidRPr="00EF6DED">
              <w:t>2 335</w:t>
            </w:r>
            <w:r w:rsidRPr="00EF6DED">
              <w:br/>
              <w:t>(31%)</w:t>
            </w:r>
          </w:p>
        </w:tc>
        <w:tc>
          <w:tcPr>
            <w:tcW w:w="916" w:type="dxa"/>
          </w:tcPr>
          <w:p w14:paraId="69806B9A"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1 348</w:t>
            </w:r>
            <w:r w:rsidRPr="00EF6DED">
              <w:br/>
              <w:t>(18%)</w:t>
            </w:r>
          </w:p>
        </w:tc>
        <w:tc>
          <w:tcPr>
            <w:tcW w:w="917" w:type="dxa"/>
          </w:tcPr>
          <w:p w14:paraId="7EACE9C7"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333</w:t>
            </w:r>
            <w:r w:rsidRPr="00EF6DED">
              <w:br/>
              <w:t>(4%)</w:t>
            </w:r>
          </w:p>
        </w:tc>
        <w:tc>
          <w:tcPr>
            <w:tcW w:w="917" w:type="dxa"/>
          </w:tcPr>
          <w:p w14:paraId="4A917AA4"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rsidRPr="00EF6DED">
              <w:t>28</w:t>
            </w:r>
            <w:r w:rsidRPr="00EF6DED">
              <w:br/>
              <w:t>(0%)</w:t>
            </w:r>
          </w:p>
        </w:tc>
      </w:tr>
    </w:tbl>
    <w:p w14:paraId="019561DF" w14:textId="77777777" w:rsidR="004B481C" w:rsidRPr="00EF6DED" w:rsidRDefault="004B481C" w:rsidP="004B481C">
      <w:pPr>
        <w:pStyle w:val="Tabellklla-F"/>
      </w:pPr>
      <w:r w:rsidRPr="00EF6DED">
        <w:t xml:space="preserve">Källa: Företag (FDB) efter näringsgren SNI2007 och storleksklass. År 2008–2021, </w:t>
      </w:r>
      <w:hyperlink r:id="rId10" w:history="1">
        <w:r>
          <w:rPr>
            <w:rStyle w:val="Hyperlnk"/>
          </w:rPr>
          <w:t>Statistikdatabasen SCB</w:t>
        </w:r>
      </w:hyperlink>
      <w:r w:rsidRPr="00EF6DED">
        <w:t>, uttag 2022-08-18.</w:t>
      </w:r>
    </w:p>
    <w:p w14:paraId="4836DB9F" w14:textId="77777777" w:rsidR="008210BF" w:rsidRPr="002B15A9" w:rsidRDefault="008210BF" w:rsidP="002B15A9">
      <w:pPr>
        <w:rPr>
          <w:rFonts w:ascii="Sabon" w:eastAsia="Times New Roman" w:hAnsi="Sabon" w:cs="Times New Roman"/>
          <w:szCs w:val="20"/>
          <w:lang w:eastAsia="sv-SE"/>
        </w:rPr>
      </w:pPr>
    </w:p>
    <w:p w14:paraId="300849FF" w14:textId="77777777" w:rsidR="00447715" w:rsidRPr="00447715" w:rsidRDefault="00447715" w:rsidP="00581D41">
      <w:pPr>
        <w:pStyle w:val="Brdtext"/>
        <w:rPr>
          <w:rFonts w:eastAsia="Times New Roman"/>
          <w:lang w:eastAsia="sv-SE"/>
        </w:rPr>
      </w:pPr>
    </w:p>
    <w:p w14:paraId="7B9433E8" w14:textId="20567662" w:rsidR="002301BD" w:rsidRDefault="002301BD" w:rsidP="004D42A2">
      <w:pPr>
        <w:pStyle w:val="Rubrik2"/>
        <w:rPr>
          <w:rFonts w:eastAsia="Times New Roman"/>
          <w:lang w:eastAsia="sv-SE"/>
        </w:rPr>
      </w:pPr>
      <w:r w:rsidRPr="00B4578A">
        <w:rPr>
          <w:rFonts w:eastAsia="Times New Roman"/>
          <w:lang w:eastAsia="sv-SE"/>
        </w:rPr>
        <w:t xml:space="preserve">Beskrivning </w:t>
      </w:r>
      <w:r w:rsidRPr="00581D41">
        <w:t>av</w:t>
      </w:r>
      <w:r w:rsidRPr="00B4578A">
        <w:rPr>
          <w:rFonts w:eastAsia="Times New Roman"/>
          <w:lang w:eastAsia="sv-SE"/>
        </w:rPr>
        <w:t xml:space="preserve"> vilken tidsåtgång regleringen kan föra med sig för företagen och vad regleringen innebär för företagens administrativa kostnader.</w:t>
      </w:r>
    </w:p>
    <w:p w14:paraId="2BA321FF" w14:textId="38F44356" w:rsidR="00712516" w:rsidRPr="00FC5D3A" w:rsidRDefault="008B28A5" w:rsidP="00712516">
      <w:pPr>
        <w:pStyle w:val="Brdtext"/>
      </w:pPr>
      <w:r w:rsidRPr="00FC5D3A">
        <w:t xml:space="preserve">Tidsåtgången för företagen och </w:t>
      </w:r>
      <w:r w:rsidR="00B83F2D" w:rsidRPr="00FC5D3A">
        <w:t xml:space="preserve">därmed </w:t>
      </w:r>
      <w:r w:rsidRPr="00FC5D3A">
        <w:t>kostnaden för e</w:t>
      </w:r>
      <w:r w:rsidR="007F52F1" w:rsidRPr="00FC5D3A">
        <w:t>n produktanmälan är svår att uppskatta</w:t>
      </w:r>
      <w:r w:rsidR="00FF2FA3" w:rsidRPr="00FC5D3A">
        <w:t>. Folkhälsomyndigheten kommer att utifrån den nya regleringen ta fram ett system för produktanmälan</w:t>
      </w:r>
      <w:r w:rsidR="00441B60" w:rsidRPr="00FC5D3A">
        <w:t xml:space="preserve"> </w:t>
      </w:r>
      <w:r w:rsidR="00FF2FA3" w:rsidRPr="00FC5D3A">
        <w:t xml:space="preserve">som ska vara användarvänligt och effektivt. </w:t>
      </w:r>
      <w:r w:rsidR="0074688E">
        <w:t>V</w:t>
      </w:r>
      <w:r w:rsidR="008A5A3A" w:rsidRPr="00FC5D3A">
        <w:t>id beräkning</w:t>
      </w:r>
      <w:r w:rsidR="0074688E">
        <w:t>en</w:t>
      </w:r>
      <w:r w:rsidR="008A5A3A" w:rsidRPr="00FC5D3A">
        <w:t xml:space="preserve"> av </w:t>
      </w:r>
      <w:r w:rsidR="006C0DBF">
        <w:t xml:space="preserve">de </w:t>
      </w:r>
      <w:r w:rsidR="008A5A3A" w:rsidRPr="00FC5D3A">
        <w:t>administrativa kostnader</w:t>
      </w:r>
      <w:r w:rsidR="006C0DBF">
        <w:t>na</w:t>
      </w:r>
      <w:r w:rsidR="008A5A3A" w:rsidRPr="00FC5D3A">
        <w:t xml:space="preserve"> </w:t>
      </w:r>
      <w:r w:rsidR="006B714A">
        <w:t xml:space="preserve">har vi </w:t>
      </w:r>
      <w:r w:rsidR="008A5A3A" w:rsidRPr="00FC5D3A">
        <w:t xml:space="preserve">använt verktyget Regelräknaren på Tillväxtverkets </w:t>
      </w:r>
      <w:r w:rsidR="006C0DBF">
        <w:t>webbplats,</w:t>
      </w:r>
      <w:r w:rsidR="006C0DBF" w:rsidRPr="00FC5D3A">
        <w:t xml:space="preserve"> </w:t>
      </w:r>
      <w:r w:rsidR="008A5A3A" w:rsidRPr="00FC5D3A">
        <w:t>och utgått från att uppgiftslämning utförs av en administratör med beräknad månadslön på 33 000 kr</w:t>
      </w:r>
      <w:r w:rsidR="00CC6F37">
        <w:t>onor</w:t>
      </w:r>
      <w:r w:rsidR="008A5A3A" w:rsidRPr="00FC5D3A">
        <w:t>. T</w:t>
      </w:r>
      <w:r w:rsidR="00FF2FA3" w:rsidRPr="00FC5D3A">
        <w:t xml:space="preserve">idsåtgången för </w:t>
      </w:r>
      <w:r w:rsidR="008A5A3A" w:rsidRPr="00FC5D3A">
        <w:t>produkt</w:t>
      </w:r>
      <w:r w:rsidR="00FF2FA3" w:rsidRPr="00FC5D3A">
        <w:t xml:space="preserve">anmälan </w:t>
      </w:r>
      <w:r w:rsidR="008A5A3A" w:rsidRPr="00FC5D3A">
        <w:t xml:space="preserve">uppskattas </w:t>
      </w:r>
      <w:r w:rsidR="005E25B6">
        <w:t xml:space="preserve">då </w:t>
      </w:r>
      <w:r w:rsidR="00FF2FA3" w:rsidRPr="00FC5D3A">
        <w:t>till max c</w:t>
      </w:r>
      <w:r w:rsidR="00CC6F37">
        <w:t>irk</w:t>
      </w:r>
      <w:r w:rsidR="00FF2FA3" w:rsidRPr="00FC5D3A">
        <w:t>a 30 min</w:t>
      </w:r>
      <w:r w:rsidR="00CC6F37">
        <w:t>uter</w:t>
      </w:r>
      <w:r w:rsidR="005E25B6">
        <w:t>,</w:t>
      </w:r>
      <w:r w:rsidR="00FF2FA3" w:rsidRPr="00FC5D3A">
        <w:t xml:space="preserve"> </w:t>
      </w:r>
      <w:r w:rsidR="00B83F2D" w:rsidRPr="00FC5D3A">
        <w:t xml:space="preserve">med en ungefärlig </w:t>
      </w:r>
      <w:r w:rsidR="00A86C46" w:rsidRPr="00FC5D3A">
        <w:t xml:space="preserve">administrativ </w:t>
      </w:r>
      <w:r w:rsidR="00B83F2D" w:rsidRPr="00FC5D3A">
        <w:t>kostnad på 190 kr</w:t>
      </w:r>
      <w:r w:rsidR="005E25B6">
        <w:t>onor</w:t>
      </w:r>
      <w:r w:rsidR="00B83F2D" w:rsidRPr="00FC5D3A">
        <w:t xml:space="preserve"> per produkt</w:t>
      </w:r>
      <w:r w:rsidR="00FF2FA3" w:rsidRPr="00FC5D3A">
        <w:t>.</w:t>
      </w:r>
      <w:r w:rsidR="00960B64" w:rsidRPr="00FC5D3A">
        <w:t xml:space="preserve"> </w:t>
      </w:r>
      <w:r w:rsidRPr="00FC5D3A">
        <w:t xml:space="preserve"> </w:t>
      </w:r>
    </w:p>
    <w:p w14:paraId="57EA0542" w14:textId="339DF270" w:rsidR="00AE66D7" w:rsidRPr="00FC5D3A" w:rsidRDefault="00AE66D7" w:rsidP="00712516">
      <w:pPr>
        <w:pStyle w:val="Brdtext"/>
      </w:pPr>
    </w:p>
    <w:p w14:paraId="07BF20C6" w14:textId="26F22E6A" w:rsidR="00EA37B6" w:rsidRPr="00FC5D3A" w:rsidRDefault="00666A29" w:rsidP="00712516">
      <w:pPr>
        <w:pStyle w:val="Brdtext"/>
      </w:pPr>
      <w:r w:rsidRPr="00FC5D3A">
        <w:t>Rapportering</w:t>
      </w:r>
      <w:r w:rsidR="00FB02F3" w:rsidRPr="00FC5D3A">
        <w:t>s</w:t>
      </w:r>
      <w:r w:rsidRPr="00FC5D3A">
        <w:t xml:space="preserve">kravet </w:t>
      </w:r>
      <w:r w:rsidR="00EA37B6" w:rsidRPr="00FC5D3A">
        <w:t>avseende försäljningsvolymer och preferenser hos olika kundgrupper för tobaksfria nikotinprodukter</w:t>
      </w:r>
      <w:r w:rsidR="00C61318" w:rsidRPr="00FC5D3A">
        <w:t xml:space="preserve"> kommer att göras i samma system som för produktanmälan. </w:t>
      </w:r>
      <w:r w:rsidR="00D52152">
        <w:t>Eftersom s</w:t>
      </w:r>
      <w:r w:rsidR="00C61318" w:rsidRPr="00FC5D3A">
        <w:t xml:space="preserve">ystemet inte </w:t>
      </w:r>
      <w:r w:rsidR="00D52152">
        <w:t xml:space="preserve">har </w:t>
      </w:r>
      <w:r w:rsidR="00C61318" w:rsidRPr="00FC5D3A">
        <w:t>utvecklats än</w:t>
      </w:r>
      <w:r w:rsidR="00D52152">
        <w:t>nu,</w:t>
      </w:r>
      <w:r w:rsidR="00C61318" w:rsidRPr="00FC5D3A">
        <w:t xml:space="preserve"> </w:t>
      </w:r>
      <w:r w:rsidR="00D52152">
        <w:t>är</w:t>
      </w:r>
      <w:r w:rsidR="00D52152" w:rsidRPr="00FC5D3A">
        <w:t xml:space="preserve"> </w:t>
      </w:r>
      <w:r w:rsidR="00C61318" w:rsidRPr="00FC5D3A">
        <w:t>beräkning</w:t>
      </w:r>
      <w:r w:rsidR="00D52152">
        <w:t>en</w:t>
      </w:r>
      <w:r w:rsidR="00C61318" w:rsidRPr="00FC5D3A">
        <w:t xml:space="preserve"> av tidsåtgång</w:t>
      </w:r>
      <w:r w:rsidR="00D52152">
        <w:t>en</w:t>
      </w:r>
      <w:r w:rsidR="00C61318" w:rsidRPr="00FC5D3A">
        <w:t xml:space="preserve"> för att uppfylla detta krav svår</w:t>
      </w:r>
      <w:r w:rsidR="00A86C46" w:rsidRPr="00FC5D3A">
        <w:t>bedömd</w:t>
      </w:r>
      <w:r w:rsidR="00C61318" w:rsidRPr="00FC5D3A">
        <w:t xml:space="preserve">. </w:t>
      </w:r>
      <w:r w:rsidR="00D52152">
        <w:t>Vi</w:t>
      </w:r>
      <w:r w:rsidR="00D52152" w:rsidRPr="00FC5D3A">
        <w:t xml:space="preserve"> </w:t>
      </w:r>
      <w:r w:rsidR="00ED39A8" w:rsidRPr="00FC5D3A">
        <w:t xml:space="preserve">uppskattar </w:t>
      </w:r>
      <w:r w:rsidR="00D52152">
        <w:t xml:space="preserve">dock </w:t>
      </w:r>
      <w:r w:rsidR="00C61318" w:rsidRPr="00FC5D3A">
        <w:t xml:space="preserve">tidsåtgången </w:t>
      </w:r>
      <w:r w:rsidR="00D52152">
        <w:t>för</w:t>
      </w:r>
      <w:r w:rsidR="00D52152" w:rsidRPr="00FC5D3A">
        <w:t xml:space="preserve"> </w:t>
      </w:r>
      <w:r w:rsidR="00C61318" w:rsidRPr="00FC5D3A">
        <w:t xml:space="preserve">inrapportering till </w:t>
      </w:r>
      <w:r w:rsidR="005B676F" w:rsidRPr="00FC5D3A">
        <w:t>max c</w:t>
      </w:r>
      <w:r w:rsidR="00D52152">
        <w:t>irk</w:t>
      </w:r>
      <w:r w:rsidR="005B676F" w:rsidRPr="00FC5D3A">
        <w:t xml:space="preserve">a </w:t>
      </w:r>
      <w:r w:rsidR="00ED39A8" w:rsidRPr="00FC5D3A">
        <w:t xml:space="preserve">15 </w:t>
      </w:r>
      <w:r w:rsidR="00C61318" w:rsidRPr="00FC5D3A">
        <w:t>minuter</w:t>
      </w:r>
      <w:r w:rsidR="00D52152">
        <w:t>,</w:t>
      </w:r>
      <w:r w:rsidR="00A86C46" w:rsidRPr="00FC5D3A">
        <w:t xml:space="preserve"> med en ungefärlig administrativ kostnad på 95 kr</w:t>
      </w:r>
      <w:r w:rsidR="00D52152">
        <w:t>onor</w:t>
      </w:r>
      <w:r w:rsidR="004413C0" w:rsidRPr="00FC5D3A">
        <w:t xml:space="preserve"> per produkt</w:t>
      </w:r>
      <w:r w:rsidR="00C61318" w:rsidRPr="00FC5D3A">
        <w:t>.</w:t>
      </w:r>
      <w:r w:rsidR="00EA37B6" w:rsidRPr="00FC5D3A">
        <w:t xml:space="preserve"> </w:t>
      </w:r>
      <w:r w:rsidR="00A86C46" w:rsidRPr="00FC5D3A">
        <w:t>Kostnaden är årligt återkommande.</w:t>
      </w:r>
    </w:p>
    <w:p w14:paraId="77AD6D59" w14:textId="77777777" w:rsidR="00EA37B6" w:rsidRPr="00FC5D3A" w:rsidRDefault="00EA37B6" w:rsidP="00712516">
      <w:pPr>
        <w:pStyle w:val="Brdtext"/>
      </w:pPr>
    </w:p>
    <w:p w14:paraId="4D6A80FD" w14:textId="7FF0E1EB" w:rsidR="006B59BD" w:rsidRPr="00FC5D3A" w:rsidRDefault="00E561CE" w:rsidP="00712516">
      <w:pPr>
        <w:pStyle w:val="Brdtext"/>
      </w:pPr>
      <w:r>
        <w:t xml:space="preserve">Även </w:t>
      </w:r>
      <w:r w:rsidR="006B714A">
        <w:t>u</w:t>
      </w:r>
      <w:r w:rsidR="006B714A" w:rsidRPr="00FC5D3A">
        <w:t xml:space="preserve">nderrättelseskyldigheten </w:t>
      </w:r>
      <w:r w:rsidR="006B59BD" w:rsidRPr="00FC5D3A">
        <w:t>vid upptäckta brister i produkter</w:t>
      </w:r>
      <w:r w:rsidR="00453026" w:rsidRPr="00FC5D3A">
        <w:t xml:space="preserve"> ska göras i </w:t>
      </w:r>
      <w:r w:rsidR="00E51ABB" w:rsidRPr="00FC5D3A">
        <w:t>samma system</w:t>
      </w:r>
      <w:r w:rsidR="00453026" w:rsidRPr="00FC5D3A">
        <w:t xml:space="preserve">, </w:t>
      </w:r>
      <w:r w:rsidR="00E51ABB" w:rsidRPr="00FC5D3A">
        <w:t xml:space="preserve">och tidsåtgången bedöms </w:t>
      </w:r>
      <w:r w:rsidR="00ED39A8" w:rsidRPr="00FC5D3A">
        <w:t>uppgå till</w:t>
      </w:r>
      <w:r w:rsidR="00E51ABB" w:rsidRPr="00FC5D3A">
        <w:t xml:space="preserve"> </w:t>
      </w:r>
      <w:r w:rsidR="00ED39A8" w:rsidRPr="00FC5D3A">
        <w:t>6</w:t>
      </w:r>
      <w:r w:rsidR="00E51ABB" w:rsidRPr="00FC5D3A">
        <w:t>0 minuter</w:t>
      </w:r>
      <w:r w:rsidR="00A86C46" w:rsidRPr="00FC5D3A">
        <w:t xml:space="preserve"> med en administrativ kostnad på 379 kr</w:t>
      </w:r>
      <w:r w:rsidR="00557DEE">
        <w:t>onor</w:t>
      </w:r>
      <w:r w:rsidR="00E51ABB" w:rsidRPr="00FC5D3A">
        <w:t>.</w:t>
      </w:r>
      <w:r w:rsidR="00453026" w:rsidRPr="00FC5D3A">
        <w:t xml:space="preserve"> </w:t>
      </w:r>
      <w:r w:rsidR="00E51ABB" w:rsidRPr="00FC5D3A">
        <w:t>Denna form av underrättelse bör dock inte vara särskilt frekvent.</w:t>
      </w:r>
    </w:p>
    <w:p w14:paraId="26AE84F2" w14:textId="68F54344" w:rsidR="00E51ABB" w:rsidRPr="00FC5D3A" w:rsidRDefault="00E51ABB" w:rsidP="00712516">
      <w:pPr>
        <w:pStyle w:val="Brdtext"/>
      </w:pPr>
    </w:p>
    <w:p w14:paraId="24226AE9" w14:textId="48A07068" w:rsidR="00E51ABB" w:rsidRPr="00FC5D3A" w:rsidRDefault="00557DEE" w:rsidP="00712516">
      <w:pPr>
        <w:pStyle w:val="Brdtext"/>
      </w:pPr>
      <w:r>
        <w:t>Det kan behövas u</w:t>
      </w:r>
      <w:r w:rsidR="00E51ABB" w:rsidRPr="00FC5D3A">
        <w:t xml:space="preserve">tbildningsinsatser hos berörda företag för att administrera det elektroniska system som används för </w:t>
      </w:r>
      <w:r w:rsidR="005B098E">
        <w:t>anmälningar, rapporter och underrättelser</w:t>
      </w:r>
      <w:r w:rsidR="00E51ABB" w:rsidRPr="00FC5D3A">
        <w:t>. Folkhälsomyndighete</w:t>
      </w:r>
      <w:r w:rsidR="009358BB" w:rsidRPr="00FC5D3A">
        <w:t>ns intention är att utforma systemen så att d</w:t>
      </w:r>
      <w:r w:rsidR="005C7F10" w:rsidRPr="00FC5D3A">
        <w:t>e</w:t>
      </w:r>
      <w:r w:rsidR="009358BB" w:rsidRPr="00FC5D3A">
        <w:t xml:space="preserve"> blir självinstruerande</w:t>
      </w:r>
      <w:r w:rsidR="00323DE3" w:rsidRPr="00FC5D3A">
        <w:t>.</w:t>
      </w:r>
    </w:p>
    <w:p w14:paraId="2E567225" w14:textId="21F143C1" w:rsidR="00E8637C" w:rsidRDefault="00E8637C" w:rsidP="00712516">
      <w:pPr>
        <w:pStyle w:val="Brdtext"/>
        <w:rPr>
          <w:sz w:val="20"/>
          <w:szCs w:val="20"/>
        </w:rPr>
      </w:pPr>
    </w:p>
    <w:p w14:paraId="7F98409E" w14:textId="77777777" w:rsidR="00475F41" w:rsidRPr="00475F41" w:rsidRDefault="00475F41" w:rsidP="00475F41">
      <w:pPr>
        <w:tabs>
          <w:tab w:val="num" w:pos="426"/>
        </w:tabs>
        <w:ind w:left="426" w:hanging="426"/>
        <w:rPr>
          <w:rFonts w:ascii="Sabon" w:eastAsia="Times New Roman" w:hAnsi="Sabon" w:cs="Times New Roman"/>
          <w:szCs w:val="20"/>
          <w:lang w:eastAsia="sv-SE"/>
        </w:rPr>
      </w:pPr>
    </w:p>
    <w:p w14:paraId="0EF3D8A0" w14:textId="41BFE234" w:rsidR="002301BD" w:rsidRDefault="002301BD" w:rsidP="00CB691B">
      <w:pPr>
        <w:pStyle w:val="Rubrik2"/>
        <w:rPr>
          <w:rFonts w:eastAsia="Times New Roman"/>
          <w:lang w:eastAsia="sv-SE"/>
        </w:rPr>
      </w:pPr>
      <w:bookmarkStart w:id="6" w:name="_Hlk119061254"/>
      <w:r w:rsidRPr="00B4578A">
        <w:rPr>
          <w:rFonts w:eastAsia="Times New Roman"/>
          <w:lang w:eastAsia="sv-SE"/>
        </w:rPr>
        <w:lastRenderedPageBreak/>
        <w:t>Beskrivning av vilka andra kostnader den föreslagna regleringen medför för företagen och vilka förändringar i verksamheten som företagen kan behöva vidta till följd av den föreslagna regleringen</w:t>
      </w:r>
      <w:bookmarkEnd w:id="6"/>
    </w:p>
    <w:p w14:paraId="7955C518" w14:textId="77777777" w:rsidR="00754221" w:rsidRPr="00754221" w:rsidRDefault="00754221" w:rsidP="00754221">
      <w:pPr>
        <w:pStyle w:val="Brdtext"/>
        <w:rPr>
          <w:lang w:eastAsia="sv-SE"/>
        </w:rPr>
      </w:pPr>
    </w:p>
    <w:p w14:paraId="65A748C3" w14:textId="77777777" w:rsidR="00E76AEB" w:rsidRDefault="00E76AEB" w:rsidP="00E76AEB">
      <w:pPr>
        <w:pStyle w:val="Brdtext"/>
      </w:pPr>
      <w:r>
        <w:t>Folkhälsomyndigheten har på grund av den snäva tidsramen för framtagandet av föreskriftsförslaget inte haft möjlighet att genomföra intervjuer av berörda företag</w:t>
      </w:r>
      <w:r w:rsidRPr="0014297D">
        <w:t xml:space="preserve"> </w:t>
      </w:r>
      <w:r>
        <w:t xml:space="preserve">avseende kostnaderna för att leva upp till kraven på utformning av hälsovarning och innehållsdeklaration. </w:t>
      </w:r>
    </w:p>
    <w:p w14:paraId="5D9F550D" w14:textId="12DBA0FA" w:rsidR="00E76AEB" w:rsidRDefault="000D6DFD" w:rsidP="00E76AEB">
      <w:pPr>
        <w:pStyle w:val="Brdtext"/>
      </w:pPr>
      <w:r>
        <w:t xml:space="preserve">Folkhälsomyndigheten har utgått från samma resonemang som förs i förarbetena till LTN. </w:t>
      </w:r>
      <w:r w:rsidR="00E76AEB">
        <w:t xml:space="preserve">  </w:t>
      </w:r>
    </w:p>
    <w:p w14:paraId="381E2D61" w14:textId="77777777" w:rsidR="00E76AEB" w:rsidRDefault="00E76AEB" w:rsidP="00E76AEB">
      <w:pPr>
        <w:pStyle w:val="Brdtext"/>
      </w:pPr>
    </w:p>
    <w:p w14:paraId="448EC95C" w14:textId="58E4E992" w:rsidR="00E76AEB" w:rsidRDefault="00E76AEB" w:rsidP="00E76AEB">
      <w:pPr>
        <w:pStyle w:val="Brdtext"/>
      </w:pPr>
      <w:r>
        <w:t xml:space="preserve">I regeringens analys av de ekonomiska konsekvenserna av LTN framkommer att </w:t>
      </w:r>
      <w:r w:rsidRPr="00B02EF9">
        <w:t>förteckning</w:t>
      </w:r>
      <w:r w:rsidR="000D6DFD">
        <w:t>ar</w:t>
      </w:r>
      <w:r w:rsidRPr="00B02EF9">
        <w:t xml:space="preserve"> av ingredienser, nikotinhalt och hälsovarning redan i dag finns på </w:t>
      </w:r>
      <w:r w:rsidR="000D6DFD">
        <w:t>många</w:t>
      </w:r>
      <w:r w:rsidRPr="00B02EF9">
        <w:t xml:space="preserve"> tobaksfria nikotinprodukter. </w:t>
      </w:r>
      <w:r w:rsidR="000D6DFD">
        <w:t xml:space="preserve">Det </w:t>
      </w:r>
      <w:r>
        <w:t xml:space="preserve">framkommer </w:t>
      </w:r>
      <w:r w:rsidR="000D6DFD">
        <w:t xml:space="preserve">också </w:t>
      </w:r>
      <w:r>
        <w:t>att k</w:t>
      </w:r>
      <w:r w:rsidRPr="00B02EF9">
        <w:t xml:space="preserve">ostnaden för att förändra produktförpackningen bör </w:t>
      </w:r>
      <w:r w:rsidR="000D6DFD">
        <w:t>kunna ses</w:t>
      </w:r>
      <w:r w:rsidRPr="00B02EF9">
        <w:t xml:space="preserve"> som relativt liten även för små företag</w:t>
      </w:r>
      <w:r w:rsidR="000D6DFD">
        <w:t xml:space="preserve"> eftersom </w:t>
      </w:r>
      <w:r w:rsidRPr="00B02EF9">
        <w:t>producenter</w:t>
      </w:r>
      <w:r w:rsidR="000D6DFD">
        <w:t>na</w:t>
      </w:r>
      <w:r w:rsidRPr="00B02EF9">
        <w:t xml:space="preserve"> får </w:t>
      </w:r>
      <w:r w:rsidR="000D6DFD">
        <w:t xml:space="preserve">visst </w:t>
      </w:r>
      <w:r>
        <w:t>stöd</w:t>
      </w:r>
      <w:r w:rsidRPr="00B02EF9">
        <w:t xml:space="preserve"> </w:t>
      </w:r>
      <w:r>
        <w:t>från myndigheterna</w:t>
      </w:r>
      <w:r w:rsidRPr="00B02EF9">
        <w:t xml:space="preserve"> när det gäller utformningen</w:t>
      </w:r>
      <w:r w:rsidR="000D6DFD">
        <w:t>.</w:t>
      </w:r>
      <w:r>
        <w:rPr>
          <w:rStyle w:val="Fotnotsreferens"/>
        </w:rPr>
        <w:footnoteReference w:id="5"/>
      </w:r>
    </w:p>
    <w:p w14:paraId="4AC86D97" w14:textId="4758CE23" w:rsidR="000D6DFD" w:rsidRDefault="000D6DFD" w:rsidP="00E76AEB">
      <w:pPr>
        <w:pStyle w:val="Brdtext"/>
      </w:pPr>
    </w:p>
    <w:p w14:paraId="1E799860" w14:textId="54065A35" w:rsidR="00E76AEB" w:rsidRDefault="00E76AEB" w:rsidP="00E76AEB">
      <w:pPr>
        <w:pStyle w:val="Brdtext"/>
      </w:pPr>
      <w:r>
        <w:t xml:space="preserve">Vid </w:t>
      </w:r>
      <w:r w:rsidR="000D6DFD">
        <w:t xml:space="preserve">Folkhälsomyndighetens </w:t>
      </w:r>
      <w:r>
        <w:t>utredning av de ekonomiska konsekvenserna för genomförandet av tobaksproduktdirektivet</w:t>
      </w:r>
      <w:r>
        <w:rPr>
          <w:rStyle w:val="Fotnotsreferens"/>
        </w:rPr>
        <w:footnoteReference w:id="6"/>
      </w:r>
      <w:r>
        <w:rPr>
          <w:rStyle w:val="Fotnotsreferens"/>
        </w:rPr>
        <w:t xml:space="preserve"> </w:t>
      </w:r>
      <w:r w:rsidRPr="00561B01">
        <w:t xml:space="preserve"> </w:t>
      </w:r>
      <w:r>
        <w:t>framkom</w:t>
      </w:r>
      <w:r w:rsidR="00CD341F">
        <w:t xml:space="preserve"> </w:t>
      </w:r>
      <w:r w:rsidR="000D6DFD">
        <w:t xml:space="preserve">bland annat </w:t>
      </w:r>
      <w:r>
        <w:t>med avseende på märkning av snus med innehållsförteckning</w:t>
      </w:r>
      <w:r w:rsidR="00900B7A">
        <w:t xml:space="preserve"> att</w:t>
      </w:r>
      <w:r w:rsidR="00CD341F">
        <w:t xml:space="preserve"> vissa</w:t>
      </w:r>
      <w:r w:rsidRPr="00B0568F">
        <w:t xml:space="preserve"> tillverkare inom EU anpassat </w:t>
      </w:r>
      <w:r w:rsidR="00CD341F">
        <w:t xml:space="preserve">sina </w:t>
      </w:r>
      <w:r w:rsidRPr="00B0568F">
        <w:t>innehållsförteckning</w:t>
      </w:r>
      <w:r w:rsidR="00CD341F">
        <w:t xml:space="preserve">ar </w:t>
      </w:r>
      <w:r w:rsidRPr="00B0568F">
        <w:t>till sin kund i Sverige</w:t>
      </w:r>
      <w:r w:rsidR="00CD341F">
        <w:t>.</w:t>
      </w:r>
      <w:r w:rsidRPr="00B0568F">
        <w:t xml:space="preserve"> </w:t>
      </w:r>
      <w:r w:rsidR="00CD341F">
        <w:t>N</w:t>
      </w:r>
      <w:r w:rsidRPr="00B0568F">
        <w:t xml:space="preserve">är produkten köps in av kunden är </w:t>
      </w:r>
      <w:r w:rsidR="00CD341F">
        <w:t xml:space="preserve">märkningen </w:t>
      </w:r>
      <w:r w:rsidRPr="00B0568F">
        <w:t>redan översatt till svenska</w:t>
      </w:r>
      <w:r w:rsidR="00CD341F">
        <w:t xml:space="preserve"> och kostnaden för detta inkluderat i priset</w:t>
      </w:r>
      <w:r w:rsidRPr="00B0568F">
        <w:t xml:space="preserve">.  </w:t>
      </w:r>
      <w:r>
        <w:t>Därför är det svårt för importör</w:t>
      </w:r>
      <w:r w:rsidRPr="00B0568F">
        <w:t xml:space="preserve">en att särskilja kostnaden för att utforma och klistra på etiketter mot andra moment i produktionskedjan. Företagen </w:t>
      </w:r>
      <w:r w:rsidR="00CD341F">
        <w:t>angav</w:t>
      </w:r>
      <w:r w:rsidRPr="00B0568F">
        <w:t xml:space="preserve"> att skyldigheten </w:t>
      </w:r>
      <w:r w:rsidR="00CD341F">
        <w:t xml:space="preserve">att förse produkterna med aktuell märkning </w:t>
      </w:r>
      <w:r w:rsidRPr="00B0568F">
        <w:t xml:space="preserve">i så stor utsträckning </w:t>
      </w:r>
      <w:r>
        <w:t xml:space="preserve">som möjligt </w:t>
      </w:r>
      <w:r w:rsidR="00CD341F">
        <w:t xml:space="preserve">skulle </w:t>
      </w:r>
      <w:r w:rsidRPr="00B0568F">
        <w:t xml:space="preserve">läggas på tillverkaren. </w:t>
      </w:r>
    </w:p>
    <w:p w14:paraId="39D75AA4" w14:textId="2AB1C67E" w:rsidR="00E76AEB" w:rsidRDefault="00E76AEB" w:rsidP="00E76AEB">
      <w:pPr>
        <w:pStyle w:val="Brdtext"/>
      </w:pPr>
    </w:p>
    <w:p w14:paraId="291BBCCF" w14:textId="1278B5B9" w:rsidR="00E76AEB" w:rsidRDefault="00CD341F" w:rsidP="00E76AEB">
      <w:pPr>
        <w:pStyle w:val="Brdtext"/>
      </w:pPr>
      <w:r>
        <w:t>Utifrån det som nu redogjorts för bedömer</w:t>
      </w:r>
      <w:r w:rsidR="003E58F2">
        <w:t xml:space="preserve"> </w:t>
      </w:r>
      <w:r w:rsidR="00E76AEB">
        <w:t xml:space="preserve">Folkhälsomyndigheten att vare sig kostnaderna eller arbetsinsatserna för den föreslagna märkningen behöver bli särskilt stora. Det kan antas att merkostnaderna för att ändra </w:t>
      </w:r>
      <w:r w:rsidR="000B76F4">
        <w:t xml:space="preserve">de frivilliga </w:t>
      </w:r>
      <w:r w:rsidR="003E58F2">
        <w:t>innehållsdeklarationerna och h</w:t>
      </w:r>
      <w:r w:rsidR="00E76AEB">
        <w:t>älsovarningar</w:t>
      </w:r>
      <w:r w:rsidR="000B76F4">
        <w:t>na</w:t>
      </w:r>
      <w:r w:rsidR="00E76AEB">
        <w:t xml:space="preserve"> och kommer att </w:t>
      </w:r>
      <w:r w:rsidR="000B76F4">
        <w:t>påverkas</w:t>
      </w:r>
      <w:r w:rsidR="00E76AEB">
        <w:t xml:space="preserve"> av vilka ytor den nya märkningen kommer att</w:t>
      </w:r>
      <w:r w:rsidR="00E76AEB" w:rsidRPr="00EB471B">
        <w:t xml:space="preserve"> </w:t>
      </w:r>
      <w:r w:rsidR="000B76F4">
        <w:t xml:space="preserve">behöva </w:t>
      </w:r>
      <w:r w:rsidR="00E76AEB">
        <w:t>placeras på.</w:t>
      </w:r>
    </w:p>
    <w:p w14:paraId="60EE4889" w14:textId="77777777" w:rsidR="00E76AEB" w:rsidRDefault="00E76AEB" w:rsidP="006B59BD">
      <w:pPr>
        <w:pStyle w:val="Brdtext"/>
      </w:pPr>
    </w:p>
    <w:p w14:paraId="742C9569" w14:textId="73A91DC0" w:rsidR="00E8637C" w:rsidRPr="00B02EF9" w:rsidRDefault="002B7D09" w:rsidP="006B59BD">
      <w:pPr>
        <w:pStyle w:val="Brdtext"/>
      </w:pPr>
      <w:r w:rsidRPr="00B02EF9">
        <w:t xml:space="preserve"> </w:t>
      </w:r>
      <w:r w:rsidR="00571A61" w:rsidRPr="00B02EF9">
        <w:t>D</w:t>
      </w:r>
      <w:r w:rsidRPr="00B02EF9">
        <w:t>etaljhandlar</w:t>
      </w:r>
      <w:r w:rsidR="00406CC0" w:rsidRPr="00B02EF9">
        <w:t>e</w:t>
      </w:r>
      <w:r w:rsidRPr="00B02EF9">
        <w:t xml:space="preserve"> får inte tillhandahålla en tobaksfri nikotinprodukt till konsumenter vars förpackning inte har korrekt märkning. Det för med sig krav på att detta kontrolleras i något led innan produkterna </w:t>
      </w:r>
      <w:r w:rsidR="00BA57E0">
        <w:t>når</w:t>
      </w:r>
      <w:r w:rsidR="00BA57E0" w:rsidRPr="00B02EF9">
        <w:t xml:space="preserve"> </w:t>
      </w:r>
      <w:r w:rsidR="00A95C4E" w:rsidRPr="00B02EF9">
        <w:t>konsument</w:t>
      </w:r>
      <w:r w:rsidR="00BA57E0">
        <w:t>erna,</w:t>
      </w:r>
      <w:r w:rsidR="00A95C4E" w:rsidRPr="00B02EF9">
        <w:t xml:space="preserve"> och att </w:t>
      </w:r>
      <w:r w:rsidR="00306EEF" w:rsidRPr="00B02EF9">
        <w:t>till exempel</w:t>
      </w:r>
      <w:r w:rsidR="00A95C4E" w:rsidRPr="00B02EF9">
        <w:t xml:space="preserve"> butikspersonal</w:t>
      </w:r>
      <w:r w:rsidR="00BA57E0">
        <w:t>en</w:t>
      </w:r>
      <w:r w:rsidR="00A95C4E" w:rsidRPr="00B02EF9">
        <w:t xml:space="preserve"> avsätter tid för denna uppgift. </w:t>
      </w:r>
      <w:r w:rsidR="00955928" w:rsidRPr="00B02EF9">
        <w:t xml:space="preserve">I sammanhanget bör nämnas att motsvarande krav redan idag </w:t>
      </w:r>
      <w:r w:rsidR="00BA57E0" w:rsidRPr="00B02EF9">
        <w:t xml:space="preserve">finns </w:t>
      </w:r>
      <w:r w:rsidR="00955928" w:rsidRPr="00B02EF9">
        <w:t>avseende</w:t>
      </w:r>
      <w:r w:rsidR="00A95C4E" w:rsidRPr="00B02EF9">
        <w:t xml:space="preserve"> tobaksvaror och elektro</w:t>
      </w:r>
      <w:r w:rsidR="00955928" w:rsidRPr="00B02EF9">
        <w:t xml:space="preserve">niska cigaretter. </w:t>
      </w:r>
      <w:r w:rsidR="00406CC0" w:rsidRPr="00B02EF9">
        <w:t>De</w:t>
      </w:r>
      <w:r w:rsidR="00B12145">
        <w:t>ssa</w:t>
      </w:r>
      <w:r w:rsidR="00406CC0" w:rsidRPr="00B02EF9">
        <w:t xml:space="preserve"> uppgifter kan få till följd att berörda företag kommer </w:t>
      </w:r>
      <w:r w:rsidR="00E977F5">
        <w:t xml:space="preserve">att </w:t>
      </w:r>
      <w:r w:rsidR="00406CC0" w:rsidRPr="00B02EF9">
        <w:t>behöva avsätta person</w:t>
      </w:r>
      <w:r w:rsidR="00B12145">
        <w:t>al</w:t>
      </w:r>
      <w:r w:rsidR="00406CC0" w:rsidRPr="00B02EF9">
        <w:t xml:space="preserve"> för att utföra de</w:t>
      </w:r>
      <w:r w:rsidR="00B12145">
        <w:t>m</w:t>
      </w:r>
      <w:r w:rsidR="00406CC0" w:rsidRPr="00B02EF9">
        <w:t>.</w:t>
      </w:r>
    </w:p>
    <w:p w14:paraId="3BCA22E7" w14:textId="77777777" w:rsidR="00FF2332" w:rsidRDefault="00FF2332" w:rsidP="002301BD">
      <w:pPr>
        <w:rPr>
          <w:rFonts w:ascii="Arial" w:eastAsia="Times New Roman" w:hAnsi="Arial" w:cs="Arial"/>
          <w:b/>
          <w:szCs w:val="20"/>
          <w:lang w:eastAsia="sv-SE"/>
        </w:rPr>
      </w:pPr>
    </w:p>
    <w:p w14:paraId="54A9DB46" w14:textId="040771A2" w:rsidR="002301BD" w:rsidRDefault="002301BD" w:rsidP="00CB691B">
      <w:pPr>
        <w:pStyle w:val="Rubrik2"/>
        <w:rPr>
          <w:rFonts w:eastAsia="Times New Roman"/>
          <w:lang w:eastAsia="sv-SE"/>
        </w:rPr>
      </w:pPr>
      <w:r w:rsidRPr="00B4578A">
        <w:rPr>
          <w:rFonts w:eastAsia="Times New Roman"/>
          <w:lang w:eastAsia="sv-SE"/>
        </w:rPr>
        <w:t xml:space="preserve">Beskrivning av i vilken utsträckning regleringen kan komma att </w:t>
      </w:r>
      <w:r w:rsidRPr="00FF2332">
        <w:rPr>
          <w:rFonts w:eastAsia="Times New Roman"/>
          <w:lang w:eastAsia="sv-SE"/>
        </w:rPr>
        <w:t>påverka konkurrensförhållandena för företagen</w:t>
      </w:r>
    </w:p>
    <w:p w14:paraId="34365914" w14:textId="77777777" w:rsidR="004C0EB4" w:rsidRDefault="004C0EB4" w:rsidP="000A783D">
      <w:pPr>
        <w:pStyle w:val="Brdtext"/>
        <w:rPr>
          <w:lang w:eastAsia="sv-SE"/>
        </w:rPr>
      </w:pPr>
    </w:p>
    <w:p w14:paraId="1F382F35" w14:textId="057D7998" w:rsidR="001E44A5" w:rsidRPr="004428F0" w:rsidRDefault="00323DE3" w:rsidP="001E44A5">
      <w:pPr>
        <w:pStyle w:val="Default"/>
        <w:rPr>
          <w:sz w:val="22"/>
          <w:szCs w:val="22"/>
        </w:rPr>
      </w:pPr>
      <w:r w:rsidRPr="004F074B">
        <w:rPr>
          <w:sz w:val="22"/>
          <w:szCs w:val="22"/>
          <w:lang w:eastAsia="sv-SE"/>
        </w:rPr>
        <w:t xml:space="preserve">Folkhälsomyndigheten bedömer att stora och redan etablerade företag kommer </w:t>
      </w:r>
      <w:r w:rsidR="00BD05B1">
        <w:rPr>
          <w:sz w:val="22"/>
          <w:szCs w:val="22"/>
          <w:lang w:eastAsia="sv-SE"/>
        </w:rPr>
        <w:t xml:space="preserve">att </w:t>
      </w:r>
      <w:r w:rsidRPr="004F074B">
        <w:rPr>
          <w:sz w:val="22"/>
          <w:szCs w:val="22"/>
          <w:lang w:eastAsia="sv-SE"/>
        </w:rPr>
        <w:t>ha lättare att anpassa sig till den föreslagna regleringen jämfört med små eller nyetablerade företag.</w:t>
      </w:r>
      <w:r w:rsidR="00A76E62" w:rsidRPr="004F074B">
        <w:rPr>
          <w:sz w:val="22"/>
          <w:szCs w:val="22"/>
          <w:lang w:eastAsia="sv-SE"/>
        </w:rPr>
        <w:t xml:space="preserve"> </w:t>
      </w:r>
      <w:r w:rsidR="0089610C" w:rsidRPr="00CF3A61">
        <w:rPr>
          <w:sz w:val="22"/>
          <w:szCs w:val="22"/>
          <w:lang w:eastAsia="sv-SE"/>
        </w:rPr>
        <w:t xml:space="preserve">Exempelvis kan ett större företag anlita en extern part med erfarenhet att göra produktanmälan, vilket mindre företag inte har samma förutsättningar </w:t>
      </w:r>
      <w:r w:rsidR="001E5441">
        <w:rPr>
          <w:sz w:val="22"/>
          <w:szCs w:val="22"/>
          <w:lang w:eastAsia="sv-SE"/>
        </w:rPr>
        <w:t>att göra</w:t>
      </w:r>
      <w:r w:rsidR="0089610C" w:rsidRPr="00CF3A61">
        <w:rPr>
          <w:sz w:val="22"/>
          <w:szCs w:val="22"/>
          <w:lang w:eastAsia="sv-SE"/>
        </w:rPr>
        <w:t>.</w:t>
      </w:r>
      <w:r w:rsidR="001E44A5" w:rsidRPr="004428F0">
        <w:rPr>
          <w:sz w:val="22"/>
          <w:szCs w:val="22"/>
        </w:rPr>
        <w:t xml:space="preserve"> Det för i princip med sig att </w:t>
      </w:r>
      <w:r w:rsidR="001E44A5" w:rsidRPr="004428F0">
        <w:rPr>
          <w:sz w:val="22"/>
          <w:szCs w:val="22"/>
        </w:rPr>
        <w:lastRenderedPageBreak/>
        <w:t xml:space="preserve">mindre, framför allt nystartade företag, kommer mötas av svårigheter att etablera sig på marknaden. </w:t>
      </w:r>
    </w:p>
    <w:p w14:paraId="2C9F0FCC" w14:textId="1A934205" w:rsidR="000A783D" w:rsidRDefault="000A783D" w:rsidP="000A783D">
      <w:pPr>
        <w:pStyle w:val="Brdtext"/>
        <w:rPr>
          <w:lang w:eastAsia="sv-SE"/>
        </w:rPr>
      </w:pPr>
    </w:p>
    <w:p w14:paraId="607AB5A0" w14:textId="77777777" w:rsidR="004C0EB4" w:rsidRDefault="004C0EB4" w:rsidP="000A783D">
      <w:pPr>
        <w:pStyle w:val="Default"/>
        <w:rPr>
          <w:sz w:val="20"/>
          <w:szCs w:val="20"/>
        </w:rPr>
      </w:pPr>
    </w:p>
    <w:p w14:paraId="134DE0BA" w14:textId="77777777" w:rsidR="002301BD" w:rsidRPr="00FF2332" w:rsidRDefault="002301BD" w:rsidP="002301BD">
      <w:pPr>
        <w:tabs>
          <w:tab w:val="num" w:pos="426"/>
        </w:tabs>
        <w:ind w:left="426" w:hanging="426"/>
        <w:rPr>
          <w:rFonts w:ascii="Sabon" w:eastAsia="Times New Roman" w:hAnsi="Sabon" w:cs="Times New Roman"/>
          <w:szCs w:val="20"/>
          <w:lang w:eastAsia="sv-SE"/>
        </w:rPr>
      </w:pPr>
    </w:p>
    <w:p w14:paraId="471FAE24" w14:textId="5024D79D" w:rsidR="000E15F2" w:rsidRDefault="002301BD" w:rsidP="002301BD">
      <w:pPr>
        <w:pStyle w:val="Rubrik2"/>
        <w:rPr>
          <w:rFonts w:eastAsia="Times New Roman"/>
          <w:lang w:eastAsia="sv-SE"/>
        </w:rPr>
      </w:pPr>
      <w:r w:rsidRPr="00E3388A">
        <w:rPr>
          <w:rFonts w:eastAsia="Times New Roman"/>
          <w:lang w:eastAsia="sv-SE"/>
        </w:rPr>
        <w:t>Beskrivning av hur regleringen i andra avseenden kan komma att påverka företagen</w:t>
      </w:r>
    </w:p>
    <w:p w14:paraId="256873F2" w14:textId="291C3570" w:rsidR="000E15F2" w:rsidRPr="00B02EF9" w:rsidRDefault="00C71C8E" w:rsidP="002301BD">
      <w:pPr>
        <w:rPr>
          <w:rFonts w:ascii="Arial" w:eastAsia="Times New Roman" w:hAnsi="Arial" w:cs="Arial"/>
          <w:lang w:eastAsia="sv-SE"/>
        </w:rPr>
      </w:pPr>
      <w:r>
        <w:rPr>
          <w:rFonts w:eastAsia="Times New Roman" w:cstheme="minorHAnsi"/>
          <w:lang w:eastAsia="sv-SE"/>
        </w:rPr>
        <w:t xml:space="preserve">I och </w:t>
      </w:r>
      <w:r w:rsidRPr="00B02EF9">
        <w:rPr>
          <w:rFonts w:eastAsia="Times New Roman" w:cstheme="minorHAnsi"/>
          <w:lang w:eastAsia="sv-SE"/>
        </w:rPr>
        <w:t xml:space="preserve">med kraven på märkning </w:t>
      </w:r>
      <w:r w:rsidR="000731DD" w:rsidRPr="00B02EF9">
        <w:rPr>
          <w:rFonts w:eastAsia="Times New Roman" w:cstheme="minorHAnsi"/>
          <w:lang w:eastAsia="sv-SE"/>
        </w:rPr>
        <w:t xml:space="preserve">kommer </w:t>
      </w:r>
      <w:r>
        <w:rPr>
          <w:rFonts w:eastAsia="Times New Roman" w:cstheme="minorHAnsi"/>
          <w:lang w:eastAsia="sv-SE"/>
        </w:rPr>
        <w:t>f</w:t>
      </w:r>
      <w:r w:rsidRPr="00B02EF9">
        <w:rPr>
          <w:rFonts w:eastAsia="Times New Roman" w:cstheme="minorHAnsi"/>
          <w:lang w:eastAsia="sv-SE"/>
        </w:rPr>
        <w:t xml:space="preserve">öretagen </w:t>
      </w:r>
      <w:r w:rsidR="000731DD" w:rsidRPr="00B02EF9">
        <w:rPr>
          <w:rFonts w:eastAsia="Times New Roman" w:cstheme="minorHAnsi"/>
          <w:lang w:eastAsia="sv-SE"/>
        </w:rPr>
        <w:t xml:space="preserve">att få minskade disponibla ytor på förpackningarna för </w:t>
      </w:r>
      <w:r w:rsidRPr="00B02EF9">
        <w:rPr>
          <w:rFonts w:eastAsia="Times New Roman" w:cstheme="minorHAnsi"/>
          <w:lang w:eastAsia="sv-SE"/>
        </w:rPr>
        <w:t>till exempel</w:t>
      </w:r>
      <w:r w:rsidR="000731DD" w:rsidRPr="00B02EF9">
        <w:rPr>
          <w:rFonts w:eastAsia="Times New Roman" w:cstheme="minorHAnsi"/>
          <w:lang w:eastAsia="sv-SE"/>
        </w:rPr>
        <w:t xml:space="preserve"> kommersiell kommunicering till konsumenter</w:t>
      </w:r>
      <w:r>
        <w:rPr>
          <w:rFonts w:eastAsia="Times New Roman" w:cstheme="minorHAnsi"/>
          <w:lang w:eastAsia="sv-SE"/>
        </w:rPr>
        <w:t>na</w:t>
      </w:r>
      <w:r w:rsidR="000731DD" w:rsidRPr="00B02EF9">
        <w:rPr>
          <w:rFonts w:eastAsia="Times New Roman" w:cstheme="minorHAnsi"/>
          <w:lang w:eastAsia="sv-SE"/>
        </w:rPr>
        <w:t>.</w:t>
      </w:r>
      <w:r w:rsidR="00A46087" w:rsidRPr="00B02EF9">
        <w:rPr>
          <w:rFonts w:eastAsia="Times New Roman" w:cstheme="minorHAnsi"/>
          <w:lang w:eastAsia="sv-SE"/>
        </w:rPr>
        <w:t xml:space="preserve"> Förslaget till föreskrifter anger vilken s</w:t>
      </w:r>
      <w:r w:rsidR="007D399C" w:rsidRPr="00B02EF9">
        <w:rPr>
          <w:rFonts w:eastAsia="Times New Roman" w:cstheme="minorHAnsi"/>
          <w:lang w:eastAsia="sv-SE"/>
        </w:rPr>
        <w:t>torlek innehållsdeklaration resp</w:t>
      </w:r>
      <w:r w:rsidR="0093028B">
        <w:rPr>
          <w:rFonts w:eastAsia="Times New Roman" w:cstheme="minorHAnsi"/>
          <w:lang w:eastAsia="sv-SE"/>
        </w:rPr>
        <w:t>ektive</w:t>
      </w:r>
      <w:r w:rsidR="00A46087" w:rsidRPr="00B02EF9">
        <w:rPr>
          <w:rFonts w:eastAsia="Times New Roman" w:cstheme="minorHAnsi"/>
          <w:lang w:eastAsia="sv-SE"/>
        </w:rPr>
        <w:t xml:space="preserve"> hälsovarning ska ha.</w:t>
      </w:r>
      <w:r w:rsidR="000731DD" w:rsidRPr="00B02EF9">
        <w:rPr>
          <w:rFonts w:eastAsia="Times New Roman" w:cstheme="minorHAnsi"/>
          <w:lang w:eastAsia="sv-SE"/>
        </w:rPr>
        <w:t xml:space="preserve"> </w:t>
      </w:r>
      <w:r w:rsidR="005E552B">
        <w:rPr>
          <w:rFonts w:eastAsia="Times New Roman" w:cstheme="minorHAnsi"/>
          <w:lang w:eastAsia="sv-SE"/>
        </w:rPr>
        <w:t>R</w:t>
      </w:r>
      <w:r w:rsidR="000731DD" w:rsidRPr="00B02EF9">
        <w:rPr>
          <w:rFonts w:eastAsia="Times New Roman" w:cstheme="minorHAnsi"/>
          <w:lang w:eastAsia="sv-SE"/>
        </w:rPr>
        <w:t xml:space="preserve">edan idag </w:t>
      </w:r>
      <w:r w:rsidR="005E552B">
        <w:rPr>
          <w:rFonts w:eastAsia="Times New Roman" w:cstheme="minorHAnsi"/>
          <w:lang w:eastAsia="sv-SE"/>
        </w:rPr>
        <w:t xml:space="preserve">finns </w:t>
      </w:r>
      <w:r w:rsidR="00347F85">
        <w:rPr>
          <w:rFonts w:eastAsia="Times New Roman" w:cstheme="minorHAnsi"/>
          <w:lang w:eastAsia="sv-SE"/>
        </w:rPr>
        <w:t xml:space="preserve">det </w:t>
      </w:r>
      <w:r w:rsidR="000731DD" w:rsidRPr="00B02EF9">
        <w:rPr>
          <w:rFonts w:eastAsia="Times New Roman" w:cstheme="minorHAnsi"/>
          <w:lang w:eastAsia="sv-SE"/>
        </w:rPr>
        <w:t>innehållsdeklaration och hälsovarning på flertalet tobaksfria nikotinprodukter</w:t>
      </w:r>
      <w:r w:rsidR="00182392">
        <w:rPr>
          <w:rFonts w:eastAsia="Times New Roman" w:cstheme="minorHAnsi"/>
          <w:lang w:eastAsia="sv-SE"/>
        </w:rPr>
        <w:t xml:space="preserve"> på frivillig basis</w:t>
      </w:r>
      <w:r w:rsidR="00347F85">
        <w:rPr>
          <w:rFonts w:eastAsia="Times New Roman" w:cstheme="minorHAnsi"/>
          <w:lang w:eastAsia="sv-SE"/>
        </w:rPr>
        <w:t xml:space="preserve"> (se </w:t>
      </w:r>
      <w:r w:rsidR="000A12BE" w:rsidRPr="000A12BE">
        <w:rPr>
          <w:rFonts w:eastAsia="Times New Roman" w:cstheme="minorHAnsi"/>
          <w:lang w:eastAsia="sv-SE"/>
        </w:rPr>
        <w:t>8.3</w:t>
      </w:r>
      <w:r w:rsidR="000B76F4">
        <w:rPr>
          <w:rFonts w:eastAsia="Times New Roman" w:cstheme="minorHAnsi"/>
          <w:lang w:eastAsia="sv-SE"/>
        </w:rPr>
        <w:t xml:space="preserve"> </w:t>
      </w:r>
      <w:r w:rsidR="000A12BE" w:rsidRPr="000A12BE">
        <w:rPr>
          <w:rFonts w:eastAsia="Times New Roman" w:cstheme="minorHAnsi"/>
          <w:lang w:eastAsia="sv-SE"/>
        </w:rPr>
        <w:t>Beskrivning av vilka andra kostnader den föreslagna regleringen medför för företagen och vilka förändringar i verksamheten som företagen kan behöva vidta till följd av den föreslagna regleringen</w:t>
      </w:r>
      <w:r w:rsidR="00347F85">
        <w:rPr>
          <w:rFonts w:eastAsia="Times New Roman" w:cstheme="minorHAnsi"/>
          <w:lang w:eastAsia="sv-SE"/>
        </w:rPr>
        <w:t>)</w:t>
      </w:r>
      <w:r w:rsidR="000A12BE">
        <w:rPr>
          <w:rFonts w:eastAsia="Times New Roman" w:cstheme="minorHAnsi"/>
          <w:lang w:eastAsia="sv-SE"/>
        </w:rPr>
        <w:t>.</w:t>
      </w:r>
      <w:r w:rsidR="000731DD" w:rsidRPr="00B02EF9">
        <w:rPr>
          <w:rFonts w:eastAsia="Times New Roman" w:cstheme="minorHAnsi"/>
          <w:lang w:eastAsia="sv-SE"/>
        </w:rPr>
        <w:t xml:space="preserve"> </w:t>
      </w:r>
      <w:r w:rsidR="000A12BE">
        <w:rPr>
          <w:rFonts w:eastAsia="Times New Roman" w:cstheme="minorHAnsi"/>
          <w:lang w:eastAsia="sv-SE"/>
        </w:rPr>
        <w:t>R</w:t>
      </w:r>
      <w:r w:rsidR="000731DD" w:rsidRPr="00B02EF9">
        <w:rPr>
          <w:rFonts w:eastAsia="Times New Roman" w:cstheme="minorHAnsi"/>
          <w:lang w:eastAsia="sv-SE"/>
        </w:rPr>
        <w:t>egleringen</w:t>
      </w:r>
      <w:r w:rsidR="00024A1F" w:rsidRPr="00B02EF9">
        <w:rPr>
          <w:rFonts w:eastAsia="Times New Roman" w:cstheme="minorHAnsi"/>
          <w:lang w:eastAsia="sv-SE"/>
        </w:rPr>
        <w:t xml:space="preserve"> kommer </w:t>
      </w:r>
      <w:r w:rsidR="000A12BE">
        <w:rPr>
          <w:rFonts w:eastAsia="Times New Roman" w:cstheme="minorHAnsi"/>
          <w:lang w:eastAsia="sv-SE"/>
        </w:rPr>
        <w:t xml:space="preserve">därför inte </w:t>
      </w:r>
      <w:r w:rsidR="00BA5EE6">
        <w:rPr>
          <w:rFonts w:eastAsia="Times New Roman" w:cstheme="minorHAnsi"/>
          <w:lang w:eastAsia="sv-SE"/>
        </w:rPr>
        <w:t xml:space="preserve">att </w:t>
      </w:r>
      <w:r w:rsidR="00024A1F" w:rsidRPr="00B02EF9">
        <w:rPr>
          <w:rFonts w:eastAsia="Times New Roman" w:cstheme="minorHAnsi"/>
          <w:lang w:eastAsia="sv-SE"/>
        </w:rPr>
        <w:t>påverka företagen i någon större omfattning.</w:t>
      </w:r>
    </w:p>
    <w:p w14:paraId="3334CEBA" w14:textId="77777777" w:rsidR="002301BD" w:rsidRPr="00B4578A" w:rsidRDefault="002301BD" w:rsidP="00E3388A">
      <w:pPr>
        <w:tabs>
          <w:tab w:val="num" w:pos="426"/>
        </w:tabs>
        <w:rPr>
          <w:rFonts w:ascii="Sabon" w:eastAsia="Times New Roman" w:hAnsi="Sabon" w:cs="Times New Roman"/>
          <w:szCs w:val="20"/>
          <w:lang w:eastAsia="sv-SE"/>
        </w:rPr>
      </w:pPr>
    </w:p>
    <w:p w14:paraId="0BEB77CF" w14:textId="77777777" w:rsidR="002301BD" w:rsidRDefault="002301BD" w:rsidP="00CB691B">
      <w:pPr>
        <w:pStyle w:val="Rubrik2"/>
        <w:rPr>
          <w:rFonts w:eastAsia="Times New Roman"/>
          <w:lang w:eastAsia="sv-SE"/>
        </w:rPr>
      </w:pPr>
      <w:r w:rsidRPr="00B4578A">
        <w:rPr>
          <w:rFonts w:eastAsia="Times New Roman"/>
          <w:lang w:eastAsia="sv-SE"/>
        </w:rPr>
        <w:t>Beskrivning av om särskilda hänsyn behöver tas till små företag vid reglernas utformning</w:t>
      </w:r>
    </w:p>
    <w:p w14:paraId="6360098D" w14:textId="0D172FC6" w:rsidR="00D47704" w:rsidRDefault="00793056" w:rsidP="00D47704">
      <w:pPr>
        <w:pStyle w:val="Brdtext"/>
      </w:pPr>
      <w:r w:rsidRPr="004428F0">
        <w:t>S</w:t>
      </w:r>
      <w:r w:rsidR="00024A1F" w:rsidRPr="004428F0">
        <w:t xml:space="preserve">yftet med lagen </w:t>
      </w:r>
      <w:r w:rsidR="00024A1F" w:rsidRPr="00447B0D">
        <w:t xml:space="preserve">är att begränsa skadeverkningarna av tobaksfria nikotinprodukter, eftersom </w:t>
      </w:r>
      <w:r w:rsidR="007B241B">
        <w:t>nikotin</w:t>
      </w:r>
      <w:r w:rsidR="007B241B" w:rsidRPr="00447B0D">
        <w:t xml:space="preserve"> </w:t>
      </w:r>
      <w:r w:rsidR="00024A1F" w:rsidRPr="00447B0D">
        <w:t>utgör en risk för människors hälsa.</w:t>
      </w:r>
      <w:r w:rsidR="00A910EF" w:rsidRPr="004428F0">
        <w:t xml:space="preserve"> Folkhälsomyndigheten anser </w:t>
      </w:r>
      <w:r w:rsidRPr="004428F0">
        <w:t xml:space="preserve">därför </w:t>
      </w:r>
      <w:r w:rsidR="00A910EF" w:rsidRPr="004428F0">
        <w:t xml:space="preserve">att inga särskilda hänsyn </w:t>
      </w:r>
      <w:r w:rsidRPr="004428F0">
        <w:t>ska</w:t>
      </w:r>
      <w:r w:rsidR="00A910EF" w:rsidRPr="004428F0">
        <w:t xml:space="preserve"> tas till små företag vid reglernas utformning.</w:t>
      </w:r>
    </w:p>
    <w:p w14:paraId="287132BE" w14:textId="77777777" w:rsidR="00581D41" w:rsidRPr="00447B0D" w:rsidRDefault="00581D41" w:rsidP="00D47704">
      <w:pPr>
        <w:pStyle w:val="Brdtext"/>
        <w:rPr>
          <w:lang w:eastAsia="sv-SE"/>
        </w:rPr>
      </w:pPr>
    </w:p>
    <w:p w14:paraId="765B5FC1" w14:textId="0E7EB6B8" w:rsidR="00233029" w:rsidRDefault="00C859EF" w:rsidP="002301BD">
      <w:pPr>
        <w:rPr>
          <w:rFonts w:ascii="Sabon" w:eastAsia="Times New Roman" w:hAnsi="Sabon" w:cs="Times New Roman"/>
          <w:szCs w:val="20"/>
          <w:lang w:eastAsia="sv-SE"/>
        </w:rPr>
      </w:pPr>
      <w:r>
        <w:rPr>
          <w:rFonts w:ascii="Sabon" w:eastAsia="Times New Roman" w:hAnsi="Sabon" w:cs="Times New Roman"/>
          <w:szCs w:val="20"/>
          <w:lang w:eastAsia="sv-SE"/>
        </w:rPr>
        <w:t xml:space="preserve">  </w:t>
      </w:r>
    </w:p>
    <w:p w14:paraId="3BF8E61C" w14:textId="7850F58C" w:rsidR="002C0C1B" w:rsidRDefault="001A3BD3" w:rsidP="002C0C1B">
      <w:pPr>
        <w:pStyle w:val="Rubrik1"/>
        <w:rPr>
          <w:rFonts w:eastAsia="Times New Roman"/>
          <w:lang w:eastAsia="sv-SE"/>
        </w:rPr>
      </w:pPr>
      <w:bookmarkStart w:id="7" w:name="_Toc517177390"/>
      <w:r w:rsidRPr="00B4578A">
        <w:rPr>
          <w:rFonts w:eastAsia="Times New Roman"/>
          <w:lang w:eastAsia="sv-SE"/>
        </w:rPr>
        <w:t>Bedömning av om särskilda hänsyn behöver tas när det gäller tidpunkten för ikraftträdande och om det finns behov av speciella informationsinsatser</w:t>
      </w:r>
    </w:p>
    <w:p w14:paraId="697D99E5" w14:textId="556EB282" w:rsidR="002C0C1B" w:rsidRPr="008F595C" w:rsidRDefault="002C0C1B" w:rsidP="002C0C1B">
      <w:pPr>
        <w:spacing w:line="260" w:lineRule="atLeast"/>
        <w:rPr>
          <w:rFonts w:ascii="Times New Roman" w:eastAsia="Times New Roman" w:hAnsi="Times New Roman" w:cs="Times New Roman"/>
          <w:lang w:eastAsia="sv-SE"/>
        </w:rPr>
      </w:pPr>
      <w:r w:rsidRPr="008F595C">
        <w:rPr>
          <w:rFonts w:ascii="Times New Roman" w:eastAsia="Times New Roman" w:hAnsi="Times New Roman" w:cs="Times New Roman"/>
          <w:lang w:eastAsia="sv-SE"/>
        </w:rPr>
        <w:t xml:space="preserve">Den nya lagen om tobaksfria nikotinprodukter </w:t>
      </w:r>
      <w:r w:rsidR="008D4779">
        <w:rPr>
          <w:rFonts w:ascii="Times New Roman" w:eastAsia="Times New Roman" w:hAnsi="Times New Roman" w:cs="Times New Roman"/>
          <w:lang w:eastAsia="sv-SE"/>
        </w:rPr>
        <w:t>trädde</w:t>
      </w:r>
      <w:r w:rsidR="008D4779" w:rsidRPr="008F595C">
        <w:rPr>
          <w:rFonts w:ascii="Times New Roman" w:eastAsia="Times New Roman" w:hAnsi="Times New Roman" w:cs="Times New Roman"/>
          <w:lang w:eastAsia="sv-SE"/>
        </w:rPr>
        <w:t xml:space="preserve"> </w:t>
      </w:r>
      <w:r w:rsidRPr="008F595C">
        <w:rPr>
          <w:rFonts w:ascii="Times New Roman" w:eastAsia="Times New Roman" w:hAnsi="Times New Roman" w:cs="Times New Roman"/>
          <w:lang w:eastAsia="sv-SE"/>
        </w:rPr>
        <w:t>huvudsakligen i kraft den 1 augusti 2022. Bestämmelserna om märkning ska träda i kraft den 1 januari 2023 och bestämmelserna om produktanmälan och rapporteringsskyldighet den 1 januari 2024.</w:t>
      </w:r>
    </w:p>
    <w:p w14:paraId="1285C2CE" w14:textId="77777777" w:rsidR="002C0C1B" w:rsidRPr="008F595C" w:rsidRDefault="002C0C1B" w:rsidP="002C0C1B">
      <w:pPr>
        <w:spacing w:line="260" w:lineRule="atLeast"/>
        <w:rPr>
          <w:rFonts w:ascii="Times New Roman" w:eastAsia="Times New Roman" w:hAnsi="Times New Roman" w:cs="Times New Roman"/>
          <w:lang w:eastAsia="sv-SE"/>
        </w:rPr>
      </w:pPr>
    </w:p>
    <w:p w14:paraId="308F1FCB" w14:textId="17966B16" w:rsidR="002C0C1B" w:rsidRPr="008F595C" w:rsidRDefault="00D16CD9" w:rsidP="002C0C1B">
      <w:pPr>
        <w:spacing w:line="260" w:lineRule="atLeast"/>
        <w:rPr>
          <w:rFonts w:ascii="Times New Roman" w:eastAsia="Times New Roman" w:hAnsi="Times New Roman" w:cs="Times New Roman"/>
          <w:lang w:eastAsia="sv-SE"/>
        </w:rPr>
      </w:pPr>
      <w:r>
        <w:rPr>
          <w:rFonts w:ascii="Times New Roman" w:eastAsia="Times New Roman" w:hAnsi="Times New Roman" w:cs="Times New Roman"/>
          <w:lang w:eastAsia="sv-SE"/>
        </w:rPr>
        <w:t>Folkhälsomyndighetens intention är att f</w:t>
      </w:r>
      <w:r w:rsidR="002C0C1B" w:rsidRPr="008F595C">
        <w:rPr>
          <w:rFonts w:ascii="Times New Roman" w:eastAsia="Times New Roman" w:hAnsi="Times New Roman" w:cs="Times New Roman"/>
          <w:lang w:eastAsia="sv-SE"/>
        </w:rPr>
        <w:t>öreskrifterna ska träda i</w:t>
      </w:r>
      <w:r w:rsidR="00F17C3F">
        <w:rPr>
          <w:rFonts w:ascii="Times New Roman" w:eastAsia="Times New Roman" w:hAnsi="Times New Roman" w:cs="Times New Roman"/>
          <w:lang w:eastAsia="sv-SE"/>
        </w:rPr>
        <w:t xml:space="preserve"> </w:t>
      </w:r>
      <w:r w:rsidR="002C0C1B" w:rsidRPr="008F595C">
        <w:rPr>
          <w:rFonts w:ascii="Times New Roman" w:eastAsia="Times New Roman" w:hAnsi="Times New Roman" w:cs="Times New Roman"/>
          <w:lang w:eastAsia="sv-SE"/>
        </w:rPr>
        <w:t xml:space="preserve">kraft </w:t>
      </w:r>
      <w:r>
        <w:rPr>
          <w:rFonts w:ascii="Times New Roman" w:eastAsia="Times New Roman" w:hAnsi="Times New Roman" w:cs="Times New Roman"/>
          <w:lang w:eastAsia="sv-SE"/>
        </w:rPr>
        <w:t>så snart som möjligt</w:t>
      </w:r>
      <w:r w:rsidR="008D4779">
        <w:rPr>
          <w:rFonts w:ascii="Times New Roman" w:eastAsia="Times New Roman" w:hAnsi="Times New Roman" w:cs="Times New Roman"/>
          <w:lang w:eastAsia="sv-SE"/>
        </w:rPr>
        <w:t xml:space="preserve"> i de delar som berör de regler som </w:t>
      </w:r>
      <w:r w:rsidR="00FE6104">
        <w:rPr>
          <w:rFonts w:ascii="Times New Roman" w:eastAsia="Times New Roman" w:hAnsi="Times New Roman" w:cs="Times New Roman"/>
          <w:lang w:eastAsia="sv-SE"/>
        </w:rPr>
        <w:t xml:space="preserve">redan </w:t>
      </w:r>
      <w:r w:rsidR="008D4779">
        <w:rPr>
          <w:rFonts w:ascii="Times New Roman" w:eastAsia="Times New Roman" w:hAnsi="Times New Roman" w:cs="Times New Roman"/>
          <w:lang w:eastAsia="sv-SE"/>
        </w:rPr>
        <w:t>trätt i</w:t>
      </w:r>
      <w:r w:rsidR="00FE6104">
        <w:rPr>
          <w:rFonts w:ascii="Times New Roman" w:eastAsia="Times New Roman" w:hAnsi="Times New Roman" w:cs="Times New Roman"/>
          <w:lang w:eastAsia="sv-SE"/>
        </w:rPr>
        <w:t xml:space="preserve"> </w:t>
      </w:r>
      <w:r w:rsidR="008D4779">
        <w:rPr>
          <w:rFonts w:ascii="Times New Roman" w:eastAsia="Times New Roman" w:hAnsi="Times New Roman" w:cs="Times New Roman"/>
          <w:lang w:eastAsia="sv-SE"/>
        </w:rPr>
        <w:t>kraft i lag och förordning</w:t>
      </w:r>
      <w:r w:rsidR="006C5906">
        <w:rPr>
          <w:rFonts w:ascii="Times New Roman" w:eastAsia="Times New Roman" w:hAnsi="Times New Roman" w:cs="Times New Roman"/>
          <w:lang w:eastAsia="sv-SE"/>
        </w:rPr>
        <w:t xml:space="preserve">. </w:t>
      </w:r>
      <w:r w:rsidR="006C5906" w:rsidRPr="006C5906">
        <w:rPr>
          <w:rFonts w:ascii="Times New Roman" w:eastAsia="Times New Roman" w:hAnsi="Times New Roman" w:cs="Times New Roman"/>
          <w:lang w:eastAsia="sv-SE"/>
        </w:rPr>
        <w:t xml:space="preserve">Förslaget till föreskrifter måste </w:t>
      </w:r>
      <w:r w:rsidR="00A46087">
        <w:rPr>
          <w:rFonts w:ascii="Times New Roman" w:eastAsia="Times New Roman" w:hAnsi="Times New Roman" w:cs="Times New Roman"/>
          <w:lang w:eastAsia="sv-SE"/>
        </w:rPr>
        <w:t xml:space="preserve">dock </w:t>
      </w:r>
      <w:r w:rsidR="006C5906" w:rsidRPr="006C5906">
        <w:rPr>
          <w:rFonts w:ascii="Times New Roman" w:eastAsia="Times New Roman" w:hAnsi="Times New Roman" w:cs="Times New Roman"/>
          <w:lang w:eastAsia="sv-SE"/>
        </w:rPr>
        <w:t>först remitteras och även anmälas till EU-kommissionen. Under en tidsperiod på tre månader efter anmälan får Folkhälsomyndigheten inte fatta beslut om att föreskrifte</w:t>
      </w:r>
      <w:r w:rsidR="00FE6104">
        <w:rPr>
          <w:rFonts w:ascii="Times New Roman" w:eastAsia="Times New Roman" w:hAnsi="Times New Roman" w:cs="Times New Roman"/>
          <w:lang w:eastAsia="sv-SE"/>
        </w:rPr>
        <w:t>rna</w:t>
      </w:r>
      <w:r w:rsidR="006C5906" w:rsidRPr="006C5906">
        <w:rPr>
          <w:rFonts w:ascii="Times New Roman" w:eastAsia="Times New Roman" w:hAnsi="Times New Roman" w:cs="Times New Roman"/>
          <w:lang w:eastAsia="sv-SE"/>
        </w:rPr>
        <w:t xml:space="preserve"> ska träda i</w:t>
      </w:r>
      <w:r w:rsidR="00FE6104">
        <w:rPr>
          <w:rFonts w:ascii="Times New Roman" w:eastAsia="Times New Roman" w:hAnsi="Times New Roman" w:cs="Times New Roman"/>
          <w:lang w:eastAsia="sv-SE"/>
        </w:rPr>
        <w:t xml:space="preserve"> </w:t>
      </w:r>
      <w:r w:rsidR="006C5906" w:rsidRPr="006C5906">
        <w:rPr>
          <w:rFonts w:ascii="Times New Roman" w:eastAsia="Times New Roman" w:hAnsi="Times New Roman" w:cs="Times New Roman"/>
          <w:lang w:eastAsia="sv-SE"/>
        </w:rPr>
        <w:t>kraft. Det innebär att föreskrifterna inte kommer att finnas på plats till den 1 januari 2023. Vår preliminära bedömning är att de kan publiceras under våren 2023.</w:t>
      </w:r>
      <w:r w:rsidR="000B5048">
        <w:rPr>
          <w:rFonts w:ascii="Times New Roman" w:eastAsia="Times New Roman" w:hAnsi="Times New Roman" w:cs="Times New Roman"/>
          <w:lang w:eastAsia="sv-SE"/>
        </w:rPr>
        <w:t xml:space="preserve"> </w:t>
      </w:r>
      <w:r w:rsidR="006C5906">
        <w:rPr>
          <w:rFonts w:ascii="Times New Roman" w:eastAsia="Times New Roman" w:hAnsi="Times New Roman" w:cs="Times New Roman"/>
          <w:lang w:eastAsia="sv-SE"/>
        </w:rPr>
        <w:t xml:space="preserve">Bestämmelserna </w:t>
      </w:r>
      <w:r w:rsidR="002C0C1B" w:rsidRPr="008F595C">
        <w:rPr>
          <w:rFonts w:ascii="Times New Roman" w:eastAsia="Times New Roman" w:hAnsi="Times New Roman" w:cs="Times New Roman"/>
          <w:lang w:eastAsia="sv-SE"/>
        </w:rPr>
        <w:t>avseende märkning och underrättelseskyldigheten</w:t>
      </w:r>
      <w:r w:rsidR="002C0C1B">
        <w:rPr>
          <w:rFonts w:ascii="Times New Roman" w:eastAsia="Times New Roman" w:hAnsi="Times New Roman" w:cs="Times New Roman"/>
          <w:lang w:eastAsia="sv-SE"/>
        </w:rPr>
        <w:t xml:space="preserve"> </w:t>
      </w:r>
      <w:r w:rsidR="002C0C1B" w:rsidRPr="00FB3166">
        <w:rPr>
          <w:rFonts w:ascii="Times New Roman" w:eastAsia="Times New Roman" w:hAnsi="Times New Roman" w:cs="Times New Roman"/>
          <w:lang w:eastAsia="sv-SE"/>
        </w:rPr>
        <w:t>om produktens briste</w:t>
      </w:r>
      <w:r w:rsidR="002C0C1B">
        <w:rPr>
          <w:rFonts w:ascii="Times New Roman" w:eastAsia="Times New Roman" w:hAnsi="Times New Roman" w:cs="Times New Roman"/>
          <w:lang w:eastAsia="sv-SE"/>
        </w:rPr>
        <w:t>r</w:t>
      </w:r>
      <w:r w:rsidR="002C0C1B" w:rsidRPr="008F595C">
        <w:rPr>
          <w:rFonts w:ascii="Times New Roman" w:eastAsia="Times New Roman" w:hAnsi="Times New Roman" w:cs="Times New Roman"/>
          <w:lang w:eastAsia="sv-SE"/>
        </w:rPr>
        <w:t xml:space="preserve"> för tillverkare, importör eller distributör </w:t>
      </w:r>
      <w:r w:rsidR="008D4779">
        <w:rPr>
          <w:rFonts w:ascii="Times New Roman" w:eastAsia="Times New Roman" w:hAnsi="Times New Roman" w:cs="Times New Roman"/>
          <w:lang w:eastAsia="sv-SE"/>
        </w:rPr>
        <w:t>kommer att träda i</w:t>
      </w:r>
      <w:r w:rsidR="0049619B">
        <w:rPr>
          <w:rFonts w:ascii="Times New Roman" w:eastAsia="Times New Roman" w:hAnsi="Times New Roman" w:cs="Times New Roman"/>
          <w:lang w:eastAsia="sv-SE"/>
        </w:rPr>
        <w:t xml:space="preserve"> </w:t>
      </w:r>
      <w:r w:rsidR="008D4779">
        <w:rPr>
          <w:rFonts w:ascii="Times New Roman" w:eastAsia="Times New Roman" w:hAnsi="Times New Roman" w:cs="Times New Roman"/>
          <w:lang w:eastAsia="sv-SE"/>
        </w:rPr>
        <w:t xml:space="preserve">kraft </w:t>
      </w:r>
      <w:r w:rsidR="002C0C1B" w:rsidRPr="008F595C">
        <w:rPr>
          <w:rFonts w:ascii="Times New Roman" w:eastAsia="Times New Roman" w:hAnsi="Times New Roman" w:cs="Times New Roman"/>
          <w:lang w:eastAsia="sv-SE"/>
        </w:rPr>
        <w:t xml:space="preserve">med utgångspunkt från de tidpunkter som anges i </w:t>
      </w:r>
      <w:r w:rsidR="00FD4F4A">
        <w:rPr>
          <w:rFonts w:ascii="Times New Roman" w:eastAsia="Times New Roman" w:hAnsi="Times New Roman" w:cs="Times New Roman"/>
          <w:lang w:eastAsia="sv-SE"/>
        </w:rPr>
        <w:t>LTN</w:t>
      </w:r>
      <w:r w:rsidR="008D4779">
        <w:rPr>
          <w:rFonts w:ascii="Times New Roman" w:eastAsia="Times New Roman" w:hAnsi="Times New Roman" w:cs="Times New Roman"/>
          <w:lang w:eastAsia="sv-SE"/>
        </w:rPr>
        <w:t>.</w:t>
      </w:r>
      <w:r w:rsidR="002C0C1B" w:rsidRPr="008F595C">
        <w:rPr>
          <w:rFonts w:ascii="Times New Roman" w:eastAsia="Times New Roman" w:hAnsi="Times New Roman" w:cs="Times New Roman"/>
          <w:lang w:eastAsia="sv-SE"/>
        </w:rPr>
        <w:t xml:space="preserve">  </w:t>
      </w:r>
    </w:p>
    <w:p w14:paraId="7DC3891B" w14:textId="77777777" w:rsidR="002C0C1B" w:rsidRPr="008F595C" w:rsidRDefault="002C0C1B" w:rsidP="002C0C1B">
      <w:pPr>
        <w:spacing w:line="260" w:lineRule="atLeast"/>
        <w:rPr>
          <w:rFonts w:ascii="Times New Roman" w:eastAsia="Times New Roman" w:hAnsi="Times New Roman" w:cs="Times New Roman"/>
          <w:lang w:eastAsia="sv-SE"/>
        </w:rPr>
      </w:pPr>
    </w:p>
    <w:p w14:paraId="516FD342" w14:textId="0096DA80" w:rsidR="002C0C1B" w:rsidRPr="008F595C" w:rsidRDefault="002C0C1B" w:rsidP="002C0C1B">
      <w:pPr>
        <w:spacing w:line="260" w:lineRule="atLeast"/>
        <w:rPr>
          <w:rFonts w:ascii="Times New Roman" w:eastAsia="Times New Roman" w:hAnsi="Times New Roman" w:cs="Times New Roman"/>
          <w:lang w:eastAsia="sv-SE"/>
        </w:rPr>
      </w:pPr>
      <w:r w:rsidRPr="008F595C">
        <w:rPr>
          <w:rFonts w:ascii="Times New Roman" w:eastAsia="Times New Roman" w:hAnsi="Times New Roman" w:cs="Times New Roman"/>
          <w:lang w:eastAsia="sv-SE"/>
        </w:rPr>
        <w:t>För tobaksfria nikotinprodukter som har tillhandahållits konsumenter på marknaden före den 1 januari 2024 ska en produktanmälan göras senast den 1 februari 2024. Föreskrifterna gällande produktanmälan ska därmed träda i</w:t>
      </w:r>
      <w:r w:rsidR="0049619B">
        <w:rPr>
          <w:rFonts w:ascii="Times New Roman" w:eastAsia="Times New Roman" w:hAnsi="Times New Roman" w:cs="Times New Roman"/>
          <w:lang w:eastAsia="sv-SE"/>
        </w:rPr>
        <w:t xml:space="preserve"> </w:t>
      </w:r>
      <w:r w:rsidRPr="008F595C">
        <w:rPr>
          <w:rFonts w:ascii="Times New Roman" w:eastAsia="Times New Roman" w:hAnsi="Times New Roman" w:cs="Times New Roman"/>
          <w:lang w:eastAsia="sv-SE"/>
        </w:rPr>
        <w:t>kraft den 1 januari 2024</w:t>
      </w:r>
      <w:r w:rsidR="003B5C5B">
        <w:rPr>
          <w:rFonts w:ascii="Times New Roman" w:eastAsia="Times New Roman" w:hAnsi="Times New Roman" w:cs="Times New Roman"/>
          <w:lang w:eastAsia="sv-SE"/>
        </w:rPr>
        <w:t>.</w:t>
      </w:r>
      <w:r w:rsidRPr="008F595C">
        <w:rPr>
          <w:rFonts w:ascii="Times New Roman" w:eastAsia="Times New Roman" w:hAnsi="Times New Roman" w:cs="Times New Roman"/>
          <w:lang w:eastAsia="sv-SE"/>
        </w:rPr>
        <w:t xml:space="preserve"> Föreskrifter avseende rapporteringsskyldighet ska också träda i</w:t>
      </w:r>
      <w:r w:rsidR="0049619B">
        <w:rPr>
          <w:rFonts w:ascii="Times New Roman" w:eastAsia="Times New Roman" w:hAnsi="Times New Roman" w:cs="Times New Roman"/>
          <w:lang w:eastAsia="sv-SE"/>
        </w:rPr>
        <w:t xml:space="preserve"> </w:t>
      </w:r>
      <w:r w:rsidRPr="008F595C">
        <w:rPr>
          <w:rFonts w:ascii="Times New Roman" w:eastAsia="Times New Roman" w:hAnsi="Times New Roman" w:cs="Times New Roman"/>
          <w:lang w:eastAsia="sv-SE"/>
        </w:rPr>
        <w:t>kraft den 1 januari 2024</w:t>
      </w:r>
      <w:r w:rsidR="009C7616">
        <w:rPr>
          <w:rFonts w:ascii="Times New Roman" w:eastAsia="Times New Roman" w:hAnsi="Times New Roman" w:cs="Times New Roman"/>
          <w:lang w:eastAsia="sv-SE"/>
        </w:rPr>
        <w:t>,</w:t>
      </w:r>
      <w:r w:rsidRPr="008F595C">
        <w:rPr>
          <w:rFonts w:ascii="Times New Roman" w:eastAsia="Times New Roman" w:hAnsi="Times New Roman" w:cs="Times New Roman"/>
          <w:lang w:eastAsia="sv-SE"/>
        </w:rPr>
        <w:t xml:space="preserve"> enligt</w:t>
      </w:r>
      <w:r w:rsidR="009C7616">
        <w:rPr>
          <w:rFonts w:ascii="Times New Roman" w:eastAsia="Times New Roman" w:hAnsi="Times New Roman" w:cs="Times New Roman"/>
          <w:lang w:eastAsia="sv-SE"/>
        </w:rPr>
        <w:t xml:space="preserve"> den</w:t>
      </w:r>
      <w:r w:rsidRPr="008F595C">
        <w:rPr>
          <w:rFonts w:ascii="Times New Roman" w:eastAsia="Times New Roman" w:hAnsi="Times New Roman" w:cs="Times New Roman"/>
          <w:lang w:eastAsia="sv-SE"/>
        </w:rPr>
        <w:t xml:space="preserve"> tidpunkt som anges i </w:t>
      </w:r>
      <w:r w:rsidR="00FD4F4A">
        <w:rPr>
          <w:rFonts w:ascii="Times New Roman" w:eastAsia="Times New Roman" w:hAnsi="Times New Roman" w:cs="Times New Roman"/>
          <w:lang w:eastAsia="sv-SE"/>
        </w:rPr>
        <w:t>LTN</w:t>
      </w:r>
      <w:r w:rsidR="009C7616">
        <w:rPr>
          <w:rFonts w:ascii="Times New Roman" w:eastAsia="Times New Roman" w:hAnsi="Times New Roman" w:cs="Times New Roman"/>
          <w:lang w:eastAsia="sv-SE"/>
        </w:rPr>
        <w:t>.</w:t>
      </w:r>
    </w:p>
    <w:p w14:paraId="4A086DF5" w14:textId="77777777" w:rsidR="002C0C1B" w:rsidRPr="008F595C" w:rsidRDefault="002C0C1B" w:rsidP="002C0C1B">
      <w:pPr>
        <w:spacing w:line="260" w:lineRule="atLeast"/>
        <w:rPr>
          <w:rFonts w:ascii="Times New Roman" w:eastAsia="Times New Roman" w:hAnsi="Times New Roman" w:cs="Times New Roman"/>
          <w:lang w:eastAsia="sv-SE"/>
        </w:rPr>
      </w:pPr>
    </w:p>
    <w:p w14:paraId="4DBBB46B" w14:textId="36491A1F" w:rsidR="002C0C1B" w:rsidRPr="008F595C" w:rsidRDefault="002C0C1B" w:rsidP="002C0C1B">
      <w:pPr>
        <w:spacing w:line="260" w:lineRule="atLeast"/>
        <w:rPr>
          <w:rFonts w:ascii="Times New Roman" w:eastAsia="Times New Roman" w:hAnsi="Times New Roman" w:cs="Times New Roman"/>
          <w:lang w:eastAsia="sv-SE"/>
        </w:rPr>
      </w:pPr>
      <w:r w:rsidRPr="008F595C">
        <w:rPr>
          <w:rFonts w:ascii="Times New Roman" w:eastAsia="Times New Roman" w:hAnsi="Times New Roman" w:cs="Times New Roman"/>
          <w:lang w:eastAsia="sv-SE"/>
        </w:rPr>
        <w:t xml:space="preserve">Målgruppsanpassad information kommer att publiceras </w:t>
      </w:r>
      <w:r w:rsidR="009C7616" w:rsidRPr="008F595C">
        <w:rPr>
          <w:rFonts w:ascii="Times New Roman" w:eastAsia="Times New Roman" w:hAnsi="Times New Roman" w:cs="Times New Roman"/>
          <w:lang w:eastAsia="sv-SE"/>
        </w:rPr>
        <w:t xml:space="preserve">löpande </w:t>
      </w:r>
      <w:r w:rsidRPr="008F595C">
        <w:rPr>
          <w:rFonts w:ascii="Times New Roman" w:eastAsia="Times New Roman" w:hAnsi="Times New Roman" w:cs="Times New Roman"/>
          <w:lang w:eastAsia="sv-SE"/>
        </w:rPr>
        <w:t xml:space="preserve">på </w:t>
      </w:r>
      <w:r w:rsidR="009C7616">
        <w:rPr>
          <w:rFonts w:ascii="Times New Roman" w:eastAsia="Times New Roman" w:hAnsi="Times New Roman" w:cs="Times New Roman"/>
          <w:lang w:eastAsia="sv-SE"/>
        </w:rPr>
        <w:t>Folkhälso</w:t>
      </w:r>
      <w:r w:rsidRPr="008F595C">
        <w:rPr>
          <w:rFonts w:ascii="Times New Roman" w:eastAsia="Times New Roman" w:hAnsi="Times New Roman" w:cs="Times New Roman"/>
          <w:lang w:eastAsia="sv-SE"/>
        </w:rPr>
        <w:t>myndighetens webbplats under arbetets gång.</w:t>
      </w:r>
    </w:p>
    <w:p w14:paraId="54E90414" w14:textId="60396DDC" w:rsidR="002C0C1B" w:rsidRPr="00A46EF7" w:rsidRDefault="002C0C1B" w:rsidP="00A46EF7">
      <w:pPr>
        <w:pStyle w:val="Brdtext"/>
        <w:rPr>
          <w:lang w:eastAsia="sv-SE"/>
        </w:rPr>
      </w:pPr>
    </w:p>
    <w:p w14:paraId="740EA142" w14:textId="77777777" w:rsidR="002301BD" w:rsidRDefault="002301BD" w:rsidP="002301BD">
      <w:pPr>
        <w:rPr>
          <w:rFonts w:ascii="Sabon" w:eastAsia="Times New Roman" w:hAnsi="Sabon" w:cs="Times New Roman"/>
          <w:szCs w:val="20"/>
          <w:lang w:eastAsia="sv-SE"/>
        </w:rPr>
      </w:pPr>
    </w:p>
    <w:p w14:paraId="704D618D" w14:textId="0CD3C4C7" w:rsidR="002301BD" w:rsidRDefault="00784F2A" w:rsidP="002301BD">
      <w:pPr>
        <w:pStyle w:val="Rubrik1"/>
        <w:rPr>
          <w:rFonts w:eastAsia="Times New Roman"/>
          <w:lang w:eastAsia="sv-SE"/>
        </w:rPr>
      </w:pPr>
      <w:r>
        <w:rPr>
          <w:rFonts w:eastAsia="Times New Roman"/>
          <w:lang w:eastAsia="sv-SE"/>
        </w:rPr>
        <w:t xml:space="preserve"> </w:t>
      </w:r>
      <w:r w:rsidR="003810FD">
        <w:rPr>
          <w:rFonts w:eastAsia="Times New Roman"/>
          <w:lang w:eastAsia="sv-SE"/>
        </w:rPr>
        <w:t>Samråd</w:t>
      </w:r>
    </w:p>
    <w:p w14:paraId="3E22BD52" w14:textId="11B5ED1B" w:rsidR="001F740E" w:rsidRDefault="001F740E" w:rsidP="004428F0">
      <w:pPr>
        <w:pStyle w:val="Brdtext"/>
        <w:rPr>
          <w:lang w:eastAsia="sv-SE"/>
        </w:rPr>
      </w:pPr>
      <w:r>
        <w:rPr>
          <w:lang w:eastAsia="sv-SE"/>
        </w:rPr>
        <w:t>Folkhälsomyndigheten har bedömt att det inte finns behov av en extern referensgrupp</w:t>
      </w:r>
      <w:r w:rsidR="005528A8">
        <w:rPr>
          <w:lang w:eastAsia="sv-SE"/>
        </w:rPr>
        <w:t>,</w:t>
      </w:r>
      <w:r>
        <w:rPr>
          <w:lang w:eastAsia="sv-SE"/>
        </w:rPr>
        <w:t xml:space="preserve"> både med hänsyn till tidsperspektivet och att de kommande föreskrifterna i så hög grad liknar </w:t>
      </w:r>
      <w:r w:rsidR="005528A8">
        <w:rPr>
          <w:lang w:eastAsia="sv-SE"/>
        </w:rPr>
        <w:t xml:space="preserve">föreskrifter för </w:t>
      </w:r>
      <w:r>
        <w:rPr>
          <w:lang w:eastAsia="sv-SE"/>
        </w:rPr>
        <w:t xml:space="preserve">närliggande produktslag. </w:t>
      </w:r>
      <w:r w:rsidR="005528A8">
        <w:rPr>
          <w:lang w:eastAsia="sv-SE"/>
        </w:rPr>
        <w:t xml:space="preserve">Vi </w:t>
      </w:r>
      <w:r>
        <w:rPr>
          <w:lang w:eastAsia="sv-SE"/>
        </w:rPr>
        <w:t>kommer därför inte</w:t>
      </w:r>
      <w:r w:rsidR="005528A8">
        <w:rPr>
          <w:lang w:eastAsia="sv-SE"/>
        </w:rPr>
        <w:t xml:space="preserve"> att</w:t>
      </w:r>
      <w:r>
        <w:rPr>
          <w:lang w:eastAsia="sv-SE"/>
        </w:rPr>
        <w:t xml:space="preserve"> ha något samråd utöver remissförfarande</w:t>
      </w:r>
      <w:r w:rsidR="00DA7C80">
        <w:rPr>
          <w:lang w:eastAsia="sv-SE"/>
        </w:rPr>
        <w:t>t</w:t>
      </w:r>
      <w:r>
        <w:rPr>
          <w:lang w:eastAsia="sv-SE"/>
        </w:rPr>
        <w:t>. Förslaget till nya föreskrifter och konsekvensutredningen kommer att skickas på remiss till Regelrådet, Näringslivets regelnämnd (NNR),</w:t>
      </w:r>
      <w:r w:rsidR="004B23F1">
        <w:rPr>
          <w:lang w:eastAsia="sv-SE"/>
        </w:rPr>
        <w:t xml:space="preserve"> Sveriges K</w:t>
      </w:r>
      <w:r w:rsidR="008D4779">
        <w:rPr>
          <w:lang w:eastAsia="sv-SE"/>
        </w:rPr>
        <w:t xml:space="preserve">ommuner och </w:t>
      </w:r>
      <w:r w:rsidR="004B23F1">
        <w:rPr>
          <w:lang w:eastAsia="sv-SE"/>
        </w:rPr>
        <w:t>R</w:t>
      </w:r>
      <w:r w:rsidR="008D4779">
        <w:rPr>
          <w:lang w:eastAsia="sv-SE"/>
        </w:rPr>
        <w:t>egioner</w:t>
      </w:r>
      <w:r>
        <w:rPr>
          <w:lang w:eastAsia="sv-SE"/>
        </w:rPr>
        <w:t xml:space="preserve"> </w:t>
      </w:r>
      <w:r w:rsidR="008D4779">
        <w:rPr>
          <w:lang w:eastAsia="sv-SE"/>
        </w:rPr>
        <w:t>(</w:t>
      </w:r>
      <w:r>
        <w:rPr>
          <w:lang w:eastAsia="sv-SE"/>
        </w:rPr>
        <w:t>SKR</w:t>
      </w:r>
      <w:r w:rsidR="008D4779">
        <w:rPr>
          <w:lang w:eastAsia="sv-SE"/>
        </w:rPr>
        <w:t>)</w:t>
      </w:r>
      <w:r>
        <w:rPr>
          <w:lang w:eastAsia="sv-SE"/>
        </w:rPr>
        <w:t xml:space="preserve"> och till ett urval berörda myndigheter, kommuner, företag och andra organisationer.</w:t>
      </w:r>
    </w:p>
    <w:p w14:paraId="5352F297" w14:textId="77777777" w:rsidR="00B16401" w:rsidRPr="004428F0" w:rsidRDefault="00B16401" w:rsidP="004428F0">
      <w:pPr>
        <w:pStyle w:val="Brdtext"/>
        <w:rPr>
          <w:lang w:eastAsia="sv-SE"/>
        </w:rPr>
      </w:pPr>
    </w:p>
    <w:p w14:paraId="63A452BC" w14:textId="00DA4D88" w:rsidR="002301BD" w:rsidRDefault="00D47704" w:rsidP="00D47704">
      <w:pPr>
        <w:pStyle w:val="Rubrik1"/>
      </w:pPr>
      <w:r>
        <w:t>Uppföljning och utvärdering</w:t>
      </w:r>
    </w:p>
    <w:p w14:paraId="51DD002B" w14:textId="19E7A125" w:rsidR="001F740E" w:rsidRDefault="001F740E" w:rsidP="004428F0">
      <w:pPr>
        <w:pStyle w:val="Brdtext"/>
      </w:pPr>
      <w:r w:rsidRPr="001F740E">
        <w:t>Konsekvens</w:t>
      </w:r>
      <w:r>
        <w:t>erna av f</w:t>
      </w:r>
      <w:r w:rsidRPr="001F740E">
        <w:t>öreskrifterna kommer att följas upp och utvärderas löpande i takt med att de träder i</w:t>
      </w:r>
      <w:r w:rsidR="009C7616">
        <w:t xml:space="preserve"> </w:t>
      </w:r>
      <w:r w:rsidRPr="001F740E">
        <w:t xml:space="preserve">kraft och tillämpas. Vidare kommer föreskrifterna att ingå i det uppföljnings- och utvärderingsarbete som i övrigt görs i enlighet med </w:t>
      </w:r>
      <w:r w:rsidR="00652F54">
        <w:t>Folkhälso</w:t>
      </w:r>
      <w:r w:rsidRPr="001F740E">
        <w:t>myndighetens plan för sådant arbete.</w:t>
      </w:r>
    </w:p>
    <w:p w14:paraId="33401449" w14:textId="77777777" w:rsidR="002F6B62" w:rsidRPr="001F740E" w:rsidRDefault="002F6B62" w:rsidP="004428F0">
      <w:pPr>
        <w:pStyle w:val="Brdtext"/>
      </w:pPr>
    </w:p>
    <w:p w14:paraId="3206E185" w14:textId="77777777" w:rsidR="002301BD" w:rsidRPr="00306A8D" w:rsidRDefault="002301BD" w:rsidP="003810FD">
      <w:pPr>
        <w:pStyle w:val="Rubrik1"/>
        <w:rPr>
          <w:rFonts w:eastAsia="Times New Roman"/>
          <w:lang w:eastAsia="sv-SE"/>
        </w:rPr>
      </w:pPr>
      <w:r>
        <w:rPr>
          <w:sz w:val="28"/>
          <w:szCs w:val="28"/>
        </w:rPr>
        <w:t xml:space="preserve"> </w:t>
      </w:r>
      <w:r w:rsidRPr="00306A8D">
        <w:rPr>
          <w:rFonts w:eastAsia="Times New Roman"/>
          <w:lang w:eastAsia="sv-SE"/>
        </w:rPr>
        <w:t>Kontaktperson</w:t>
      </w:r>
      <w:r w:rsidR="001A3BD3">
        <w:rPr>
          <w:rFonts w:eastAsia="Times New Roman"/>
          <w:lang w:eastAsia="sv-SE"/>
        </w:rPr>
        <w:t>er</w:t>
      </w:r>
    </w:p>
    <w:p w14:paraId="4D068262" w14:textId="77777777" w:rsidR="002301BD" w:rsidRPr="00B678E9" w:rsidRDefault="002301BD" w:rsidP="002301BD">
      <w:pPr>
        <w:rPr>
          <w:rFonts w:ascii="Arial" w:hAnsi="Arial" w:cs="Arial"/>
          <w:b/>
        </w:rPr>
      </w:pPr>
      <w:r>
        <w:rPr>
          <w:rFonts w:ascii="Arial" w:hAnsi="Arial" w:cs="Arial"/>
          <w:b/>
        </w:rPr>
        <w:t>Ange vem som kan kontaktas vid eventuella frågor</w:t>
      </w:r>
      <w:r>
        <w:rPr>
          <w:rFonts w:ascii="Arial" w:hAnsi="Arial" w:cs="Arial"/>
          <w:b/>
        </w:rPr>
        <w:br/>
      </w:r>
    </w:p>
    <w:bookmarkEnd w:id="7"/>
    <w:p w14:paraId="0DC4C5FE" w14:textId="7C001982" w:rsidR="001A3BD3" w:rsidRDefault="00EE30AF" w:rsidP="006C7A24">
      <w:r>
        <w:t xml:space="preserve">Ola Assarsson, </w:t>
      </w:r>
      <w:hyperlink r:id="rId11" w:history="1">
        <w:r w:rsidR="002E23FE" w:rsidRPr="00330AEC">
          <w:rPr>
            <w:rStyle w:val="Hyperlnk"/>
          </w:rPr>
          <w:t>ola.assarsson@folkhalsomyndigheten.se</w:t>
        </w:r>
      </w:hyperlink>
      <w:r w:rsidR="002E23FE">
        <w:t xml:space="preserve">, </w:t>
      </w:r>
      <w:r w:rsidR="00887B23">
        <w:t>0</w:t>
      </w:r>
      <w:r w:rsidR="00887B23" w:rsidRPr="00887B23">
        <w:t>10-205 25 79</w:t>
      </w:r>
    </w:p>
    <w:p w14:paraId="7F2C9E6B" w14:textId="6EE6DFCF" w:rsidR="008D4779" w:rsidRDefault="00EE30AF" w:rsidP="006C7A24">
      <w:r>
        <w:t xml:space="preserve">Janini Edvinsson, </w:t>
      </w:r>
      <w:hyperlink r:id="rId12" w:history="1">
        <w:r w:rsidR="002E23FE" w:rsidRPr="00330AEC">
          <w:rPr>
            <w:rStyle w:val="Hyperlnk"/>
          </w:rPr>
          <w:t>janini.edvinsson@folkhalsomyndigheten.se</w:t>
        </w:r>
      </w:hyperlink>
      <w:r w:rsidR="002E23FE">
        <w:t xml:space="preserve">, </w:t>
      </w:r>
      <w:r w:rsidR="00887B23">
        <w:t>0</w:t>
      </w:r>
      <w:r w:rsidR="00887B23" w:rsidRPr="00887B23">
        <w:t>10-205 20 42</w:t>
      </w:r>
    </w:p>
    <w:p w14:paraId="0E49C4D5" w14:textId="503B7B45" w:rsidR="00236D57" w:rsidRPr="002301BD" w:rsidRDefault="000162FF" w:rsidP="006C7A24">
      <w:r>
        <w:t xml:space="preserve">Ulf Bergsten, </w:t>
      </w:r>
      <w:hyperlink r:id="rId13" w:history="1">
        <w:r w:rsidR="002E23FE" w:rsidRPr="00330AEC">
          <w:rPr>
            <w:rStyle w:val="Hyperlnk"/>
          </w:rPr>
          <w:t>ulf.bergsten@folkhalsomyndigheten.se</w:t>
        </w:r>
      </w:hyperlink>
      <w:r w:rsidR="002E23FE">
        <w:t xml:space="preserve">, </w:t>
      </w:r>
      <w:r w:rsidR="00887B23">
        <w:t xml:space="preserve"> </w:t>
      </w:r>
      <w:r w:rsidR="001477F7">
        <w:t>0</w:t>
      </w:r>
      <w:r w:rsidR="00887B23" w:rsidRPr="00887B23">
        <w:t>10-205 22 01</w:t>
      </w:r>
    </w:p>
    <w:sectPr w:rsidR="00236D57" w:rsidRPr="002301BD" w:rsidSect="00AF37EC">
      <w:headerReference w:type="default" r:id="rId14"/>
      <w:footerReference w:type="default" r:id="rId15"/>
      <w:headerReference w:type="first" r:id="rId16"/>
      <w:footerReference w:type="first" r:id="rId17"/>
      <w:pgSz w:w="11906" w:h="16838" w:code="9"/>
      <w:pgMar w:top="1701" w:right="1418" w:bottom="2552" w:left="1985" w:header="34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3A0C" w14:textId="77777777" w:rsidR="0010247B" w:rsidRDefault="0010247B" w:rsidP="001A1FDF">
      <w:r>
        <w:separator/>
      </w:r>
    </w:p>
  </w:endnote>
  <w:endnote w:type="continuationSeparator" w:id="0">
    <w:p w14:paraId="0F566B3A" w14:textId="77777777" w:rsidR="0010247B" w:rsidRDefault="0010247B" w:rsidP="001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2190"/>
      <w:gridCol w:w="57"/>
    </w:tblGrid>
    <w:tr w:rsidR="0010247B" w14:paraId="4F95213F" w14:textId="77777777" w:rsidTr="0016661E">
      <w:trPr>
        <w:trHeight w:hRule="exact" w:val="57"/>
      </w:trPr>
      <w:tc>
        <w:tcPr>
          <w:tcW w:w="8427" w:type="dxa"/>
          <w:gridSpan w:val="3"/>
          <w:tcBorders>
            <w:bottom w:val="single" w:sz="8" w:space="0" w:color="F8F8F8" w:themeColor="background2"/>
          </w:tcBorders>
        </w:tcPr>
        <w:p w14:paraId="1FC7D077" w14:textId="77777777" w:rsidR="0010247B" w:rsidRDefault="0010247B" w:rsidP="00987BD9">
          <w:pPr>
            <w:pStyle w:val="Sidfot"/>
            <w:rPr>
              <w:b/>
              <w:bCs/>
            </w:rPr>
          </w:pPr>
          <w:bookmarkStart w:id="15" w:name="bkmFooter2"/>
        </w:p>
      </w:tc>
    </w:tr>
    <w:tr w:rsidR="0010247B" w14:paraId="308ED640" w14:textId="77777777" w:rsidTr="00886987">
      <w:trPr>
        <w:gridAfter w:val="1"/>
        <w:wAfter w:w="57" w:type="dxa"/>
        <w:trHeight w:hRule="exact" w:val="45"/>
      </w:trPr>
      <w:tc>
        <w:tcPr>
          <w:tcW w:w="6180" w:type="dxa"/>
          <w:tcBorders>
            <w:bottom w:val="single" w:sz="8" w:space="0" w:color="0065AC" w:themeColor="text2"/>
          </w:tcBorders>
        </w:tcPr>
        <w:p w14:paraId="27295AAF" w14:textId="77777777" w:rsidR="0010247B" w:rsidRDefault="0010247B" w:rsidP="00987BD9">
          <w:pPr>
            <w:pStyle w:val="Sidfot"/>
            <w:rPr>
              <w:b/>
              <w:bCs/>
            </w:rPr>
          </w:pPr>
        </w:p>
      </w:tc>
      <w:tc>
        <w:tcPr>
          <w:tcW w:w="2190" w:type="dxa"/>
        </w:tcPr>
        <w:p w14:paraId="7888BB85" w14:textId="77777777" w:rsidR="0010247B" w:rsidRDefault="0010247B" w:rsidP="00987BD9">
          <w:pPr>
            <w:pStyle w:val="Sidfot"/>
            <w:rPr>
              <w:b/>
              <w:bCs/>
            </w:rPr>
          </w:pPr>
        </w:p>
      </w:tc>
    </w:tr>
    <w:tr w:rsidR="0010247B" w14:paraId="061E4BA7" w14:textId="77777777" w:rsidTr="001B6DFE">
      <w:trPr>
        <w:trHeight w:hRule="exact" w:val="130"/>
      </w:trPr>
      <w:tc>
        <w:tcPr>
          <w:tcW w:w="8427" w:type="dxa"/>
          <w:gridSpan w:val="3"/>
        </w:tcPr>
        <w:p w14:paraId="72BE35AE" w14:textId="77777777" w:rsidR="0010247B" w:rsidRPr="0026620D" w:rsidRDefault="0010247B" w:rsidP="00987BD9">
          <w:pPr>
            <w:pStyle w:val="Sidfot"/>
            <w:rPr>
              <w:b/>
              <w:bCs/>
            </w:rPr>
          </w:pPr>
        </w:p>
      </w:tc>
    </w:tr>
    <w:tr w:rsidR="0010247B" w14:paraId="0CC1DDBB" w14:textId="77777777" w:rsidTr="00A80EC7">
      <w:tc>
        <w:tcPr>
          <w:tcW w:w="8427" w:type="dxa"/>
          <w:gridSpan w:val="3"/>
        </w:tcPr>
        <w:p w14:paraId="5348E776" w14:textId="77777777" w:rsidR="0010247B" w:rsidRDefault="0010247B" w:rsidP="0026620D">
          <w:pPr>
            <w:pStyle w:val="Sidfot"/>
          </w:pPr>
          <w:r>
            <w:rPr>
              <w:b/>
              <w:bCs/>
            </w:rPr>
            <w:t>Solna</w:t>
          </w:r>
          <w:r>
            <w:t xml:space="preserve"> </w:t>
          </w:r>
          <w:r w:rsidRPr="00987BD9">
            <w:rPr>
              <w:rStyle w:val="SidfotChar"/>
            </w:rPr>
            <w:t>Folkhälsomyndigheten</w:t>
          </w:r>
          <w:r>
            <w:t xml:space="preserve">, SE-171 82 Solna. Besök: Nobels väg 18. </w:t>
          </w:r>
          <w:r>
            <w:rPr>
              <w:b/>
              <w:bCs/>
            </w:rPr>
            <w:t xml:space="preserve">Östersund </w:t>
          </w:r>
          <w:r>
            <w:t>Folkhälsomyndigheten, SE-831 40 Östersund. Besök: Forskarens väg 3.</w:t>
          </w:r>
        </w:p>
        <w:p w14:paraId="2EE470A3" w14:textId="77777777" w:rsidR="0010247B" w:rsidRDefault="0010247B" w:rsidP="0026620D">
          <w:pPr>
            <w:pStyle w:val="Sidfot"/>
            <w:rPr>
              <w:b/>
              <w:bCs/>
            </w:rPr>
          </w:pPr>
          <w:r w:rsidRPr="00A80EC7">
            <w:rPr>
              <w:b/>
            </w:rPr>
            <w:t>Telefon</w:t>
          </w:r>
          <w:r>
            <w:t xml:space="preserve"> 010-205 20 00 </w:t>
          </w:r>
          <w:r>
            <w:rPr>
              <w:b/>
              <w:bCs/>
            </w:rPr>
            <w:t xml:space="preserve">E-post </w:t>
          </w:r>
          <w:r>
            <w:t xml:space="preserve">info@folkhalsomyndigheten.se </w:t>
          </w:r>
          <w:hyperlink r:id="rId1" w:history="1">
            <w:r w:rsidRPr="00A80EC7">
              <w:rPr>
                <w:b/>
              </w:rPr>
              <w:t>www.folkhalsomyndigheten.se</w:t>
            </w:r>
          </w:hyperlink>
        </w:p>
      </w:tc>
    </w:tr>
    <w:bookmarkEnd w:id="15"/>
  </w:tbl>
  <w:p w14:paraId="04641179" w14:textId="77777777" w:rsidR="0010247B" w:rsidRDefault="0010247B" w:rsidP="00987B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2190"/>
      <w:gridCol w:w="57"/>
    </w:tblGrid>
    <w:tr w:rsidR="0010247B" w14:paraId="3E9042EF" w14:textId="77777777" w:rsidTr="0016661E">
      <w:trPr>
        <w:trHeight w:hRule="exact" w:val="57"/>
      </w:trPr>
      <w:tc>
        <w:tcPr>
          <w:tcW w:w="8427" w:type="dxa"/>
          <w:gridSpan w:val="3"/>
          <w:tcBorders>
            <w:bottom w:val="single" w:sz="8" w:space="0" w:color="F8F8F8" w:themeColor="background2"/>
          </w:tcBorders>
        </w:tcPr>
        <w:p w14:paraId="43235C14" w14:textId="77777777" w:rsidR="0010247B" w:rsidRDefault="0010247B" w:rsidP="000816EA">
          <w:pPr>
            <w:pStyle w:val="Sidfot"/>
            <w:rPr>
              <w:b/>
              <w:bCs/>
            </w:rPr>
          </w:pPr>
          <w:bookmarkStart w:id="17" w:name="bkmFooter"/>
        </w:p>
      </w:tc>
    </w:tr>
    <w:tr w:rsidR="0010247B" w14:paraId="1E979740" w14:textId="77777777" w:rsidTr="00886987">
      <w:trPr>
        <w:gridAfter w:val="1"/>
        <w:wAfter w:w="57" w:type="dxa"/>
        <w:trHeight w:hRule="exact" w:val="45"/>
      </w:trPr>
      <w:tc>
        <w:tcPr>
          <w:tcW w:w="6180" w:type="dxa"/>
          <w:tcBorders>
            <w:bottom w:val="single" w:sz="8" w:space="0" w:color="0065AC" w:themeColor="text2"/>
          </w:tcBorders>
        </w:tcPr>
        <w:p w14:paraId="3F64923B" w14:textId="77777777" w:rsidR="0010247B" w:rsidRDefault="0010247B" w:rsidP="000816EA">
          <w:pPr>
            <w:pStyle w:val="Sidfot"/>
            <w:rPr>
              <w:b/>
              <w:bCs/>
            </w:rPr>
          </w:pPr>
        </w:p>
      </w:tc>
      <w:tc>
        <w:tcPr>
          <w:tcW w:w="2190" w:type="dxa"/>
        </w:tcPr>
        <w:p w14:paraId="104ABF3F" w14:textId="77777777" w:rsidR="0010247B" w:rsidRDefault="0010247B" w:rsidP="000816EA">
          <w:pPr>
            <w:pStyle w:val="Sidfot"/>
            <w:rPr>
              <w:b/>
              <w:bCs/>
            </w:rPr>
          </w:pPr>
        </w:p>
      </w:tc>
    </w:tr>
    <w:tr w:rsidR="0010247B" w14:paraId="5B702EB6" w14:textId="77777777" w:rsidTr="001B6DFE">
      <w:trPr>
        <w:trHeight w:hRule="exact" w:val="130"/>
      </w:trPr>
      <w:tc>
        <w:tcPr>
          <w:tcW w:w="8427" w:type="dxa"/>
          <w:gridSpan w:val="3"/>
        </w:tcPr>
        <w:p w14:paraId="3892310A" w14:textId="77777777" w:rsidR="0010247B" w:rsidRPr="0026620D" w:rsidRDefault="0010247B" w:rsidP="000816EA">
          <w:pPr>
            <w:pStyle w:val="Sidfot"/>
            <w:rPr>
              <w:b/>
              <w:bCs/>
            </w:rPr>
          </w:pPr>
        </w:p>
      </w:tc>
    </w:tr>
    <w:tr w:rsidR="0010247B" w14:paraId="09F1FA59" w14:textId="77777777" w:rsidTr="0029032F">
      <w:tc>
        <w:tcPr>
          <w:tcW w:w="8427" w:type="dxa"/>
          <w:gridSpan w:val="3"/>
        </w:tcPr>
        <w:p w14:paraId="79BCF366" w14:textId="77777777" w:rsidR="0010247B" w:rsidRDefault="0010247B" w:rsidP="000816EA">
          <w:pPr>
            <w:pStyle w:val="Sidfot"/>
          </w:pPr>
          <w:r>
            <w:rPr>
              <w:b/>
              <w:bCs/>
            </w:rPr>
            <w:t>Solna</w:t>
          </w:r>
          <w:r>
            <w:t xml:space="preserve"> </w:t>
          </w:r>
          <w:r w:rsidRPr="00987BD9">
            <w:rPr>
              <w:rStyle w:val="SidfotChar"/>
            </w:rPr>
            <w:t>Folkhälsomyndigheten</w:t>
          </w:r>
          <w:r>
            <w:t xml:space="preserve">, SE-171 82 Solna. Besök: Nobels väg 18. </w:t>
          </w:r>
          <w:r>
            <w:rPr>
              <w:b/>
              <w:bCs/>
            </w:rPr>
            <w:t xml:space="preserve">Östersund </w:t>
          </w:r>
          <w:r>
            <w:t>Folkhälsomyndigheten, SE-831 40 Östersund. Besök: Forskarens väg 3.</w:t>
          </w:r>
        </w:p>
        <w:p w14:paraId="60D296D9" w14:textId="77777777" w:rsidR="0010247B" w:rsidRDefault="0010247B" w:rsidP="000816EA">
          <w:pPr>
            <w:pStyle w:val="Sidfot"/>
            <w:rPr>
              <w:b/>
              <w:bCs/>
            </w:rPr>
          </w:pPr>
          <w:r w:rsidRPr="00A80EC7">
            <w:rPr>
              <w:b/>
            </w:rPr>
            <w:t>Telefon</w:t>
          </w:r>
          <w:r>
            <w:t xml:space="preserve"> 010-205 20 00 </w:t>
          </w:r>
          <w:r>
            <w:rPr>
              <w:b/>
              <w:bCs/>
            </w:rPr>
            <w:t xml:space="preserve">E-post </w:t>
          </w:r>
          <w:r>
            <w:t xml:space="preserve">info@folkhalsomyndigheten.se </w:t>
          </w:r>
          <w:hyperlink r:id="rId1" w:history="1">
            <w:r w:rsidRPr="00A80EC7">
              <w:rPr>
                <w:b/>
              </w:rPr>
              <w:t>www.folkhalsomyndigheten.se</w:t>
            </w:r>
          </w:hyperlink>
        </w:p>
      </w:tc>
    </w:tr>
    <w:bookmarkEnd w:id="17"/>
  </w:tbl>
  <w:p w14:paraId="231DD0F2" w14:textId="77777777" w:rsidR="0010247B" w:rsidRDefault="0010247B" w:rsidP="00081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8E05" w14:textId="77777777" w:rsidR="0010247B" w:rsidRDefault="0010247B" w:rsidP="001A1FDF">
      <w:r>
        <w:separator/>
      </w:r>
    </w:p>
  </w:footnote>
  <w:footnote w:type="continuationSeparator" w:id="0">
    <w:p w14:paraId="7FE3C601" w14:textId="77777777" w:rsidR="0010247B" w:rsidRDefault="0010247B" w:rsidP="001A1FDF">
      <w:r>
        <w:continuationSeparator/>
      </w:r>
    </w:p>
  </w:footnote>
  <w:footnote w:id="1">
    <w:p w14:paraId="0DC81266" w14:textId="77777777" w:rsidR="007B241B" w:rsidRDefault="007B241B" w:rsidP="007B241B">
      <w:pPr>
        <w:pStyle w:val="Fotnotstext"/>
      </w:pPr>
      <w:r>
        <w:rPr>
          <w:rStyle w:val="Fotnotsreferens"/>
        </w:rPr>
        <w:footnoteRef/>
      </w:r>
      <w:r>
        <w:t xml:space="preserve"> Prop. 2021/22:200 s. 121 ff</w:t>
      </w:r>
    </w:p>
  </w:footnote>
  <w:footnote w:id="2">
    <w:p w14:paraId="4770F909" w14:textId="77777777" w:rsidR="0010247B" w:rsidRDefault="0010247B" w:rsidP="00EA157E">
      <w:pPr>
        <w:pStyle w:val="Fotnotstext"/>
      </w:pPr>
      <w:r>
        <w:rPr>
          <w:rStyle w:val="Fotnotsreferens"/>
        </w:rPr>
        <w:footnoteRef/>
      </w:r>
      <w:r>
        <w:t xml:space="preserve"> Ds 1998:43 Utgångspunkter för myndigheternas regelarbete, s.21</w:t>
      </w:r>
    </w:p>
  </w:footnote>
  <w:footnote w:id="3">
    <w:p w14:paraId="46089DDE" w14:textId="77777777" w:rsidR="00A44E07" w:rsidRDefault="00A44E07" w:rsidP="00A44E07">
      <w:pPr>
        <w:rPr>
          <w:i/>
          <w:iCs/>
          <w:color w:val="1F497D"/>
        </w:rPr>
      </w:pPr>
      <w:r>
        <w:rPr>
          <w:rStyle w:val="Fotnotsreferens"/>
        </w:rPr>
        <w:footnoteRef/>
      </w:r>
      <w:r>
        <w:t xml:space="preserve"> </w:t>
      </w:r>
      <w:r w:rsidRPr="001F5E5B">
        <w:rPr>
          <w:iCs/>
          <w:sz w:val="20"/>
          <w:szCs w:val="20"/>
        </w:rPr>
        <w:t>Folkhälsomyndigheten, Nationella folkhälsoenkäten Hälsa på lika villkor 2022</w:t>
      </w:r>
    </w:p>
    <w:p w14:paraId="539D2490" w14:textId="77777777" w:rsidR="00A44E07" w:rsidRDefault="00A44E07" w:rsidP="00A44E07">
      <w:pPr>
        <w:rPr>
          <w:color w:val="1F497D"/>
        </w:rPr>
      </w:pPr>
    </w:p>
    <w:p w14:paraId="4E909D20" w14:textId="77777777" w:rsidR="00A44E07" w:rsidRDefault="00A44E07" w:rsidP="00A44E07">
      <w:pPr>
        <w:pStyle w:val="Fotnotstext"/>
      </w:pPr>
    </w:p>
  </w:footnote>
  <w:footnote w:id="4">
    <w:p w14:paraId="10F9665F" w14:textId="77777777" w:rsidR="0010247B" w:rsidRDefault="0010247B" w:rsidP="005C7F10">
      <w:pPr>
        <w:pStyle w:val="Fotnotstext"/>
      </w:pPr>
      <w:r>
        <w:rPr>
          <w:rStyle w:val="Fotnotsreferens"/>
        </w:rPr>
        <w:footnoteRef/>
      </w:r>
      <w:r>
        <w:t xml:space="preserve"> Prop. 2021/22:200, s.245</w:t>
      </w:r>
    </w:p>
  </w:footnote>
  <w:footnote w:id="5">
    <w:p w14:paraId="10FB599C" w14:textId="77777777" w:rsidR="00E76AEB" w:rsidRDefault="00E76AEB" w:rsidP="00E76AEB">
      <w:pPr>
        <w:pStyle w:val="Fotnotstext"/>
      </w:pPr>
      <w:r>
        <w:rPr>
          <w:rStyle w:val="Fotnotsreferens"/>
        </w:rPr>
        <w:footnoteRef/>
      </w:r>
      <w:r>
        <w:t xml:space="preserve"> A.a., s. 251</w:t>
      </w:r>
    </w:p>
  </w:footnote>
  <w:footnote w:id="6">
    <w:p w14:paraId="315E5075" w14:textId="77777777" w:rsidR="00E76AEB" w:rsidRDefault="00E76AEB" w:rsidP="00E76AEB">
      <w:pPr>
        <w:pStyle w:val="Fotnotstext"/>
      </w:pPr>
      <w:r>
        <w:rPr>
          <w:rStyle w:val="Fotnotsreferens"/>
        </w:rPr>
        <w:footnoteRef/>
      </w:r>
      <w:r>
        <w:t xml:space="preserve"> Europaparlamentets och rådets direktiv 2014/40/eu av den 3 april 2014 om tillnärmning av medlemsstaternas lagar och andra författningar om tillverkning, presentation och försäljning av tobaksvaror och relaterade produkter </w:t>
      </w:r>
      <w:r w:rsidRPr="00625E26">
        <w:t>och om upphävande av direktiv 2001/37/EG.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4"/>
      <w:gridCol w:w="6690"/>
    </w:tblGrid>
    <w:tr w:rsidR="0010247B" w14:paraId="6F348D62" w14:textId="77777777" w:rsidTr="00334A4B">
      <w:tc>
        <w:tcPr>
          <w:tcW w:w="1814" w:type="dxa"/>
        </w:tcPr>
        <w:p w14:paraId="6D2F9EE3" w14:textId="77777777" w:rsidR="0010247B" w:rsidRDefault="0010247B" w:rsidP="003D608B">
          <w:pPr>
            <w:pStyle w:val="KontaktuppgiftRub"/>
          </w:pPr>
          <w:bookmarkStart w:id="8" w:name="bkmVårtÄrendeNr2H"/>
          <w:bookmarkStart w:id="9" w:name="bkmVårtÄrendeNr2Delete"/>
          <w:r>
            <w:t>Vårt ärendenummer</w:t>
          </w:r>
          <w:bookmarkEnd w:id="8"/>
        </w:p>
        <w:p w14:paraId="34EE0C91" w14:textId="134D620E" w:rsidR="0010247B" w:rsidRDefault="004D42A2" w:rsidP="001431E2">
          <w:pPr>
            <w:pStyle w:val="KontaktuppgiftRub"/>
          </w:pPr>
          <w:bookmarkStart w:id="10" w:name="bkmVårtÄrendeNr2"/>
          <w:r w:rsidRPr="002263E8">
            <w:rPr>
              <w:b w:val="0"/>
            </w:rPr>
            <w:t>04320-2022</w:t>
          </w:r>
          <w:bookmarkStart w:id="11" w:name="bkmErtÄrendeNr2H"/>
          <w:bookmarkStart w:id="12" w:name="bkmErtÄrendeNr2Delete"/>
          <w:bookmarkEnd w:id="10"/>
          <w:bookmarkEnd w:id="9"/>
          <w:bookmarkEnd w:id="11"/>
        </w:p>
        <w:p w14:paraId="2B64F623" w14:textId="77777777" w:rsidR="0010247B" w:rsidRPr="003D608B" w:rsidRDefault="0010247B" w:rsidP="003D608B">
          <w:pPr>
            <w:pStyle w:val="Kontaktuppgift"/>
          </w:pPr>
          <w:bookmarkStart w:id="13" w:name="bkmErtÄrendeNr2"/>
          <w:bookmarkEnd w:id="12"/>
          <w:bookmarkEnd w:id="13"/>
        </w:p>
      </w:tc>
      <w:tc>
        <w:tcPr>
          <w:tcW w:w="6690" w:type="dxa"/>
        </w:tcPr>
        <w:p w14:paraId="5B435FED" w14:textId="77777777" w:rsidR="0010247B" w:rsidRDefault="0010247B" w:rsidP="003D608B">
          <w:pPr>
            <w:pStyle w:val="KontaktuppgiftRub"/>
          </w:pPr>
          <w:bookmarkStart w:id="14" w:name="bkmPageH2"/>
          <w:r>
            <w:t>Sida</w:t>
          </w:r>
          <w:bookmarkEnd w:id="14"/>
        </w:p>
        <w:p w14:paraId="42C3DE50" w14:textId="0D96697B" w:rsidR="0010247B" w:rsidRDefault="0010247B" w:rsidP="003D608B">
          <w:pPr>
            <w:pStyle w:val="Kontaktuppgift"/>
          </w:pPr>
          <w:r>
            <w:fldChar w:fldCharType="begin"/>
          </w:r>
          <w:r>
            <w:instrText xml:space="preserve">PAGE </w:instrText>
          </w:r>
          <w:r>
            <w:fldChar w:fldCharType="separate"/>
          </w:r>
          <w:r w:rsidR="00C13A09">
            <w:t>15</w:t>
          </w:r>
          <w:r>
            <w:fldChar w:fldCharType="end"/>
          </w:r>
          <w:r>
            <w:t xml:space="preserve"> (</w:t>
          </w:r>
          <w:r>
            <w:fldChar w:fldCharType="begin"/>
          </w:r>
          <w:r>
            <w:instrText xml:space="preserve"> NUMPAGES </w:instrText>
          </w:r>
          <w:r>
            <w:fldChar w:fldCharType="separate"/>
          </w:r>
          <w:r w:rsidR="00C13A09">
            <w:t>15</w:t>
          </w:r>
          <w:r>
            <w:fldChar w:fldCharType="end"/>
          </w:r>
          <w:r>
            <w:t>)</w:t>
          </w:r>
        </w:p>
      </w:tc>
    </w:tr>
  </w:tbl>
  <w:p w14:paraId="4E20DF23" w14:textId="77777777" w:rsidR="0010247B" w:rsidRDefault="0010247B" w:rsidP="00B048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A58" w14:textId="77777777" w:rsidR="0010247B" w:rsidRDefault="0010247B" w:rsidP="00B048D6">
    <w:pPr>
      <w:pStyle w:val="Sidhuvud"/>
      <w:tabs>
        <w:tab w:val="clear" w:pos="3969"/>
        <w:tab w:val="center" w:pos="3976"/>
      </w:tabs>
    </w:pPr>
    <w:r>
      <w:tab/>
    </w:r>
    <w:bookmarkStart w:id="16" w:name="bkmLogo"/>
    <w:r>
      <w:rPr>
        <w:lang w:eastAsia="sv-SE"/>
      </w:rPr>
      <w:drawing>
        <wp:inline distT="0" distB="0" distL="0" distR="0" wp14:anchorId="5ADFD13E" wp14:editId="576B0F30">
          <wp:extent cx="1345263" cy="90000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khalsomyndigheten_cent_RGB SVE (Word).emf"/>
                  <pic:cNvPicPr/>
                </pic:nvPicPr>
                <pic:blipFill>
                  <a:blip r:embed="rId1">
                    <a:extLst>
                      <a:ext uri="{28A0092B-C50C-407E-A947-70E740481C1C}">
                        <a14:useLocalDpi xmlns:a14="http://schemas.microsoft.com/office/drawing/2010/main" val="0"/>
                      </a:ext>
                    </a:extLst>
                  </a:blip>
                  <a:stretch>
                    <a:fillRect/>
                  </a:stretch>
                </pic:blipFill>
                <pic:spPr>
                  <a:xfrm>
                    <a:off x="0" y="0"/>
                    <a:ext cx="1345263" cy="900000"/>
                  </a:xfrm>
                  <a:prstGeom prst="rect">
                    <a:avLst/>
                  </a:prstGeom>
                </pic:spPr>
              </pic:pic>
            </a:graphicData>
          </a:graphic>
        </wp:inline>
      </w:drawing>
    </w:r>
    <w:bookmarkEnd w:id="16"/>
  </w:p>
  <w:p w14:paraId="0D794869" w14:textId="77777777" w:rsidR="0010247B" w:rsidRDefault="0010247B" w:rsidP="00B048D6">
    <w:pPr>
      <w:pStyle w:val="Sidhuvud"/>
      <w:tabs>
        <w:tab w:val="clear" w:pos="3969"/>
        <w:tab w:val="center" w:pos="3976"/>
      </w:tabs>
    </w:pPr>
  </w:p>
  <w:p w14:paraId="00DB9E98" w14:textId="77777777" w:rsidR="0010247B" w:rsidRDefault="0010247B" w:rsidP="00B048D6">
    <w:pPr>
      <w:pStyle w:val="Sidhuvud"/>
      <w:tabs>
        <w:tab w:val="clear" w:pos="3969"/>
        <w:tab w:val="center" w:pos="3976"/>
      </w:tabs>
    </w:pPr>
  </w:p>
  <w:p w14:paraId="045FD469" w14:textId="77777777" w:rsidR="0010247B" w:rsidRDefault="0010247B" w:rsidP="00B048D6">
    <w:pPr>
      <w:pStyle w:val="Sidhuvud"/>
      <w:tabs>
        <w:tab w:val="clear" w:pos="3969"/>
        <w:tab w:val="center" w:pos="3976"/>
      </w:tabs>
    </w:pPr>
  </w:p>
  <w:p w14:paraId="6B64738B" w14:textId="77777777" w:rsidR="0010247B" w:rsidRDefault="0010247B" w:rsidP="00B048D6">
    <w:pPr>
      <w:pStyle w:val="Sidhuvud"/>
      <w:tabs>
        <w:tab w:val="clear" w:pos="3969"/>
        <w:tab w:val="center" w:pos="39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D8FEE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99CA1E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C440E3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349B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6D6540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2E0E2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665E53"/>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7" w15:restartNumberingAfterBreak="0">
    <w:nsid w:val="01DE3D79"/>
    <w:multiLevelType w:val="hybridMultilevel"/>
    <w:tmpl w:val="139CA5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9162F17"/>
    <w:multiLevelType w:val="multilevel"/>
    <w:tmpl w:val="72FEFA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BB3100C"/>
    <w:multiLevelType w:val="multilevel"/>
    <w:tmpl w:val="A1688F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CAA0A50"/>
    <w:multiLevelType w:val="hybridMultilevel"/>
    <w:tmpl w:val="A0FA0C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BF2F73"/>
    <w:multiLevelType w:val="multilevel"/>
    <w:tmpl w:val="1E201F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3C0701"/>
    <w:multiLevelType w:val="multilevel"/>
    <w:tmpl w:val="02AAA1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6F2D5C"/>
    <w:multiLevelType w:val="multilevel"/>
    <w:tmpl w:val="FEFE10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1440F0C"/>
    <w:multiLevelType w:val="multilevel"/>
    <w:tmpl w:val="0248D1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4F59F9"/>
    <w:multiLevelType w:val="multilevel"/>
    <w:tmpl w:val="92BE1F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8EC4F6B"/>
    <w:multiLevelType w:val="multilevel"/>
    <w:tmpl w:val="D48CA6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92308B0"/>
    <w:multiLevelType w:val="hybridMultilevel"/>
    <w:tmpl w:val="81FE7360"/>
    <w:lvl w:ilvl="0" w:tplc="A636D8D2">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C633C26"/>
    <w:multiLevelType w:val="hybridMultilevel"/>
    <w:tmpl w:val="E9C4AC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A2876E9"/>
    <w:multiLevelType w:val="multilevel"/>
    <w:tmpl w:val="337434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A703FAC"/>
    <w:multiLevelType w:val="multilevel"/>
    <w:tmpl w:val="7E2276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C324811"/>
    <w:multiLevelType w:val="multilevel"/>
    <w:tmpl w:val="954AC720"/>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14" w:hanging="354"/>
      </w:pPr>
      <w:rPr>
        <w:rFonts w:hint="default"/>
      </w:rPr>
    </w:lvl>
    <w:lvl w:ilvl="2">
      <w:start w:val="1"/>
      <w:numFmt w:val="lowerRoman"/>
      <w:pStyle w:val="Numreradlista3"/>
      <w:lvlText w:val="%3."/>
      <w:lvlJc w:val="left"/>
      <w:pPr>
        <w:ind w:left="1089" w:hanging="37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34391F"/>
    <w:multiLevelType w:val="hybridMultilevel"/>
    <w:tmpl w:val="ABB81CB2"/>
    <w:lvl w:ilvl="0" w:tplc="23969B6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975C1B"/>
    <w:multiLevelType w:val="multilevel"/>
    <w:tmpl w:val="096E0F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86009A"/>
    <w:multiLevelType w:val="multilevel"/>
    <w:tmpl w:val="09D2FC22"/>
    <w:lvl w:ilvl="0">
      <w:start w:val="1"/>
      <w:numFmt w:val="decimal"/>
      <w:lvlText w:val="%1"/>
      <w:lvlJc w:val="left"/>
      <w:pPr>
        <w:ind w:left="432" w:hanging="432"/>
      </w:pPr>
    </w:lvl>
    <w:lvl w:ilvl="1">
      <w:start w:val="1"/>
      <w:numFmt w:val="decimal"/>
      <w:lvlText w:val="%1.%2"/>
      <w:lvlJc w:val="left"/>
      <w:pPr>
        <w:ind w:left="21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2CC02A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26DA4"/>
    <w:multiLevelType w:val="multilevel"/>
    <w:tmpl w:val="07BAA4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BAB61EF"/>
    <w:multiLevelType w:val="hybridMultilevel"/>
    <w:tmpl w:val="474CB1D0"/>
    <w:lvl w:ilvl="0" w:tplc="BB867E7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9D57F2"/>
    <w:multiLevelType w:val="multilevel"/>
    <w:tmpl w:val="37947A72"/>
    <w:lvl w:ilvl="0">
      <w:start w:val="1"/>
      <w:numFmt w:val="decimal"/>
      <w:pStyle w:val="Rubrik1"/>
      <w:lvlText w:val="%1"/>
      <w:lvlJc w:val="left"/>
      <w:pPr>
        <w:ind w:left="432" w:hanging="432"/>
      </w:pPr>
    </w:lvl>
    <w:lvl w:ilvl="1">
      <w:start w:val="1"/>
      <w:numFmt w:val="decimal"/>
      <w:pStyle w:val="Rubrik2"/>
      <w:lvlText w:val="%1.%2"/>
      <w:lvlJc w:val="left"/>
      <w:pPr>
        <w:ind w:left="576" w:hanging="576"/>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862"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3F9905AE"/>
    <w:multiLevelType w:val="multilevel"/>
    <w:tmpl w:val="7DB4E4C0"/>
    <w:lvl w:ilvl="0">
      <w:start w:val="1"/>
      <w:numFmt w:val="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30" w15:restartNumberingAfterBreak="0">
    <w:nsid w:val="3FA27994"/>
    <w:multiLevelType w:val="hybridMultilevel"/>
    <w:tmpl w:val="D932169C"/>
    <w:lvl w:ilvl="0" w:tplc="1910C302">
      <w:start w:val="1"/>
      <w:numFmt w:val="decimal"/>
      <w:lvlText w:val="%1."/>
      <w:lvlJc w:val="left"/>
      <w:pPr>
        <w:ind w:left="720" w:hanging="360"/>
      </w:pPr>
      <w:rPr>
        <w:rFonts w:ascii="Sabon" w:eastAsia="Times New Roman" w:hAnsi="Sabo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0374780"/>
    <w:multiLevelType w:val="hybridMultilevel"/>
    <w:tmpl w:val="72A46E9C"/>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2627889"/>
    <w:multiLevelType w:val="multilevel"/>
    <w:tmpl w:val="FED254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DF91777"/>
    <w:multiLevelType w:val="hybridMultilevel"/>
    <w:tmpl w:val="A926B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43237E"/>
    <w:multiLevelType w:val="hybridMultilevel"/>
    <w:tmpl w:val="C3BA2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2E0291A"/>
    <w:multiLevelType w:val="multilevel"/>
    <w:tmpl w:val="D8F4C8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E0A0C"/>
    <w:multiLevelType w:val="multilevel"/>
    <w:tmpl w:val="EE76DA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4557B47"/>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38" w15:restartNumberingAfterBreak="0">
    <w:nsid w:val="5708283A"/>
    <w:multiLevelType w:val="multilevel"/>
    <w:tmpl w:val="B204D5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A245DB2"/>
    <w:multiLevelType w:val="multilevel"/>
    <w:tmpl w:val="59905B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B7C5D8D"/>
    <w:multiLevelType w:val="multilevel"/>
    <w:tmpl w:val="BE5694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F1F729C"/>
    <w:multiLevelType w:val="multilevel"/>
    <w:tmpl w:val="903818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63225A6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F39E2"/>
    <w:multiLevelType w:val="hybridMultilevel"/>
    <w:tmpl w:val="4A3C2F02"/>
    <w:lvl w:ilvl="0" w:tplc="041D0005">
      <w:start w:val="1"/>
      <w:numFmt w:val="bullet"/>
      <w:lvlText w:val=""/>
      <w:lvlJc w:val="left"/>
      <w:pPr>
        <w:ind w:left="720" w:hanging="360"/>
      </w:pPr>
      <w:rPr>
        <w:rFonts w:ascii="Wingdings" w:hAnsi="Wingdings" w:hint="default"/>
      </w:rPr>
    </w:lvl>
    <w:lvl w:ilvl="1" w:tplc="29449CA8">
      <w:start w:val="2"/>
      <w:numFmt w:val="bullet"/>
      <w:lvlText w:val=""/>
      <w:lvlJc w:val="left"/>
      <w:pPr>
        <w:ind w:left="1212" w:hanging="132"/>
      </w:pPr>
      <w:rPr>
        <w:rFonts w:ascii="Sabon" w:eastAsia="Times New Roman" w:hAnsi="Sabo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16B7916"/>
    <w:multiLevelType w:val="hybridMultilevel"/>
    <w:tmpl w:val="1B40EC5A"/>
    <w:lvl w:ilvl="0" w:tplc="CECE45D2">
      <w:start w:val="1"/>
      <w:numFmt w:val="decimal"/>
      <w:lvlText w:val="%1."/>
      <w:lvlJc w:val="left"/>
      <w:pPr>
        <w:ind w:left="384" w:hanging="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2D1553"/>
    <w:multiLevelType w:val="hybridMultilevel"/>
    <w:tmpl w:val="914A5F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5F458BE"/>
    <w:multiLevelType w:val="multilevel"/>
    <w:tmpl w:val="D9A89FA0"/>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89" w:hanging="37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D565CF"/>
    <w:multiLevelType w:val="multilevel"/>
    <w:tmpl w:val="C07494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BDA4022"/>
    <w:multiLevelType w:val="hybridMultilevel"/>
    <w:tmpl w:val="7B9A39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C8F58EB"/>
    <w:multiLevelType w:val="multilevel"/>
    <w:tmpl w:val="E1A4DB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29813073">
    <w:abstractNumId w:val="4"/>
  </w:num>
  <w:num w:numId="2" w16cid:durableId="1166938967">
    <w:abstractNumId w:val="1"/>
  </w:num>
  <w:num w:numId="3" w16cid:durableId="381558405">
    <w:abstractNumId w:val="0"/>
  </w:num>
  <w:num w:numId="4" w16cid:durableId="749040560">
    <w:abstractNumId w:val="5"/>
  </w:num>
  <w:num w:numId="5" w16cid:durableId="1739135053">
    <w:abstractNumId w:val="3"/>
  </w:num>
  <w:num w:numId="6" w16cid:durableId="1486236775">
    <w:abstractNumId w:val="2"/>
  </w:num>
  <w:num w:numId="7" w16cid:durableId="810908490">
    <w:abstractNumId w:val="21"/>
  </w:num>
  <w:num w:numId="8" w16cid:durableId="607660003">
    <w:abstractNumId w:val="10"/>
  </w:num>
  <w:num w:numId="9" w16cid:durableId="834536062">
    <w:abstractNumId w:val="46"/>
  </w:num>
  <w:num w:numId="10" w16cid:durableId="1839882301">
    <w:abstractNumId w:val="48"/>
  </w:num>
  <w:num w:numId="11" w16cid:durableId="1838035537">
    <w:abstractNumId w:val="34"/>
  </w:num>
  <w:num w:numId="12" w16cid:durableId="1665935523">
    <w:abstractNumId w:val="33"/>
  </w:num>
  <w:num w:numId="13" w16cid:durableId="2125417055">
    <w:abstractNumId w:val="30"/>
  </w:num>
  <w:num w:numId="14" w16cid:durableId="1176725910">
    <w:abstractNumId w:val="18"/>
  </w:num>
  <w:num w:numId="15" w16cid:durableId="757557973">
    <w:abstractNumId w:val="17"/>
  </w:num>
  <w:num w:numId="16" w16cid:durableId="1137652048">
    <w:abstractNumId w:val="45"/>
  </w:num>
  <w:num w:numId="17" w16cid:durableId="320816932">
    <w:abstractNumId w:val="42"/>
  </w:num>
  <w:num w:numId="18" w16cid:durableId="1726180458">
    <w:abstractNumId w:val="25"/>
  </w:num>
  <w:num w:numId="19" w16cid:durableId="895897130">
    <w:abstractNumId w:val="37"/>
  </w:num>
  <w:num w:numId="20" w16cid:durableId="27723739">
    <w:abstractNumId w:val="6"/>
  </w:num>
  <w:num w:numId="21" w16cid:durableId="1386104350">
    <w:abstractNumId w:val="44"/>
  </w:num>
  <w:num w:numId="22" w16cid:durableId="1476143787">
    <w:abstractNumId w:val="36"/>
  </w:num>
  <w:num w:numId="23" w16cid:durableId="77756579">
    <w:abstractNumId w:val="41"/>
  </w:num>
  <w:num w:numId="24" w16cid:durableId="1755466876">
    <w:abstractNumId w:val="26"/>
  </w:num>
  <w:num w:numId="25" w16cid:durableId="1694912866">
    <w:abstractNumId w:val="49"/>
  </w:num>
  <w:num w:numId="26" w16cid:durableId="773864577">
    <w:abstractNumId w:val="32"/>
  </w:num>
  <w:num w:numId="27" w16cid:durableId="212812555">
    <w:abstractNumId w:val="12"/>
  </w:num>
  <w:num w:numId="28" w16cid:durableId="773671341">
    <w:abstractNumId w:val="23"/>
  </w:num>
  <w:num w:numId="29" w16cid:durableId="888882398">
    <w:abstractNumId w:val="14"/>
  </w:num>
  <w:num w:numId="30" w16cid:durableId="1706518036">
    <w:abstractNumId w:val="13"/>
  </w:num>
  <w:num w:numId="31" w16cid:durableId="667178217">
    <w:abstractNumId w:val="9"/>
  </w:num>
  <w:num w:numId="32" w16cid:durableId="1192305199">
    <w:abstractNumId w:val="35"/>
  </w:num>
  <w:num w:numId="33" w16cid:durableId="1973172800">
    <w:abstractNumId w:val="15"/>
  </w:num>
  <w:num w:numId="34" w16cid:durableId="1645888238">
    <w:abstractNumId w:val="47"/>
  </w:num>
  <w:num w:numId="35" w16cid:durableId="1427655026">
    <w:abstractNumId w:val="24"/>
  </w:num>
  <w:num w:numId="36" w16cid:durableId="1839466294">
    <w:abstractNumId w:val="43"/>
  </w:num>
  <w:num w:numId="37" w16cid:durableId="698513646">
    <w:abstractNumId w:val="31"/>
  </w:num>
  <w:num w:numId="38" w16cid:durableId="908199137">
    <w:abstractNumId w:val="40"/>
  </w:num>
  <w:num w:numId="39" w16cid:durableId="1542084452">
    <w:abstractNumId w:val="16"/>
  </w:num>
  <w:num w:numId="40" w16cid:durableId="83065665">
    <w:abstractNumId w:val="20"/>
  </w:num>
  <w:num w:numId="41" w16cid:durableId="18242249">
    <w:abstractNumId w:val="11"/>
  </w:num>
  <w:num w:numId="42" w16cid:durableId="429667180">
    <w:abstractNumId w:val="8"/>
  </w:num>
  <w:num w:numId="43" w16cid:durableId="938021404">
    <w:abstractNumId w:val="19"/>
  </w:num>
  <w:num w:numId="44" w16cid:durableId="1499685664">
    <w:abstractNumId w:val="39"/>
  </w:num>
  <w:num w:numId="45" w16cid:durableId="587689798">
    <w:abstractNumId w:val="38"/>
  </w:num>
  <w:num w:numId="46" w16cid:durableId="384721015">
    <w:abstractNumId w:val="28"/>
  </w:num>
  <w:num w:numId="47" w16cid:durableId="1056775920">
    <w:abstractNumId w:val="7"/>
  </w:num>
  <w:num w:numId="48" w16cid:durableId="19839227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2160749">
    <w:abstractNumId w:val="29"/>
  </w:num>
  <w:num w:numId="50" w16cid:durableId="1450584746">
    <w:abstractNumId w:val="27"/>
  </w:num>
  <w:num w:numId="51" w16cid:durableId="115417781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Arkiv_DokId" w:val="305211"/>
    <w:docVar w:name="DokumentArkiv_DokTyp" w:val="A"/>
    <w:docVar w:name="DokumentArkiv_FamId" w:val="408757"/>
    <w:docVar w:name="DokumentArkiv_FileInApprovalProcess" w:val="0"/>
    <w:docVar w:name="DokumentArkiv_FileName" w:val="Konsekvensutredning - 2022-11-17_final.docx"/>
    <w:docVar w:name="DokumentArkiv_guid" w:val="648ac293-29ed-4b23-ae56-ebdf5f88b91b"/>
    <w:docVar w:name="DokumentArkiv_NameService" w:val="ciceron-app01-p"/>
    <w:docVar w:name="DokumentArkiv_OrigPath" w:val="C:\Users\ylva.glantz\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2301BD"/>
    <w:rsid w:val="00001C0A"/>
    <w:rsid w:val="00003603"/>
    <w:rsid w:val="0000461B"/>
    <w:rsid w:val="00004812"/>
    <w:rsid w:val="00005F0F"/>
    <w:rsid w:val="000110E2"/>
    <w:rsid w:val="000152B6"/>
    <w:rsid w:val="000162FF"/>
    <w:rsid w:val="0001652B"/>
    <w:rsid w:val="0001655E"/>
    <w:rsid w:val="00017F59"/>
    <w:rsid w:val="000246BE"/>
    <w:rsid w:val="00024A1F"/>
    <w:rsid w:val="0002664D"/>
    <w:rsid w:val="000304C8"/>
    <w:rsid w:val="000310F5"/>
    <w:rsid w:val="00033CE1"/>
    <w:rsid w:val="00034C46"/>
    <w:rsid w:val="0003514B"/>
    <w:rsid w:val="00036204"/>
    <w:rsid w:val="000378FC"/>
    <w:rsid w:val="000406BC"/>
    <w:rsid w:val="00041039"/>
    <w:rsid w:val="00042CAB"/>
    <w:rsid w:val="000437D6"/>
    <w:rsid w:val="000445A2"/>
    <w:rsid w:val="00052138"/>
    <w:rsid w:val="00054CDB"/>
    <w:rsid w:val="00055886"/>
    <w:rsid w:val="00056B87"/>
    <w:rsid w:val="000618CE"/>
    <w:rsid w:val="00065A05"/>
    <w:rsid w:val="00065D30"/>
    <w:rsid w:val="000715F1"/>
    <w:rsid w:val="00071692"/>
    <w:rsid w:val="00072C7F"/>
    <w:rsid w:val="000731DD"/>
    <w:rsid w:val="00074EFC"/>
    <w:rsid w:val="000752A5"/>
    <w:rsid w:val="000754AA"/>
    <w:rsid w:val="00075A44"/>
    <w:rsid w:val="00076829"/>
    <w:rsid w:val="000769F3"/>
    <w:rsid w:val="00076BCA"/>
    <w:rsid w:val="00077CE6"/>
    <w:rsid w:val="00080937"/>
    <w:rsid w:val="000816EA"/>
    <w:rsid w:val="00082D37"/>
    <w:rsid w:val="00082FF8"/>
    <w:rsid w:val="000833EB"/>
    <w:rsid w:val="00087E2B"/>
    <w:rsid w:val="00090ADD"/>
    <w:rsid w:val="00092F91"/>
    <w:rsid w:val="000948AE"/>
    <w:rsid w:val="00095D92"/>
    <w:rsid w:val="00097C8D"/>
    <w:rsid w:val="000A12BE"/>
    <w:rsid w:val="000A2EB0"/>
    <w:rsid w:val="000A434C"/>
    <w:rsid w:val="000A46BD"/>
    <w:rsid w:val="000A69D6"/>
    <w:rsid w:val="000A783D"/>
    <w:rsid w:val="000A7F89"/>
    <w:rsid w:val="000B012B"/>
    <w:rsid w:val="000B04AC"/>
    <w:rsid w:val="000B1B90"/>
    <w:rsid w:val="000B5048"/>
    <w:rsid w:val="000B6FCA"/>
    <w:rsid w:val="000B76F4"/>
    <w:rsid w:val="000C2E29"/>
    <w:rsid w:val="000C3690"/>
    <w:rsid w:val="000C4B00"/>
    <w:rsid w:val="000C4F7E"/>
    <w:rsid w:val="000D00AE"/>
    <w:rsid w:val="000D0C3A"/>
    <w:rsid w:val="000D0FCE"/>
    <w:rsid w:val="000D1FDF"/>
    <w:rsid w:val="000D282B"/>
    <w:rsid w:val="000D6DFD"/>
    <w:rsid w:val="000E0929"/>
    <w:rsid w:val="000E15F2"/>
    <w:rsid w:val="000E2C84"/>
    <w:rsid w:val="000E53DD"/>
    <w:rsid w:val="000E794A"/>
    <w:rsid w:val="000F09F7"/>
    <w:rsid w:val="000F333E"/>
    <w:rsid w:val="000F3585"/>
    <w:rsid w:val="000F78C3"/>
    <w:rsid w:val="0010247B"/>
    <w:rsid w:val="00102F9C"/>
    <w:rsid w:val="00105713"/>
    <w:rsid w:val="0010753F"/>
    <w:rsid w:val="0011144D"/>
    <w:rsid w:val="00112CA9"/>
    <w:rsid w:val="00120C40"/>
    <w:rsid w:val="00122C67"/>
    <w:rsid w:val="00124B42"/>
    <w:rsid w:val="00126142"/>
    <w:rsid w:val="00130BAC"/>
    <w:rsid w:val="00135DE1"/>
    <w:rsid w:val="001431E2"/>
    <w:rsid w:val="001435B5"/>
    <w:rsid w:val="0014420D"/>
    <w:rsid w:val="001477F7"/>
    <w:rsid w:val="0015119E"/>
    <w:rsid w:val="00160D48"/>
    <w:rsid w:val="0016661E"/>
    <w:rsid w:val="0017229E"/>
    <w:rsid w:val="00173C8F"/>
    <w:rsid w:val="00181E05"/>
    <w:rsid w:val="00182392"/>
    <w:rsid w:val="001827DE"/>
    <w:rsid w:val="0018626F"/>
    <w:rsid w:val="001901B8"/>
    <w:rsid w:val="001A1FDF"/>
    <w:rsid w:val="001A268B"/>
    <w:rsid w:val="001A3473"/>
    <w:rsid w:val="001A3BD3"/>
    <w:rsid w:val="001A5031"/>
    <w:rsid w:val="001B2F07"/>
    <w:rsid w:val="001B2FFD"/>
    <w:rsid w:val="001B3E95"/>
    <w:rsid w:val="001B4224"/>
    <w:rsid w:val="001B54E8"/>
    <w:rsid w:val="001B6587"/>
    <w:rsid w:val="001B6DFE"/>
    <w:rsid w:val="001B6E7C"/>
    <w:rsid w:val="001B786C"/>
    <w:rsid w:val="001B7B40"/>
    <w:rsid w:val="001C20F4"/>
    <w:rsid w:val="001C26F3"/>
    <w:rsid w:val="001C2D50"/>
    <w:rsid w:val="001D0F19"/>
    <w:rsid w:val="001D143B"/>
    <w:rsid w:val="001D17A2"/>
    <w:rsid w:val="001D4E13"/>
    <w:rsid w:val="001D70C0"/>
    <w:rsid w:val="001D7FF6"/>
    <w:rsid w:val="001E44A5"/>
    <w:rsid w:val="001E50A0"/>
    <w:rsid w:val="001E5441"/>
    <w:rsid w:val="001E68EF"/>
    <w:rsid w:val="001E7DDF"/>
    <w:rsid w:val="001F26EE"/>
    <w:rsid w:val="001F58E4"/>
    <w:rsid w:val="001F5E5B"/>
    <w:rsid w:val="001F740E"/>
    <w:rsid w:val="00201CA7"/>
    <w:rsid w:val="00201EF3"/>
    <w:rsid w:val="00205C12"/>
    <w:rsid w:val="00214AE7"/>
    <w:rsid w:val="00214BD9"/>
    <w:rsid w:val="00216012"/>
    <w:rsid w:val="00220A0C"/>
    <w:rsid w:val="00225FD4"/>
    <w:rsid w:val="002263E8"/>
    <w:rsid w:val="002301BD"/>
    <w:rsid w:val="0023078D"/>
    <w:rsid w:val="00230B96"/>
    <w:rsid w:val="00231B4A"/>
    <w:rsid w:val="00233029"/>
    <w:rsid w:val="00234D19"/>
    <w:rsid w:val="00236D57"/>
    <w:rsid w:val="00237EB9"/>
    <w:rsid w:val="00243948"/>
    <w:rsid w:val="00246E76"/>
    <w:rsid w:val="00247E4C"/>
    <w:rsid w:val="00253D2F"/>
    <w:rsid w:val="0025616C"/>
    <w:rsid w:val="00261FDA"/>
    <w:rsid w:val="0026249D"/>
    <w:rsid w:val="002630C7"/>
    <w:rsid w:val="00264636"/>
    <w:rsid w:val="0026620D"/>
    <w:rsid w:val="00274A38"/>
    <w:rsid w:val="00282E79"/>
    <w:rsid w:val="0028376D"/>
    <w:rsid w:val="00284B58"/>
    <w:rsid w:val="00284E59"/>
    <w:rsid w:val="00285704"/>
    <w:rsid w:val="00287430"/>
    <w:rsid w:val="0029032F"/>
    <w:rsid w:val="0029230A"/>
    <w:rsid w:val="002A0712"/>
    <w:rsid w:val="002A1E8B"/>
    <w:rsid w:val="002A2CA0"/>
    <w:rsid w:val="002A4D1F"/>
    <w:rsid w:val="002A55D7"/>
    <w:rsid w:val="002A59C9"/>
    <w:rsid w:val="002A7E72"/>
    <w:rsid w:val="002B15A9"/>
    <w:rsid w:val="002B4F36"/>
    <w:rsid w:val="002B7D09"/>
    <w:rsid w:val="002C0631"/>
    <w:rsid w:val="002C0C1B"/>
    <w:rsid w:val="002C0D5B"/>
    <w:rsid w:val="002D0002"/>
    <w:rsid w:val="002D4E03"/>
    <w:rsid w:val="002D55E9"/>
    <w:rsid w:val="002D5F98"/>
    <w:rsid w:val="002D6B41"/>
    <w:rsid w:val="002E17DD"/>
    <w:rsid w:val="002E23FE"/>
    <w:rsid w:val="002E2AAC"/>
    <w:rsid w:val="002E6C62"/>
    <w:rsid w:val="002F0A74"/>
    <w:rsid w:val="002F0EC4"/>
    <w:rsid w:val="002F696B"/>
    <w:rsid w:val="002F6B62"/>
    <w:rsid w:val="00300FD0"/>
    <w:rsid w:val="0030147A"/>
    <w:rsid w:val="00305022"/>
    <w:rsid w:val="00305A7A"/>
    <w:rsid w:val="00306EEF"/>
    <w:rsid w:val="00312C86"/>
    <w:rsid w:val="00314B33"/>
    <w:rsid w:val="00323DE3"/>
    <w:rsid w:val="00324064"/>
    <w:rsid w:val="00325505"/>
    <w:rsid w:val="0032688D"/>
    <w:rsid w:val="003274F1"/>
    <w:rsid w:val="0033140C"/>
    <w:rsid w:val="00332D92"/>
    <w:rsid w:val="00333BE3"/>
    <w:rsid w:val="00333F46"/>
    <w:rsid w:val="003347B8"/>
    <w:rsid w:val="00334A4B"/>
    <w:rsid w:val="00335C6B"/>
    <w:rsid w:val="003376AC"/>
    <w:rsid w:val="00337926"/>
    <w:rsid w:val="00337C92"/>
    <w:rsid w:val="00345534"/>
    <w:rsid w:val="00345A3A"/>
    <w:rsid w:val="00345AA1"/>
    <w:rsid w:val="00345B43"/>
    <w:rsid w:val="00346CF3"/>
    <w:rsid w:val="00347F85"/>
    <w:rsid w:val="00353475"/>
    <w:rsid w:val="00357098"/>
    <w:rsid w:val="00357B35"/>
    <w:rsid w:val="00362DAD"/>
    <w:rsid w:val="00367F7F"/>
    <w:rsid w:val="00373D4C"/>
    <w:rsid w:val="0037599F"/>
    <w:rsid w:val="0037681E"/>
    <w:rsid w:val="003810FD"/>
    <w:rsid w:val="00384583"/>
    <w:rsid w:val="0038517A"/>
    <w:rsid w:val="00390612"/>
    <w:rsid w:val="003937D5"/>
    <w:rsid w:val="00393D01"/>
    <w:rsid w:val="00393F1E"/>
    <w:rsid w:val="00397A00"/>
    <w:rsid w:val="003A153F"/>
    <w:rsid w:val="003A7D4C"/>
    <w:rsid w:val="003B0EFF"/>
    <w:rsid w:val="003B3C95"/>
    <w:rsid w:val="003B551D"/>
    <w:rsid w:val="003B5C5B"/>
    <w:rsid w:val="003C2BC3"/>
    <w:rsid w:val="003C3952"/>
    <w:rsid w:val="003C5250"/>
    <w:rsid w:val="003D0A17"/>
    <w:rsid w:val="003D39F1"/>
    <w:rsid w:val="003D608B"/>
    <w:rsid w:val="003D6845"/>
    <w:rsid w:val="003D7259"/>
    <w:rsid w:val="003E1B82"/>
    <w:rsid w:val="003E58F2"/>
    <w:rsid w:val="003F1BE4"/>
    <w:rsid w:val="003F29C8"/>
    <w:rsid w:val="003F309D"/>
    <w:rsid w:val="003F7005"/>
    <w:rsid w:val="003F7071"/>
    <w:rsid w:val="003F732D"/>
    <w:rsid w:val="003F7F87"/>
    <w:rsid w:val="0040305C"/>
    <w:rsid w:val="004038D8"/>
    <w:rsid w:val="00404001"/>
    <w:rsid w:val="00406143"/>
    <w:rsid w:val="00406CC0"/>
    <w:rsid w:val="00407415"/>
    <w:rsid w:val="00411272"/>
    <w:rsid w:val="00417406"/>
    <w:rsid w:val="00421768"/>
    <w:rsid w:val="00423A3C"/>
    <w:rsid w:val="00426E03"/>
    <w:rsid w:val="00430081"/>
    <w:rsid w:val="00430BF7"/>
    <w:rsid w:val="00431545"/>
    <w:rsid w:val="0043185E"/>
    <w:rsid w:val="0043570A"/>
    <w:rsid w:val="004362DC"/>
    <w:rsid w:val="004413C0"/>
    <w:rsid w:val="00441903"/>
    <w:rsid w:val="00441B60"/>
    <w:rsid w:val="00442034"/>
    <w:rsid w:val="004428F0"/>
    <w:rsid w:val="00442930"/>
    <w:rsid w:val="00443291"/>
    <w:rsid w:val="004437BF"/>
    <w:rsid w:val="0044426C"/>
    <w:rsid w:val="00446F7F"/>
    <w:rsid w:val="004473E7"/>
    <w:rsid w:val="00447715"/>
    <w:rsid w:val="00447B0D"/>
    <w:rsid w:val="00453026"/>
    <w:rsid w:val="00455B9D"/>
    <w:rsid w:val="00457388"/>
    <w:rsid w:val="0047254F"/>
    <w:rsid w:val="004747B2"/>
    <w:rsid w:val="00475F41"/>
    <w:rsid w:val="00482BB3"/>
    <w:rsid w:val="00484204"/>
    <w:rsid w:val="0048584E"/>
    <w:rsid w:val="00485938"/>
    <w:rsid w:val="00485A75"/>
    <w:rsid w:val="00486C05"/>
    <w:rsid w:val="00487DF5"/>
    <w:rsid w:val="00490319"/>
    <w:rsid w:val="00495AFC"/>
    <w:rsid w:val="0049619B"/>
    <w:rsid w:val="00496F40"/>
    <w:rsid w:val="004A23F0"/>
    <w:rsid w:val="004A2E3D"/>
    <w:rsid w:val="004A7F5C"/>
    <w:rsid w:val="004B0C61"/>
    <w:rsid w:val="004B23F1"/>
    <w:rsid w:val="004B481C"/>
    <w:rsid w:val="004B6DB2"/>
    <w:rsid w:val="004C0B64"/>
    <w:rsid w:val="004C0EB4"/>
    <w:rsid w:val="004C1046"/>
    <w:rsid w:val="004C2F7B"/>
    <w:rsid w:val="004C3091"/>
    <w:rsid w:val="004C7FBC"/>
    <w:rsid w:val="004D42A2"/>
    <w:rsid w:val="004D65D0"/>
    <w:rsid w:val="004D7A56"/>
    <w:rsid w:val="004D7DA7"/>
    <w:rsid w:val="004E2ED2"/>
    <w:rsid w:val="004E3D66"/>
    <w:rsid w:val="004E4163"/>
    <w:rsid w:val="004F074B"/>
    <w:rsid w:val="004F1F2B"/>
    <w:rsid w:val="00501180"/>
    <w:rsid w:val="00501AE5"/>
    <w:rsid w:val="005064BE"/>
    <w:rsid w:val="005066BC"/>
    <w:rsid w:val="005069DB"/>
    <w:rsid w:val="0051130C"/>
    <w:rsid w:val="00516B50"/>
    <w:rsid w:val="005246FD"/>
    <w:rsid w:val="00527F52"/>
    <w:rsid w:val="00530DAB"/>
    <w:rsid w:val="005320B4"/>
    <w:rsid w:val="00533B01"/>
    <w:rsid w:val="00537CE0"/>
    <w:rsid w:val="00542D16"/>
    <w:rsid w:val="00542FCE"/>
    <w:rsid w:val="00543848"/>
    <w:rsid w:val="00544200"/>
    <w:rsid w:val="005457D4"/>
    <w:rsid w:val="00545E77"/>
    <w:rsid w:val="00546FFA"/>
    <w:rsid w:val="00550B70"/>
    <w:rsid w:val="00551D8E"/>
    <w:rsid w:val="005528A8"/>
    <w:rsid w:val="00557DEE"/>
    <w:rsid w:val="00561033"/>
    <w:rsid w:val="0056379F"/>
    <w:rsid w:val="00571A61"/>
    <w:rsid w:val="0057439C"/>
    <w:rsid w:val="00575728"/>
    <w:rsid w:val="00581CD5"/>
    <w:rsid w:val="00581D41"/>
    <w:rsid w:val="00582E77"/>
    <w:rsid w:val="005835F7"/>
    <w:rsid w:val="0058464D"/>
    <w:rsid w:val="00584D61"/>
    <w:rsid w:val="00584F35"/>
    <w:rsid w:val="0059222C"/>
    <w:rsid w:val="005937A7"/>
    <w:rsid w:val="00595BDA"/>
    <w:rsid w:val="005963EF"/>
    <w:rsid w:val="00596885"/>
    <w:rsid w:val="005A43A8"/>
    <w:rsid w:val="005A6ED7"/>
    <w:rsid w:val="005B05D7"/>
    <w:rsid w:val="005B098E"/>
    <w:rsid w:val="005B1F52"/>
    <w:rsid w:val="005B228B"/>
    <w:rsid w:val="005B2D18"/>
    <w:rsid w:val="005B3D2E"/>
    <w:rsid w:val="005B45E7"/>
    <w:rsid w:val="005B46D7"/>
    <w:rsid w:val="005B676F"/>
    <w:rsid w:val="005C2156"/>
    <w:rsid w:val="005C4913"/>
    <w:rsid w:val="005C59E2"/>
    <w:rsid w:val="005C5F72"/>
    <w:rsid w:val="005C7F10"/>
    <w:rsid w:val="005D3805"/>
    <w:rsid w:val="005D5A09"/>
    <w:rsid w:val="005D71B1"/>
    <w:rsid w:val="005E0754"/>
    <w:rsid w:val="005E092C"/>
    <w:rsid w:val="005E25B6"/>
    <w:rsid w:val="005E485C"/>
    <w:rsid w:val="005E552B"/>
    <w:rsid w:val="005F4A00"/>
    <w:rsid w:val="006006D7"/>
    <w:rsid w:val="006015EA"/>
    <w:rsid w:val="006028FD"/>
    <w:rsid w:val="00604587"/>
    <w:rsid w:val="00606DC4"/>
    <w:rsid w:val="00617262"/>
    <w:rsid w:val="0061786C"/>
    <w:rsid w:val="00624661"/>
    <w:rsid w:val="006273F3"/>
    <w:rsid w:val="006301D2"/>
    <w:rsid w:val="00634081"/>
    <w:rsid w:val="0063505F"/>
    <w:rsid w:val="00636C42"/>
    <w:rsid w:val="00637932"/>
    <w:rsid w:val="006409D2"/>
    <w:rsid w:val="00646A17"/>
    <w:rsid w:val="00652F54"/>
    <w:rsid w:val="006551D0"/>
    <w:rsid w:val="00656532"/>
    <w:rsid w:val="00661353"/>
    <w:rsid w:val="00666A29"/>
    <w:rsid w:val="006710D5"/>
    <w:rsid w:val="0067454A"/>
    <w:rsid w:val="00677AF4"/>
    <w:rsid w:val="00682904"/>
    <w:rsid w:val="00690E63"/>
    <w:rsid w:val="00692BD1"/>
    <w:rsid w:val="00696299"/>
    <w:rsid w:val="00696CE2"/>
    <w:rsid w:val="006A0181"/>
    <w:rsid w:val="006A0EEB"/>
    <w:rsid w:val="006A2960"/>
    <w:rsid w:val="006B4D39"/>
    <w:rsid w:val="006B590E"/>
    <w:rsid w:val="006B59BD"/>
    <w:rsid w:val="006B714A"/>
    <w:rsid w:val="006B77DC"/>
    <w:rsid w:val="006C0DBF"/>
    <w:rsid w:val="006C13B4"/>
    <w:rsid w:val="006C3C70"/>
    <w:rsid w:val="006C5906"/>
    <w:rsid w:val="006C7A24"/>
    <w:rsid w:val="006D1A0F"/>
    <w:rsid w:val="006E2141"/>
    <w:rsid w:val="006E5548"/>
    <w:rsid w:val="006E70AE"/>
    <w:rsid w:val="006F234C"/>
    <w:rsid w:val="006F45D5"/>
    <w:rsid w:val="006F7B75"/>
    <w:rsid w:val="0070235E"/>
    <w:rsid w:val="0070437F"/>
    <w:rsid w:val="00710A1E"/>
    <w:rsid w:val="0071246E"/>
    <w:rsid w:val="00712516"/>
    <w:rsid w:val="00712E2A"/>
    <w:rsid w:val="00713BE1"/>
    <w:rsid w:val="00716C6D"/>
    <w:rsid w:val="00717D97"/>
    <w:rsid w:val="0072198C"/>
    <w:rsid w:val="00723501"/>
    <w:rsid w:val="00726025"/>
    <w:rsid w:val="007276E0"/>
    <w:rsid w:val="00734139"/>
    <w:rsid w:val="007345AA"/>
    <w:rsid w:val="0073470A"/>
    <w:rsid w:val="00735901"/>
    <w:rsid w:val="007367C4"/>
    <w:rsid w:val="00736892"/>
    <w:rsid w:val="00736A23"/>
    <w:rsid w:val="007415DC"/>
    <w:rsid w:val="00743B03"/>
    <w:rsid w:val="0074688E"/>
    <w:rsid w:val="00746A7F"/>
    <w:rsid w:val="00746B05"/>
    <w:rsid w:val="0074748E"/>
    <w:rsid w:val="007526C5"/>
    <w:rsid w:val="00754221"/>
    <w:rsid w:val="00760C4E"/>
    <w:rsid w:val="00761089"/>
    <w:rsid w:val="0076170D"/>
    <w:rsid w:val="007707C1"/>
    <w:rsid w:val="00777067"/>
    <w:rsid w:val="00777227"/>
    <w:rsid w:val="0078250E"/>
    <w:rsid w:val="00784F2A"/>
    <w:rsid w:val="0078548C"/>
    <w:rsid w:val="007859EF"/>
    <w:rsid w:val="00785A16"/>
    <w:rsid w:val="00786503"/>
    <w:rsid w:val="007910A0"/>
    <w:rsid w:val="007923AB"/>
    <w:rsid w:val="00792C8F"/>
    <w:rsid w:val="00793056"/>
    <w:rsid w:val="007A04FD"/>
    <w:rsid w:val="007A0E79"/>
    <w:rsid w:val="007A24A4"/>
    <w:rsid w:val="007A3AFC"/>
    <w:rsid w:val="007A3C7C"/>
    <w:rsid w:val="007A579C"/>
    <w:rsid w:val="007A5F19"/>
    <w:rsid w:val="007B0E05"/>
    <w:rsid w:val="007B241B"/>
    <w:rsid w:val="007B44ED"/>
    <w:rsid w:val="007B5199"/>
    <w:rsid w:val="007B710D"/>
    <w:rsid w:val="007B7D73"/>
    <w:rsid w:val="007C4B6A"/>
    <w:rsid w:val="007C6F86"/>
    <w:rsid w:val="007D0220"/>
    <w:rsid w:val="007D09E4"/>
    <w:rsid w:val="007D2208"/>
    <w:rsid w:val="007D399C"/>
    <w:rsid w:val="007D438E"/>
    <w:rsid w:val="007D568A"/>
    <w:rsid w:val="007D61BB"/>
    <w:rsid w:val="007D7527"/>
    <w:rsid w:val="007E083E"/>
    <w:rsid w:val="007E215A"/>
    <w:rsid w:val="007E32E4"/>
    <w:rsid w:val="007E34C9"/>
    <w:rsid w:val="007E4503"/>
    <w:rsid w:val="007E4969"/>
    <w:rsid w:val="007E4AD0"/>
    <w:rsid w:val="007E4B8D"/>
    <w:rsid w:val="007E74A7"/>
    <w:rsid w:val="007E7AB8"/>
    <w:rsid w:val="007F3822"/>
    <w:rsid w:val="007F52F1"/>
    <w:rsid w:val="007F535A"/>
    <w:rsid w:val="007F6B24"/>
    <w:rsid w:val="00802477"/>
    <w:rsid w:val="00802C3B"/>
    <w:rsid w:val="00805C0E"/>
    <w:rsid w:val="008101F2"/>
    <w:rsid w:val="008123B5"/>
    <w:rsid w:val="00813503"/>
    <w:rsid w:val="00814B9A"/>
    <w:rsid w:val="00815242"/>
    <w:rsid w:val="00815F88"/>
    <w:rsid w:val="00817763"/>
    <w:rsid w:val="008210BF"/>
    <w:rsid w:val="00822D46"/>
    <w:rsid w:val="00822EE6"/>
    <w:rsid w:val="00830E46"/>
    <w:rsid w:val="00834021"/>
    <w:rsid w:val="008351EE"/>
    <w:rsid w:val="00840D65"/>
    <w:rsid w:val="00842F6D"/>
    <w:rsid w:val="00854939"/>
    <w:rsid w:val="00860ACC"/>
    <w:rsid w:val="0086334B"/>
    <w:rsid w:val="008725A3"/>
    <w:rsid w:val="00872613"/>
    <w:rsid w:val="00873BB5"/>
    <w:rsid w:val="008778F5"/>
    <w:rsid w:val="00877C3F"/>
    <w:rsid w:val="00883733"/>
    <w:rsid w:val="00885A25"/>
    <w:rsid w:val="00886987"/>
    <w:rsid w:val="00886C37"/>
    <w:rsid w:val="00887B23"/>
    <w:rsid w:val="0089011D"/>
    <w:rsid w:val="0089444F"/>
    <w:rsid w:val="0089610C"/>
    <w:rsid w:val="008A1F1E"/>
    <w:rsid w:val="008A21B4"/>
    <w:rsid w:val="008A5A3A"/>
    <w:rsid w:val="008B0F84"/>
    <w:rsid w:val="008B28A5"/>
    <w:rsid w:val="008B6BA3"/>
    <w:rsid w:val="008C0E10"/>
    <w:rsid w:val="008C64A9"/>
    <w:rsid w:val="008D340E"/>
    <w:rsid w:val="008D3A2F"/>
    <w:rsid w:val="008D3F68"/>
    <w:rsid w:val="008D4779"/>
    <w:rsid w:val="008D5386"/>
    <w:rsid w:val="008E05F3"/>
    <w:rsid w:val="008E16F8"/>
    <w:rsid w:val="008E3004"/>
    <w:rsid w:val="008E3021"/>
    <w:rsid w:val="008E7864"/>
    <w:rsid w:val="008F409D"/>
    <w:rsid w:val="008F7063"/>
    <w:rsid w:val="00900290"/>
    <w:rsid w:val="00900B7A"/>
    <w:rsid w:val="00901C63"/>
    <w:rsid w:val="00901C99"/>
    <w:rsid w:val="009049DA"/>
    <w:rsid w:val="00904E76"/>
    <w:rsid w:val="00905629"/>
    <w:rsid w:val="00907279"/>
    <w:rsid w:val="009115D5"/>
    <w:rsid w:val="009118AC"/>
    <w:rsid w:val="009122E3"/>
    <w:rsid w:val="0091406C"/>
    <w:rsid w:val="009141F5"/>
    <w:rsid w:val="0091501C"/>
    <w:rsid w:val="00915D73"/>
    <w:rsid w:val="009168C5"/>
    <w:rsid w:val="009219B4"/>
    <w:rsid w:val="00923F9B"/>
    <w:rsid w:val="00927347"/>
    <w:rsid w:val="0093028B"/>
    <w:rsid w:val="00930CC0"/>
    <w:rsid w:val="009358BB"/>
    <w:rsid w:val="00935B95"/>
    <w:rsid w:val="00936C91"/>
    <w:rsid w:val="0094100F"/>
    <w:rsid w:val="009517E9"/>
    <w:rsid w:val="009534A3"/>
    <w:rsid w:val="00954068"/>
    <w:rsid w:val="00954318"/>
    <w:rsid w:val="009549BC"/>
    <w:rsid w:val="00955928"/>
    <w:rsid w:val="00960B64"/>
    <w:rsid w:val="00961631"/>
    <w:rsid w:val="00961975"/>
    <w:rsid w:val="00961EF1"/>
    <w:rsid w:val="00964C25"/>
    <w:rsid w:val="00966086"/>
    <w:rsid w:val="00975575"/>
    <w:rsid w:val="00981929"/>
    <w:rsid w:val="00982291"/>
    <w:rsid w:val="00982483"/>
    <w:rsid w:val="0098692F"/>
    <w:rsid w:val="00987532"/>
    <w:rsid w:val="00987B4B"/>
    <w:rsid w:val="00987BD9"/>
    <w:rsid w:val="00993E9E"/>
    <w:rsid w:val="009A0A38"/>
    <w:rsid w:val="009A1AB8"/>
    <w:rsid w:val="009A449D"/>
    <w:rsid w:val="009B277A"/>
    <w:rsid w:val="009B45CA"/>
    <w:rsid w:val="009B47AB"/>
    <w:rsid w:val="009C0471"/>
    <w:rsid w:val="009C5E90"/>
    <w:rsid w:val="009C7616"/>
    <w:rsid w:val="009D64B4"/>
    <w:rsid w:val="009E7DBB"/>
    <w:rsid w:val="009F6F05"/>
    <w:rsid w:val="00A01D23"/>
    <w:rsid w:val="00A02CF2"/>
    <w:rsid w:val="00A06695"/>
    <w:rsid w:val="00A0718C"/>
    <w:rsid w:val="00A14A39"/>
    <w:rsid w:val="00A20798"/>
    <w:rsid w:val="00A20E16"/>
    <w:rsid w:val="00A20F95"/>
    <w:rsid w:val="00A22D10"/>
    <w:rsid w:val="00A265AD"/>
    <w:rsid w:val="00A30674"/>
    <w:rsid w:val="00A30B5A"/>
    <w:rsid w:val="00A30DF9"/>
    <w:rsid w:val="00A31C54"/>
    <w:rsid w:val="00A3334D"/>
    <w:rsid w:val="00A42003"/>
    <w:rsid w:val="00A43A43"/>
    <w:rsid w:val="00A4436E"/>
    <w:rsid w:val="00A44E07"/>
    <w:rsid w:val="00A46087"/>
    <w:rsid w:val="00A46EF7"/>
    <w:rsid w:val="00A54711"/>
    <w:rsid w:val="00A6380D"/>
    <w:rsid w:val="00A64439"/>
    <w:rsid w:val="00A71679"/>
    <w:rsid w:val="00A76A6A"/>
    <w:rsid w:val="00A76E62"/>
    <w:rsid w:val="00A80EC7"/>
    <w:rsid w:val="00A8584D"/>
    <w:rsid w:val="00A86C46"/>
    <w:rsid w:val="00A87F21"/>
    <w:rsid w:val="00A910EF"/>
    <w:rsid w:val="00A923B8"/>
    <w:rsid w:val="00A930D5"/>
    <w:rsid w:val="00A93235"/>
    <w:rsid w:val="00A94209"/>
    <w:rsid w:val="00A95C4E"/>
    <w:rsid w:val="00A9786A"/>
    <w:rsid w:val="00A97C54"/>
    <w:rsid w:val="00A97E3A"/>
    <w:rsid w:val="00AA1562"/>
    <w:rsid w:val="00AA6BC8"/>
    <w:rsid w:val="00AA74F9"/>
    <w:rsid w:val="00AB2152"/>
    <w:rsid w:val="00AB4A03"/>
    <w:rsid w:val="00AC17B5"/>
    <w:rsid w:val="00AC28ED"/>
    <w:rsid w:val="00AC3AF3"/>
    <w:rsid w:val="00AD1072"/>
    <w:rsid w:val="00AD2401"/>
    <w:rsid w:val="00AD289F"/>
    <w:rsid w:val="00AD7093"/>
    <w:rsid w:val="00AD7EC6"/>
    <w:rsid w:val="00AE33AD"/>
    <w:rsid w:val="00AE4185"/>
    <w:rsid w:val="00AE564A"/>
    <w:rsid w:val="00AE66D7"/>
    <w:rsid w:val="00AF11A6"/>
    <w:rsid w:val="00AF1653"/>
    <w:rsid w:val="00AF37EC"/>
    <w:rsid w:val="00AF4747"/>
    <w:rsid w:val="00AF4F1A"/>
    <w:rsid w:val="00B00654"/>
    <w:rsid w:val="00B02EF9"/>
    <w:rsid w:val="00B0454F"/>
    <w:rsid w:val="00B048D6"/>
    <w:rsid w:val="00B04F40"/>
    <w:rsid w:val="00B07A10"/>
    <w:rsid w:val="00B10087"/>
    <w:rsid w:val="00B10611"/>
    <w:rsid w:val="00B10A2B"/>
    <w:rsid w:val="00B110E3"/>
    <w:rsid w:val="00B12145"/>
    <w:rsid w:val="00B12B5E"/>
    <w:rsid w:val="00B137AC"/>
    <w:rsid w:val="00B15909"/>
    <w:rsid w:val="00B16401"/>
    <w:rsid w:val="00B16987"/>
    <w:rsid w:val="00B17F08"/>
    <w:rsid w:val="00B20683"/>
    <w:rsid w:val="00B2079E"/>
    <w:rsid w:val="00B20E21"/>
    <w:rsid w:val="00B26372"/>
    <w:rsid w:val="00B274AC"/>
    <w:rsid w:val="00B27976"/>
    <w:rsid w:val="00B305F7"/>
    <w:rsid w:val="00B32509"/>
    <w:rsid w:val="00B33D7F"/>
    <w:rsid w:val="00B34BFA"/>
    <w:rsid w:val="00B37726"/>
    <w:rsid w:val="00B37FB7"/>
    <w:rsid w:val="00B43C42"/>
    <w:rsid w:val="00B54A62"/>
    <w:rsid w:val="00B54E51"/>
    <w:rsid w:val="00B61F27"/>
    <w:rsid w:val="00B66C5E"/>
    <w:rsid w:val="00B7328E"/>
    <w:rsid w:val="00B74A45"/>
    <w:rsid w:val="00B7724F"/>
    <w:rsid w:val="00B808CA"/>
    <w:rsid w:val="00B80BF6"/>
    <w:rsid w:val="00B8100B"/>
    <w:rsid w:val="00B81A14"/>
    <w:rsid w:val="00B81DE9"/>
    <w:rsid w:val="00B824F9"/>
    <w:rsid w:val="00B83F2D"/>
    <w:rsid w:val="00B850F7"/>
    <w:rsid w:val="00B87F28"/>
    <w:rsid w:val="00B921B2"/>
    <w:rsid w:val="00B923D0"/>
    <w:rsid w:val="00B93ED5"/>
    <w:rsid w:val="00B94869"/>
    <w:rsid w:val="00B951A9"/>
    <w:rsid w:val="00BA29C4"/>
    <w:rsid w:val="00BA3F5C"/>
    <w:rsid w:val="00BA42F3"/>
    <w:rsid w:val="00BA57E0"/>
    <w:rsid w:val="00BA5EE6"/>
    <w:rsid w:val="00BB37CA"/>
    <w:rsid w:val="00BB65BC"/>
    <w:rsid w:val="00BC1770"/>
    <w:rsid w:val="00BC2E55"/>
    <w:rsid w:val="00BC4580"/>
    <w:rsid w:val="00BD0335"/>
    <w:rsid w:val="00BD05B1"/>
    <w:rsid w:val="00BD1732"/>
    <w:rsid w:val="00BE2055"/>
    <w:rsid w:val="00BE20A1"/>
    <w:rsid w:val="00BE3176"/>
    <w:rsid w:val="00BE7FD7"/>
    <w:rsid w:val="00BF0A3E"/>
    <w:rsid w:val="00BF0FB6"/>
    <w:rsid w:val="00BF194F"/>
    <w:rsid w:val="00BF386A"/>
    <w:rsid w:val="00C01E66"/>
    <w:rsid w:val="00C02BA6"/>
    <w:rsid w:val="00C059BA"/>
    <w:rsid w:val="00C07C8B"/>
    <w:rsid w:val="00C1295A"/>
    <w:rsid w:val="00C12B68"/>
    <w:rsid w:val="00C13A09"/>
    <w:rsid w:val="00C16DBA"/>
    <w:rsid w:val="00C20381"/>
    <w:rsid w:val="00C22195"/>
    <w:rsid w:val="00C22C7B"/>
    <w:rsid w:val="00C23EE0"/>
    <w:rsid w:val="00C24C2D"/>
    <w:rsid w:val="00C3263E"/>
    <w:rsid w:val="00C33423"/>
    <w:rsid w:val="00C404A7"/>
    <w:rsid w:val="00C52E49"/>
    <w:rsid w:val="00C53085"/>
    <w:rsid w:val="00C576C7"/>
    <w:rsid w:val="00C6068B"/>
    <w:rsid w:val="00C61318"/>
    <w:rsid w:val="00C6775D"/>
    <w:rsid w:val="00C71B29"/>
    <w:rsid w:val="00C71C8E"/>
    <w:rsid w:val="00C75918"/>
    <w:rsid w:val="00C8563B"/>
    <w:rsid w:val="00C859EF"/>
    <w:rsid w:val="00C85E90"/>
    <w:rsid w:val="00C9325E"/>
    <w:rsid w:val="00CA2D87"/>
    <w:rsid w:val="00CA3C54"/>
    <w:rsid w:val="00CA6019"/>
    <w:rsid w:val="00CB3015"/>
    <w:rsid w:val="00CB691B"/>
    <w:rsid w:val="00CB6CB9"/>
    <w:rsid w:val="00CC026D"/>
    <w:rsid w:val="00CC3238"/>
    <w:rsid w:val="00CC6661"/>
    <w:rsid w:val="00CC6F37"/>
    <w:rsid w:val="00CD341F"/>
    <w:rsid w:val="00CE0E1D"/>
    <w:rsid w:val="00CE1F70"/>
    <w:rsid w:val="00CE316E"/>
    <w:rsid w:val="00CE3D7C"/>
    <w:rsid w:val="00CE4445"/>
    <w:rsid w:val="00CE5E2F"/>
    <w:rsid w:val="00CE6026"/>
    <w:rsid w:val="00CF211B"/>
    <w:rsid w:val="00CF3A61"/>
    <w:rsid w:val="00D01809"/>
    <w:rsid w:val="00D13331"/>
    <w:rsid w:val="00D16CD9"/>
    <w:rsid w:val="00D2152D"/>
    <w:rsid w:val="00D22830"/>
    <w:rsid w:val="00D2310D"/>
    <w:rsid w:val="00D265FF"/>
    <w:rsid w:val="00D333C5"/>
    <w:rsid w:val="00D33BF5"/>
    <w:rsid w:val="00D356F5"/>
    <w:rsid w:val="00D42593"/>
    <w:rsid w:val="00D43424"/>
    <w:rsid w:val="00D43B0E"/>
    <w:rsid w:val="00D46700"/>
    <w:rsid w:val="00D47704"/>
    <w:rsid w:val="00D51A0A"/>
    <w:rsid w:val="00D51E20"/>
    <w:rsid w:val="00D52152"/>
    <w:rsid w:val="00D544B2"/>
    <w:rsid w:val="00D6017A"/>
    <w:rsid w:val="00D6212F"/>
    <w:rsid w:val="00D63C5F"/>
    <w:rsid w:val="00D65104"/>
    <w:rsid w:val="00D654C2"/>
    <w:rsid w:val="00D669DC"/>
    <w:rsid w:val="00D677B7"/>
    <w:rsid w:val="00D70D88"/>
    <w:rsid w:val="00D72EF9"/>
    <w:rsid w:val="00D75489"/>
    <w:rsid w:val="00D76761"/>
    <w:rsid w:val="00D773DD"/>
    <w:rsid w:val="00D81988"/>
    <w:rsid w:val="00D839AA"/>
    <w:rsid w:val="00D85157"/>
    <w:rsid w:val="00D9089F"/>
    <w:rsid w:val="00D932B5"/>
    <w:rsid w:val="00D9386C"/>
    <w:rsid w:val="00D95065"/>
    <w:rsid w:val="00D95373"/>
    <w:rsid w:val="00DA429E"/>
    <w:rsid w:val="00DA7C80"/>
    <w:rsid w:val="00DB0924"/>
    <w:rsid w:val="00DB28AA"/>
    <w:rsid w:val="00DC27AA"/>
    <w:rsid w:val="00DC2DFB"/>
    <w:rsid w:val="00DC456E"/>
    <w:rsid w:val="00DC4E9B"/>
    <w:rsid w:val="00DD52B8"/>
    <w:rsid w:val="00DD678C"/>
    <w:rsid w:val="00DD7B99"/>
    <w:rsid w:val="00DE02BF"/>
    <w:rsid w:val="00DE1A89"/>
    <w:rsid w:val="00DE2FDA"/>
    <w:rsid w:val="00DE3268"/>
    <w:rsid w:val="00DE42B3"/>
    <w:rsid w:val="00DF07B6"/>
    <w:rsid w:val="00DF109B"/>
    <w:rsid w:val="00DF5EF9"/>
    <w:rsid w:val="00E00BB0"/>
    <w:rsid w:val="00E0256A"/>
    <w:rsid w:val="00E07442"/>
    <w:rsid w:val="00E101E2"/>
    <w:rsid w:val="00E13DDF"/>
    <w:rsid w:val="00E14228"/>
    <w:rsid w:val="00E17055"/>
    <w:rsid w:val="00E17B92"/>
    <w:rsid w:val="00E238CC"/>
    <w:rsid w:val="00E246B9"/>
    <w:rsid w:val="00E24A51"/>
    <w:rsid w:val="00E2665E"/>
    <w:rsid w:val="00E26F8B"/>
    <w:rsid w:val="00E3006A"/>
    <w:rsid w:val="00E300A0"/>
    <w:rsid w:val="00E3388A"/>
    <w:rsid w:val="00E355EA"/>
    <w:rsid w:val="00E41634"/>
    <w:rsid w:val="00E45A3E"/>
    <w:rsid w:val="00E46561"/>
    <w:rsid w:val="00E50EA3"/>
    <w:rsid w:val="00E51ABB"/>
    <w:rsid w:val="00E52641"/>
    <w:rsid w:val="00E537BE"/>
    <w:rsid w:val="00E561CE"/>
    <w:rsid w:val="00E569AA"/>
    <w:rsid w:val="00E62C26"/>
    <w:rsid w:val="00E66F8A"/>
    <w:rsid w:val="00E67932"/>
    <w:rsid w:val="00E7028D"/>
    <w:rsid w:val="00E714EB"/>
    <w:rsid w:val="00E73A6D"/>
    <w:rsid w:val="00E747D6"/>
    <w:rsid w:val="00E76AEB"/>
    <w:rsid w:val="00E81E12"/>
    <w:rsid w:val="00E8637C"/>
    <w:rsid w:val="00E914A0"/>
    <w:rsid w:val="00E92B25"/>
    <w:rsid w:val="00E94305"/>
    <w:rsid w:val="00E9746C"/>
    <w:rsid w:val="00E977F5"/>
    <w:rsid w:val="00E97A6A"/>
    <w:rsid w:val="00EA157E"/>
    <w:rsid w:val="00EA17E7"/>
    <w:rsid w:val="00EA37B6"/>
    <w:rsid w:val="00EA45AF"/>
    <w:rsid w:val="00EA634D"/>
    <w:rsid w:val="00EA76E4"/>
    <w:rsid w:val="00EB58D2"/>
    <w:rsid w:val="00EB5A5C"/>
    <w:rsid w:val="00EC4B4E"/>
    <w:rsid w:val="00EC7609"/>
    <w:rsid w:val="00EC77EB"/>
    <w:rsid w:val="00ED2932"/>
    <w:rsid w:val="00ED2A68"/>
    <w:rsid w:val="00ED2E37"/>
    <w:rsid w:val="00ED39A8"/>
    <w:rsid w:val="00EE1E08"/>
    <w:rsid w:val="00EE30AF"/>
    <w:rsid w:val="00EE6544"/>
    <w:rsid w:val="00EF235B"/>
    <w:rsid w:val="00EF3C5A"/>
    <w:rsid w:val="00EF48F5"/>
    <w:rsid w:val="00EF5821"/>
    <w:rsid w:val="00EF7A7B"/>
    <w:rsid w:val="00F00244"/>
    <w:rsid w:val="00F0657F"/>
    <w:rsid w:val="00F104B6"/>
    <w:rsid w:val="00F116F0"/>
    <w:rsid w:val="00F1644C"/>
    <w:rsid w:val="00F17C3F"/>
    <w:rsid w:val="00F21D1F"/>
    <w:rsid w:val="00F2509B"/>
    <w:rsid w:val="00F250F8"/>
    <w:rsid w:val="00F26B0E"/>
    <w:rsid w:val="00F26EEF"/>
    <w:rsid w:val="00F26F76"/>
    <w:rsid w:val="00F303FF"/>
    <w:rsid w:val="00F30712"/>
    <w:rsid w:val="00F315BE"/>
    <w:rsid w:val="00F353EA"/>
    <w:rsid w:val="00F41B30"/>
    <w:rsid w:val="00F47A53"/>
    <w:rsid w:val="00F50109"/>
    <w:rsid w:val="00F52333"/>
    <w:rsid w:val="00F55BD1"/>
    <w:rsid w:val="00F613EC"/>
    <w:rsid w:val="00F6233D"/>
    <w:rsid w:val="00F64976"/>
    <w:rsid w:val="00F64C80"/>
    <w:rsid w:val="00F664E7"/>
    <w:rsid w:val="00F71EF2"/>
    <w:rsid w:val="00F74CA7"/>
    <w:rsid w:val="00F750E7"/>
    <w:rsid w:val="00F82C79"/>
    <w:rsid w:val="00F83E51"/>
    <w:rsid w:val="00F85A20"/>
    <w:rsid w:val="00F85F91"/>
    <w:rsid w:val="00F861CF"/>
    <w:rsid w:val="00F86228"/>
    <w:rsid w:val="00F8656B"/>
    <w:rsid w:val="00F86F10"/>
    <w:rsid w:val="00F95E9F"/>
    <w:rsid w:val="00F96F70"/>
    <w:rsid w:val="00FA2858"/>
    <w:rsid w:val="00FA54A6"/>
    <w:rsid w:val="00FA6352"/>
    <w:rsid w:val="00FB02F3"/>
    <w:rsid w:val="00FB45E4"/>
    <w:rsid w:val="00FB51CE"/>
    <w:rsid w:val="00FB6771"/>
    <w:rsid w:val="00FC06D4"/>
    <w:rsid w:val="00FC4825"/>
    <w:rsid w:val="00FC5D3A"/>
    <w:rsid w:val="00FC6CBE"/>
    <w:rsid w:val="00FD34BC"/>
    <w:rsid w:val="00FD4F4A"/>
    <w:rsid w:val="00FE34FD"/>
    <w:rsid w:val="00FE38F3"/>
    <w:rsid w:val="00FE4548"/>
    <w:rsid w:val="00FE5699"/>
    <w:rsid w:val="00FE6104"/>
    <w:rsid w:val="00FE76BD"/>
    <w:rsid w:val="00FE7BEB"/>
    <w:rsid w:val="00FF0270"/>
    <w:rsid w:val="00FF052F"/>
    <w:rsid w:val="00FF0800"/>
    <w:rsid w:val="00FF2332"/>
    <w:rsid w:val="00FF2FA3"/>
    <w:rsid w:val="00FF3690"/>
    <w:rsid w:val="00FF5EB3"/>
    <w:rsid w:val="00FF7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910"/>
  <w15:docId w15:val="{9DCC9749-43DD-41A0-A121-E5C8866F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8"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A434C"/>
  </w:style>
  <w:style w:type="paragraph" w:styleId="Rubrik1">
    <w:name w:val="heading 1"/>
    <w:basedOn w:val="Normal"/>
    <w:next w:val="Brdtext"/>
    <w:link w:val="Rubrik1Char"/>
    <w:uiPriority w:val="3"/>
    <w:qFormat/>
    <w:rsid w:val="00712E2A"/>
    <w:pPr>
      <w:keepNext/>
      <w:keepLines/>
      <w:numPr>
        <w:numId w:val="46"/>
      </w:numPr>
      <w:spacing w:after="420" w:line="400" w:lineRule="atLeast"/>
      <w:outlineLvl w:val="0"/>
    </w:pPr>
    <w:rPr>
      <w:rFonts w:asciiTheme="majorHAnsi" w:eastAsiaTheme="majorEastAsia" w:hAnsiTheme="majorHAnsi" w:cstheme="majorBidi"/>
      <w:b/>
      <w:sz w:val="30"/>
      <w:szCs w:val="32"/>
    </w:rPr>
  </w:style>
  <w:style w:type="paragraph" w:styleId="Rubrik2">
    <w:name w:val="heading 2"/>
    <w:basedOn w:val="Normal"/>
    <w:next w:val="Brdtext"/>
    <w:link w:val="Rubrik2Char"/>
    <w:uiPriority w:val="3"/>
    <w:qFormat/>
    <w:rsid w:val="00E17055"/>
    <w:pPr>
      <w:keepNext/>
      <w:keepLines/>
      <w:numPr>
        <w:ilvl w:val="1"/>
        <w:numId w:val="46"/>
      </w:numPr>
      <w:spacing w:line="26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3"/>
    <w:qFormat/>
    <w:rsid w:val="00E9746C"/>
    <w:pPr>
      <w:keepNext/>
      <w:keepLines/>
      <w:numPr>
        <w:ilvl w:val="2"/>
        <w:numId w:val="46"/>
      </w:numPr>
      <w:spacing w:line="220" w:lineRule="atLeast"/>
      <w:ind w:left="720"/>
      <w:outlineLvl w:val="2"/>
    </w:pPr>
    <w:rPr>
      <w:rFonts w:asciiTheme="majorHAnsi" w:eastAsiaTheme="majorEastAsia" w:hAnsiTheme="majorHAnsi" w:cstheme="majorBidi"/>
      <w:b/>
      <w:sz w:val="18"/>
      <w:szCs w:val="24"/>
    </w:rPr>
  </w:style>
  <w:style w:type="paragraph" w:styleId="Rubrik4">
    <w:name w:val="heading 4"/>
    <w:basedOn w:val="Normal"/>
    <w:next w:val="Brdtext"/>
    <w:link w:val="Rubrik4Char"/>
    <w:uiPriority w:val="3"/>
    <w:semiHidden/>
    <w:qFormat/>
    <w:rsid w:val="00FF0270"/>
    <w:pPr>
      <w:keepNext/>
      <w:keepLines/>
      <w:numPr>
        <w:ilvl w:val="3"/>
        <w:numId w:val="46"/>
      </w:numPr>
      <w:spacing w:line="220" w:lineRule="atLeast"/>
      <w:outlineLvl w:val="3"/>
    </w:pPr>
    <w:rPr>
      <w:rFonts w:asciiTheme="majorHAnsi" w:eastAsiaTheme="majorEastAsia" w:hAnsiTheme="majorHAnsi" w:cstheme="majorBidi"/>
      <w:b/>
      <w:i/>
      <w:iCs/>
      <w:sz w:val="18"/>
    </w:rPr>
  </w:style>
  <w:style w:type="paragraph" w:styleId="Rubrik5">
    <w:name w:val="heading 5"/>
    <w:basedOn w:val="Normal"/>
    <w:next w:val="Normal"/>
    <w:link w:val="Rubrik5Char"/>
    <w:uiPriority w:val="9"/>
    <w:semiHidden/>
    <w:unhideWhenUsed/>
    <w:qFormat/>
    <w:rsid w:val="00C6775D"/>
    <w:pPr>
      <w:keepNext/>
      <w:keepLines/>
      <w:numPr>
        <w:ilvl w:val="4"/>
        <w:numId w:val="46"/>
      </w:numPr>
      <w:spacing w:before="40"/>
      <w:outlineLvl w:val="4"/>
    </w:pPr>
    <w:rPr>
      <w:rFonts w:asciiTheme="majorHAnsi" w:eastAsiaTheme="majorEastAsia" w:hAnsiTheme="majorHAnsi" w:cstheme="majorBidi"/>
      <w:color w:val="A9040E" w:themeColor="accent1" w:themeShade="BF"/>
    </w:rPr>
  </w:style>
  <w:style w:type="paragraph" w:styleId="Rubrik6">
    <w:name w:val="heading 6"/>
    <w:basedOn w:val="Normal"/>
    <w:next w:val="Normal"/>
    <w:link w:val="Rubrik6Char"/>
    <w:uiPriority w:val="9"/>
    <w:semiHidden/>
    <w:unhideWhenUsed/>
    <w:qFormat/>
    <w:rsid w:val="00C6775D"/>
    <w:pPr>
      <w:keepNext/>
      <w:keepLines/>
      <w:numPr>
        <w:ilvl w:val="5"/>
        <w:numId w:val="46"/>
      </w:numPr>
      <w:spacing w:before="40"/>
      <w:outlineLvl w:val="5"/>
    </w:pPr>
    <w:rPr>
      <w:rFonts w:asciiTheme="majorHAnsi" w:eastAsiaTheme="majorEastAsia" w:hAnsiTheme="majorHAnsi" w:cstheme="majorBidi"/>
      <w:color w:val="710309" w:themeColor="accent1" w:themeShade="7F"/>
    </w:rPr>
  </w:style>
  <w:style w:type="paragraph" w:styleId="Rubrik7">
    <w:name w:val="heading 7"/>
    <w:basedOn w:val="Normal"/>
    <w:next w:val="Normal"/>
    <w:link w:val="Rubrik7Char"/>
    <w:uiPriority w:val="9"/>
    <w:semiHidden/>
    <w:unhideWhenUsed/>
    <w:qFormat/>
    <w:rsid w:val="00C6775D"/>
    <w:pPr>
      <w:keepNext/>
      <w:keepLines/>
      <w:numPr>
        <w:ilvl w:val="6"/>
        <w:numId w:val="46"/>
      </w:numPr>
      <w:spacing w:before="40"/>
      <w:outlineLvl w:val="6"/>
    </w:pPr>
    <w:rPr>
      <w:rFonts w:asciiTheme="majorHAnsi" w:eastAsiaTheme="majorEastAsia" w:hAnsiTheme="majorHAnsi" w:cstheme="majorBidi"/>
      <w:i/>
      <w:iCs/>
      <w:color w:val="710309" w:themeColor="accent1" w:themeShade="7F"/>
    </w:rPr>
  </w:style>
  <w:style w:type="paragraph" w:styleId="Rubrik8">
    <w:name w:val="heading 8"/>
    <w:basedOn w:val="Normal"/>
    <w:next w:val="Normal"/>
    <w:link w:val="Rubrik8Char"/>
    <w:uiPriority w:val="9"/>
    <w:semiHidden/>
    <w:unhideWhenUsed/>
    <w:qFormat/>
    <w:rsid w:val="00C6775D"/>
    <w:pPr>
      <w:keepNext/>
      <w:keepLines/>
      <w:numPr>
        <w:ilvl w:val="7"/>
        <w:numId w:val="46"/>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C6775D"/>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E94305"/>
    <w:pPr>
      <w:tabs>
        <w:tab w:val="center" w:pos="3969"/>
      </w:tabs>
      <w:spacing w:after="20"/>
    </w:pPr>
    <w:rPr>
      <w:rFonts w:asciiTheme="majorHAnsi" w:hAnsiTheme="majorHAnsi"/>
      <w:noProof/>
      <w:sz w:val="12"/>
    </w:rPr>
  </w:style>
  <w:style w:type="character" w:customStyle="1" w:styleId="SidhuvudChar">
    <w:name w:val="Sidhuvud Char"/>
    <w:basedOn w:val="Standardstycketeckensnitt"/>
    <w:link w:val="Sidhuvud"/>
    <w:uiPriority w:val="8"/>
    <w:rsid w:val="00E94305"/>
    <w:rPr>
      <w:rFonts w:asciiTheme="majorHAnsi" w:hAnsiTheme="majorHAnsi"/>
      <w:noProof/>
      <w:sz w:val="12"/>
    </w:rPr>
  </w:style>
  <w:style w:type="paragraph" w:styleId="Sidfot">
    <w:name w:val="footer"/>
    <w:basedOn w:val="Normal"/>
    <w:link w:val="SidfotChar"/>
    <w:uiPriority w:val="8"/>
    <w:rsid w:val="00E94305"/>
    <w:pPr>
      <w:autoSpaceDE w:val="0"/>
      <w:autoSpaceDN w:val="0"/>
      <w:adjustRightInd w:val="0"/>
      <w:spacing w:line="180" w:lineRule="atLeast"/>
      <w:textAlignment w:val="center"/>
    </w:pPr>
    <w:rPr>
      <w:rFonts w:ascii="Tahoma" w:hAnsi="Tahoma" w:cs="Tahoma"/>
      <w:noProof/>
      <w:color w:val="000000"/>
      <w:sz w:val="12"/>
      <w:szCs w:val="12"/>
    </w:rPr>
  </w:style>
  <w:style w:type="character" w:customStyle="1" w:styleId="SidfotChar">
    <w:name w:val="Sidfot Char"/>
    <w:basedOn w:val="Standardstycketeckensnitt"/>
    <w:link w:val="Sidfot"/>
    <w:uiPriority w:val="8"/>
    <w:rsid w:val="00E94305"/>
    <w:rPr>
      <w:rFonts w:ascii="Tahoma" w:hAnsi="Tahoma" w:cs="Tahoma"/>
      <w:noProof/>
      <w:color w:val="000000"/>
      <w:sz w:val="12"/>
      <w:szCs w:val="12"/>
    </w:rPr>
  </w:style>
  <w:style w:type="paragraph" w:styleId="Brdtext">
    <w:name w:val="Body Text"/>
    <w:aliases w:val="Brödtext - F"/>
    <w:basedOn w:val="Normal"/>
    <w:link w:val="BrdtextChar"/>
    <w:uiPriority w:val="5"/>
    <w:qFormat/>
    <w:rsid w:val="0071246E"/>
    <w:pPr>
      <w:spacing w:line="260" w:lineRule="atLeast"/>
    </w:pPr>
  </w:style>
  <w:style w:type="character" w:customStyle="1" w:styleId="BrdtextChar">
    <w:name w:val="Brödtext Char"/>
    <w:aliases w:val="Brödtext - F Char"/>
    <w:basedOn w:val="Standardstycketeckensnitt"/>
    <w:link w:val="Brdtext"/>
    <w:uiPriority w:val="5"/>
    <w:rsid w:val="0071246E"/>
  </w:style>
  <w:style w:type="table" w:styleId="Tabellrutnt">
    <w:name w:val="Table Grid"/>
    <w:basedOn w:val="Normaltabell"/>
    <w:uiPriority w:val="39"/>
    <w:rsid w:val="005D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3"/>
    <w:rsid w:val="00712E2A"/>
    <w:rPr>
      <w:rFonts w:asciiTheme="majorHAnsi" w:eastAsiaTheme="majorEastAsia" w:hAnsiTheme="majorHAnsi" w:cstheme="majorBidi"/>
      <w:b/>
      <w:sz w:val="30"/>
      <w:szCs w:val="32"/>
    </w:rPr>
  </w:style>
  <w:style w:type="paragraph" w:styleId="Adress-brev">
    <w:name w:val="envelope address"/>
    <w:basedOn w:val="Normal"/>
    <w:uiPriority w:val="6"/>
    <w:rsid w:val="00E94305"/>
    <w:pPr>
      <w:spacing w:line="220" w:lineRule="atLeast"/>
    </w:pPr>
    <w:rPr>
      <w:rFonts w:asciiTheme="majorHAnsi" w:hAnsiTheme="majorHAnsi" w:cstheme="majorHAnsi"/>
      <w:noProof/>
      <w:sz w:val="18"/>
      <w:szCs w:val="18"/>
    </w:rPr>
  </w:style>
  <w:style w:type="paragraph" w:customStyle="1" w:styleId="Kontaktuppgift">
    <w:name w:val="Kontaktuppgift"/>
    <w:basedOn w:val="Normal"/>
    <w:uiPriority w:val="7"/>
    <w:rsid w:val="00E94305"/>
    <w:pPr>
      <w:spacing w:after="113" w:line="200" w:lineRule="atLeast"/>
    </w:pPr>
    <w:rPr>
      <w:rFonts w:asciiTheme="majorHAnsi" w:hAnsiTheme="majorHAnsi" w:cstheme="majorHAnsi"/>
      <w:noProof/>
      <w:sz w:val="16"/>
      <w:szCs w:val="16"/>
    </w:rPr>
  </w:style>
  <w:style w:type="paragraph" w:customStyle="1" w:styleId="KontaktuppgiftRub">
    <w:name w:val="KontaktuppgiftRub"/>
    <w:basedOn w:val="Kontaktuppgift"/>
    <w:uiPriority w:val="6"/>
    <w:rsid w:val="00E94305"/>
    <w:pPr>
      <w:spacing w:after="0"/>
    </w:pPr>
    <w:rPr>
      <w:b/>
    </w:rPr>
  </w:style>
  <w:style w:type="character" w:customStyle="1" w:styleId="Rubrik2Char">
    <w:name w:val="Rubrik 2 Char"/>
    <w:basedOn w:val="Standardstycketeckensnitt"/>
    <w:link w:val="Rubrik2"/>
    <w:uiPriority w:val="3"/>
    <w:rsid w:val="00E1705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4"/>
    <w:rsid w:val="00E9746C"/>
    <w:rPr>
      <w:rFonts w:asciiTheme="majorHAnsi" w:eastAsiaTheme="majorEastAsia" w:hAnsiTheme="majorHAnsi" w:cstheme="majorBidi"/>
      <w:b/>
      <w:sz w:val="18"/>
      <w:szCs w:val="24"/>
    </w:rPr>
  </w:style>
  <w:style w:type="character" w:customStyle="1" w:styleId="Rubrik4Char">
    <w:name w:val="Rubrik 4 Char"/>
    <w:basedOn w:val="Standardstycketeckensnitt"/>
    <w:link w:val="Rubrik4"/>
    <w:uiPriority w:val="3"/>
    <w:semiHidden/>
    <w:rsid w:val="00842F6D"/>
    <w:rPr>
      <w:rFonts w:asciiTheme="majorHAnsi" w:eastAsiaTheme="majorEastAsia" w:hAnsiTheme="majorHAnsi" w:cstheme="majorBidi"/>
      <w:b/>
      <w:i/>
      <w:iCs/>
      <w:sz w:val="18"/>
    </w:rPr>
  </w:style>
  <w:style w:type="paragraph" w:styleId="Numreradlista">
    <w:name w:val="List Number"/>
    <w:basedOn w:val="Normal"/>
    <w:uiPriority w:val="5"/>
    <w:qFormat/>
    <w:rsid w:val="00EF7A7B"/>
    <w:pPr>
      <w:numPr>
        <w:numId w:val="7"/>
      </w:numPr>
      <w:spacing w:after="170" w:line="260" w:lineRule="atLeast"/>
    </w:pPr>
  </w:style>
  <w:style w:type="paragraph" w:styleId="Punktlista">
    <w:name w:val="List Bullet"/>
    <w:aliases w:val="Punktlista - F"/>
    <w:basedOn w:val="Normal"/>
    <w:uiPriority w:val="9"/>
    <w:qFormat/>
    <w:rsid w:val="00B048D6"/>
    <w:pPr>
      <w:numPr>
        <w:numId w:val="9"/>
      </w:numPr>
      <w:spacing w:after="170" w:line="260" w:lineRule="atLeast"/>
    </w:pPr>
  </w:style>
  <w:style w:type="paragraph" w:styleId="Punktlista2">
    <w:name w:val="List Bullet 2"/>
    <w:basedOn w:val="Normal"/>
    <w:uiPriority w:val="5"/>
    <w:rsid w:val="00B048D6"/>
    <w:pPr>
      <w:numPr>
        <w:ilvl w:val="1"/>
        <w:numId w:val="9"/>
      </w:numPr>
      <w:spacing w:after="170" w:line="260" w:lineRule="atLeast"/>
    </w:pPr>
  </w:style>
  <w:style w:type="paragraph" w:styleId="Punktlista3">
    <w:name w:val="List Bullet 3"/>
    <w:basedOn w:val="Normal"/>
    <w:uiPriority w:val="5"/>
    <w:rsid w:val="00B048D6"/>
    <w:pPr>
      <w:numPr>
        <w:ilvl w:val="2"/>
        <w:numId w:val="9"/>
      </w:numPr>
      <w:spacing w:after="57"/>
      <w:ind w:left="1071" w:hanging="357"/>
    </w:pPr>
  </w:style>
  <w:style w:type="paragraph" w:styleId="Numreradlista2">
    <w:name w:val="List Number 2"/>
    <w:basedOn w:val="Normal"/>
    <w:uiPriority w:val="5"/>
    <w:rsid w:val="004747B2"/>
    <w:pPr>
      <w:numPr>
        <w:ilvl w:val="1"/>
        <w:numId w:val="7"/>
      </w:numPr>
      <w:spacing w:after="170" w:line="260" w:lineRule="atLeast"/>
      <w:ind w:hanging="357"/>
    </w:pPr>
  </w:style>
  <w:style w:type="paragraph" w:styleId="Numreradlista3">
    <w:name w:val="List Number 3"/>
    <w:basedOn w:val="Normal"/>
    <w:uiPriority w:val="5"/>
    <w:rsid w:val="004747B2"/>
    <w:pPr>
      <w:numPr>
        <w:ilvl w:val="2"/>
        <w:numId w:val="7"/>
      </w:numPr>
      <w:spacing w:after="57"/>
      <w:ind w:left="1071" w:hanging="357"/>
    </w:pPr>
  </w:style>
  <w:style w:type="paragraph" w:styleId="Liststycke">
    <w:name w:val="List Paragraph"/>
    <w:basedOn w:val="Normal"/>
    <w:uiPriority w:val="79"/>
    <w:qFormat/>
    <w:rsid w:val="00ED2A68"/>
    <w:pPr>
      <w:ind w:left="720"/>
      <w:contextualSpacing/>
    </w:pPr>
  </w:style>
  <w:style w:type="character" w:styleId="Sidnummer">
    <w:name w:val="page number"/>
    <w:basedOn w:val="Standardstycketeckensnitt"/>
    <w:uiPriority w:val="8"/>
    <w:rsid w:val="00954318"/>
    <w:rPr>
      <w:rFonts w:asciiTheme="majorHAnsi" w:hAnsiTheme="majorHAnsi"/>
      <w:sz w:val="16"/>
    </w:rPr>
  </w:style>
  <w:style w:type="paragraph" w:styleId="Ballongtext">
    <w:name w:val="Balloon Text"/>
    <w:basedOn w:val="Normal"/>
    <w:link w:val="BallongtextChar"/>
    <w:uiPriority w:val="99"/>
    <w:semiHidden/>
    <w:unhideWhenUsed/>
    <w:rsid w:val="0088698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6987"/>
    <w:rPr>
      <w:rFonts w:ascii="Segoe UI" w:hAnsi="Segoe UI" w:cs="Segoe UI"/>
      <w:sz w:val="18"/>
      <w:szCs w:val="18"/>
    </w:rPr>
  </w:style>
  <w:style w:type="paragraph" w:styleId="Ingetavstnd">
    <w:name w:val="No Spacing"/>
    <w:rsid w:val="00065D30"/>
  </w:style>
  <w:style w:type="paragraph" w:styleId="Meddelanderubrik">
    <w:name w:val="Message Header"/>
    <w:basedOn w:val="Normal"/>
    <w:link w:val="MeddelanderubrikChar"/>
    <w:uiPriority w:val="99"/>
    <w:semiHidden/>
    <w:unhideWhenUsed/>
    <w:rsid w:val="002301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noProof/>
      <w:sz w:val="24"/>
      <w:szCs w:val="24"/>
    </w:rPr>
  </w:style>
  <w:style w:type="character" w:customStyle="1" w:styleId="MeddelanderubrikChar">
    <w:name w:val="Meddelanderubrik Char"/>
    <w:basedOn w:val="Standardstycketeckensnitt"/>
    <w:link w:val="Meddelanderubrik"/>
    <w:uiPriority w:val="99"/>
    <w:semiHidden/>
    <w:rsid w:val="002301BD"/>
    <w:rPr>
      <w:rFonts w:asciiTheme="majorHAnsi" w:eastAsiaTheme="majorEastAsia" w:hAnsiTheme="majorHAnsi" w:cstheme="majorBidi"/>
      <w:noProof/>
      <w:sz w:val="24"/>
      <w:szCs w:val="24"/>
      <w:shd w:val="pct20" w:color="auto" w:fill="auto"/>
    </w:rPr>
  </w:style>
  <w:style w:type="character" w:styleId="Kommentarsreferens">
    <w:name w:val="annotation reference"/>
    <w:basedOn w:val="Standardstycketeckensnitt"/>
    <w:uiPriority w:val="99"/>
    <w:semiHidden/>
    <w:unhideWhenUsed/>
    <w:rsid w:val="002301BD"/>
    <w:rPr>
      <w:sz w:val="16"/>
      <w:szCs w:val="16"/>
    </w:rPr>
  </w:style>
  <w:style w:type="paragraph" w:styleId="Kommentarer">
    <w:name w:val="annotation text"/>
    <w:basedOn w:val="Normal"/>
    <w:link w:val="KommentarerChar"/>
    <w:uiPriority w:val="99"/>
    <w:unhideWhenUsed/>
    <w:rsid w:val="002301BD"/>
    <w:rPr>
      <w:sz w:val="20"/>
      <w:szCs w:val="20"/>
    </w:rPr>
  </w:style>
  <w:style w:type="character" w:customStyle="1" w:styleId="KommentarerChar">
    <w:name w:val="Kommentarer Char"/>
    <w:basedOn w:val="Standardstycketeckensnitt"/>
    <w:link w:val="Kommentarer"/>
    <w:uiPriority w:val="99"/>
    <w:rsid w:val="002301BD"/>
    <w:rPr>
      <w:sz w:val="20"/>
      <w:szCs w:val="20"/>
    </w:rPr>
  </w:style>
  <w:style w:type="paragraph" w:styleId="Kommentarsmne">
    <w:name w:val="annotation subject"/>
    <w:basedOn w:val="Kommentarer"/>
    <w:next w:val="Kommentarer"/>
    <w:link w:val="KommentarsmneChar"/>
    <w:uiPriority w:val="99"/>
    <w:semiHidden/>
    <w:unhideWhenUsed/>
    <w:rsid w:val="002301BD"/>
    <w:rPr>
      <w:b/>
      <w:bCs/>
    </w:rPr>
  </w:style>
  <w:style w:type="character" w:customStyle="1" w:styleId="KommentarsmneChar">
    <w:name w:val="Kommentarsämne Char"/>
    <w:basedOn w:val="KommentarerChar"/>
    <w:link w:val="Kommentarsmne"/>
    <w:uiPriority w:val="99"/>
    <w:semiHidden/>
    <w:rsid w:val="002301BD"/>
    <w:rPr>
      <w:b/>
      <w:bCs/>
      <w:sz w:val="20"/>
      <w:szCs w:val="20"/>
    </w:rPr>
  </w:style>
  <w:style w:type="paragraph" w:customStyle="1" w:styleId="Default">
    <w:name w:val="Default"/>
    <w:rsid w:val="007526C5"/>
    <w:pPr>
      <w:autoSpaceDE w:val="0"/>
      <w:autoSpaceDN w:val="0"/>
      <w:adjustRightInd w:val="0"/>
    </w:pPr>
    <w:rPr>
      <w:rFonts w:ascii="Times New Roman" w:hAnsi="Times New Roman" w:cs="Times New Roman"/>
      <w:color w:val="000000"/>
      <w:sz w:val="24"/>
      <w:szCs w:val="24"/>
    </w:rPr>
  </w:style>
  <w:style w:type="character" w:customStyle="1" w:styleId="Rubrik5Char">
    <w:name w:val="Rubrik 5 Char"/>
    <w:basedOn w:val="Standardstycketeckensnitt"/>
    <w:link w:val="Rubrik5"/>
    <w:uiPriority w:val="9"/>
    <w:semiHidden/>
    <w:rsid w:val="00C6775D"/>
    <w:rPr>
      <w:rFonts w:asciiTheme="majorHAnsi" w:eastAsiaTheme="majorEastAsia" w:hAnsiTheme="majorHAnsi" w:cstheme="majorBidi"/>
      <w:color w:val="A9040E" w:themeColor="accent1" w:themeShade="BF"/>
    </w:rPr>
  </w:style>
  <w:style w:type="character" w:customStyle="1" w:styleId="Rubrik6Char">
    <w:name w:val="Rubrik 6 Char"/>
    <w:basedOn w:val="Standardstycketeckensnitt"/>
    <w:link w:val="Rubrik6"/>
    <w:uiPriority w:val="9"/>
    <w:semiHidden/>
    <w:rsid w:val="00C6775D"/>
    <w:rPr>
      <w:rFonts w:asciiTheme="majorHAnsi" w:eastAsiaTheme="majorEastAsia" w:hAnsiTheme="majorHAnsi" w:cstheme="majorBidi"/>
      <w:color w:val="710309" w:themeColor="accent1" w:themeShade="7F"/>
    </w:rPr>
  </w:style>
  <w:style w:type="character" w:customStyle="1" w:styleId="Rubrik7Char">
    <w:name w:val="Rubrik 7 Char"/>
    <w:basedOn w:val="Standardstycketeckensnitt"/>
    <w:link w:val="Rubrik7"/>
    <w:uiPriority w:val="9"/>
    <w:semiHidden/>
    <w:rsid w:val="00C6775D"/>
    <w:rPr>
      <w:rFonts w:asciiTheme="majorHAnsi" w:eastAsiaTheme="majorEastAsia" w:hAnsiTheme="majorHAnsi" w:cstheme="majorBidi"/>
      <w:i/>
      <w:iCs/>
      <w:color w:val="710309" w:themeColor="accent1" w:themeShade="7F"/>
    </w:rPr>
  </w:style>
  <w:style w:type="character" w:customStyle="1" w:styleId="Rubrik8Char">
    <w:name w:val="Rubrik 8 Char"/>
    <w:basedOn w:val="Standardstycketeckensnitt"/>
    <w:link w:val="Rubrik8"/>
    <w:uiPriority w:val="9"/>
    <w:semiHidden/>
    <w:rsid w:val="00C6775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775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901C63"/>
  </w:style>
  <w:style w:type="paragraph" w:customStyle="1" w:styleId="doc-ti">
    <w:name w:val="doc-ti"/>
    <w:basedOn w:val="Normal"/>
    <w:rsid w:val="0025616C"/>
    <w:pPr>
      <w:spacing w:after="100" w:afterAutospacing="1"/>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28"/>
    <w:semiHidden/>
    <w:unhideWhenUsed/>
    <w:rsid w:val="000304C8"/>
    <w:rPr>
      <w:sz w:val="20"/>
      <w:szCs w:val="20"/>
    </w:rPr>
  </w:style>
  <w:style w:type="character" w:customStyle="1" w:styleId="FotnotstextChar">
    <w:name w:val="Fotnotstext Char"/>
    <w:basedOn w:val="Standardstycketeckensnitt"/>
    <w:link w:val="Fotnotstext"/>
    <w:uiPriority w:val="28"/>
    <w:semiHidden/>
    <w:rsid w:val="000304C8"/>
    <w:rPr>
      <w:sz w:val="20"/>
      <w:szCs w:val="20"/>
    </w:rPr>
  </w:style>
  <w:style w:type="character" w:styleId="Fotnotsreferens">
    <w:name w:val="footnote reference"/>
    <w:basedOn w:val="Standardstycketeckensnitt"/>
    <w:uiPriority w:val="28"/>
    <w:semiHidden/>
    <w:unhideWhenUsed/>
    <w:rsid w:val="000304C8"/>
    <w:rPr>
      <w:vertAlign w:val="superscript"/>
    </w:rPr>
  </w:style>
  <w:style w:type="character" w:styleId="Hyperlnk">
    <w:name w:val="Hyperlink"/>
    <w:basedOn w:val="Standardstycketeckensnitt"/>
    <w:uiPriority w:val="99"/>
    <w:unhideWhenUsed/>
    <w:rsid w:val="00B951A9"/>
    <w:rPr>
      <w:color w:val="5F5F5F" w:themeColor="hyperlink"/>
      <w:u w:val="single"/>
    </w:rPr>
  </w:style>
  <w:style w:type="character" w:styleId="AnvndHyperlnk">
    <w:name w:val="FollowedHyperlink"/>
    <w:basedOn w:val="Standardstycketeckensnitt"/>
    <w:uiPriority w:val="99"/>
    <w:semiHidden/>
    <w:unhideWhenUsed/>
    <w:rsid w:val="0044426C"/>
    <w:rPr>
      <w:color w:val="919191" w:themeColor="followedHyperlink"/>
      <w:u w:val="single"/>
    </w:rPr>
  </w:style>
  <w:style w:type="paragraph" w:customStyle="1" w:styleId="HSLF-FS-Brdtextindragfrstaraden">
    <w:name w:val="HSLF-FS-Brödtext indrag första raden"/>
    <w:basedOn w:val="Normal"/>
    <w:uiPriority w:val="8"/>
    <w:qFormat/>
    <w:rsid w:val="00397A00"/>
    <w:pPr>
      <w:spacing w:line="250" w:lineRule="exact"/>
      <w:ind w:firstLine="227"/>
      <w:jc w:val="both"/>
    </w:pPr>
    <w:rPr>
      <w:rFonts w:ascii="Times New Roman" w:eastAsia="Times New Roman" w:hAnsi="Times New Roman" w:cs="Times New Roman"/>
      <w:color w:val="000000" w:themeColor="text1"/>
      <w:sz w:val="21"/>
      <w:szCs w:val="20"/>
      <w:lang w:eastAsia="sv-SE"/>
    </w:rPr>
  </w:style>
  <w:style w:type="paragraph" w:customStyle="1" w:styleId="Tabell-ochdiagramrubrik-F">
    <w:name w:val="Tabell- och diagramrubrik - F"/>
    <w:basedOn w:val="Brdtext"/>
    <w:next w:val="Brdtext"/>
    <w:uiPriority w:val="19"/>
    <w:qFormat/>
    <w:rsid w:val="004B481C"/>
    <w:pPr>
      <w:spacing w:before="200" w:after="120"/>
    </w:pPr>
    <w:rPr>
      <w:rFonts w:asciiTheme="majorHAnsi" w:hAnsiTheme="majorHAnsi"/>
      <w:color w:val="000000" w:themeColor="text1"/>
      <w:sz w:val="18"/>
    </w:rPr>
  </w:style>
  <w:style w:type="paragraph" w:customStyle="1" w:styleId="Tabelltext-F">
    <w:name w:val="Tabelltext - F"/>
    <w:basedOn w:val="Brdtext"/>
    <w:uiPriority w:val="20"/>
    <w:qFormat/>
    <w:rsid w:val="004B481C"/>
    <w:pPr>
      <w:spacing w:before="60" w:after="60" w:line="200" w:lineRule="atLeast"/>
    </w:pPr>
    <w:rPr>
      <w:rFonts w:asciiTheme="majorHAnsi" w:hAnsiTheme="majorHAnsi"/>
      <w:color w:val="000000" w:themeColor="text1"/>
      <w:sz w:val="16"/>
    </w:rPr>
  </w:style>
  <w:style w:type="paragraph" w:customStyle="1" w:styleId="Tabellklla-F">
    <w:name w:val="Tabellkälla - F"/>
    <w:basedOn w:val="Brdtext"/>
    <w:uiPriority w:val="22"/>
    <w:qFormat/>
    <w:rsid w:val="004B481C"/>
    <w:pPr>
      <w:spacing w:before="60" w:after="200" w:line="200" w:lineRule="atLeast"/>
    </w:pPr>
    <w:rPr>
      <w:rFonts w:asciiTheme="majorHAnsi" w:hAnsiTheme="majorHAnsi"/>
      <w:color w:val="000000" w:themeColor="text1"/>
      <w:sz w:val="14"/>
    </w:rPr>
  </w:style>
  <w:style w:type="table" w:customStyle="1" w:styleId="FoHMMestsiffror">
    <w:name w:val="FoHM Mest siffror"/>
    <w:basedOn w:val="Normaltabell"/>
    <w:uiPriority w:val="99"/>
    <w:rsid w:val="004B481C"/>
    <w:pPr>
      <w:spacing w:before="60"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454">
      <w:bodyDiv w:val="1"/>
      <w:marLeft w:val="0"/>
      <w:marRight w:val="0"/>
      <w:marTop w:val="0"/>
      <w:marBottom w:val="0"/>
      <w:divBdr>
        <w:top w:val="none" w:sz="0" w:space="0" w:color="auto"/>
        <w:left w:val="none" w:sz="0" w:space="0" w:color="auto"/>
        <w:bottom w:val="none" w:sz="0" w:space="0" w:color="auto"/>
        <w:right w:val="none" w:sz="0" w:space="0" w:color="auto"/>
      </w:divBdr>
    </w:div>
    <w:div w:id="98844137">
      <w:bodyDiv w:val="1"/>
      <w:marLeft w:val="0"/>
      <w:marRight w:val="0"/>
      <w:marTop w:val="0"/>
      <w:marBottom w:val="0"/>
      <w:divBdr>
        <w:top w:val="none" w:sz="0" w:space="0" w:color="auto"/>
        <w:left w:val="none" w:sz="0" w:space="0" w:color="auto"/>
        <w:bottom w:val="none" w:sz="0" w:space="0" w:color="auto"/>
        <w:right w:val="none" w:sz="0" w:space="0" w:color="auto"/>
      </w:divBdr>
    </w:div>
    <w:div w:id="132144292">
      <w:bodyDiv w:val="1"/>
      <w:marLeft w:val="0"/>
      <w:marRight w:val="0"/>
      <w:marTop w:val="0"/>
      <w:marBottom w:val="0"/>
      <w:divBdr>
        <w:top w:val="none" w:sz="0" w:space="0" w:color="auto"/>
        <w:left w:val="none" w:sz="0" w:space="0" w:color="auto"/>
        <w:bottom w:val="none" w:sz="0" w:space="0" w:color="auto"/>
        <w:right w:val="none" w:sz="0" w:space="0" w:color="auto"/>
      </w:divBdr>
    </w:div>
    <w:div w:id="186649177">
      <w:bodyDiv w:val="1"/>
      <w:marLeft w:val="0"/>
      <w:marRight w:val="0"/>
      <w:marTop w:val="0"/>
      <w:marBottom w:val="0"/>
      <w:divBdr>
        <w:top w:val="none" w:sz="0" w:space="0" w:color="auto"/>
        <w:left w:val="none" w:sz="0" w:space="0" w:color="auto"/>
        <w:bottom w:val="none" w:sz="0" w:space="0" w:color="auto"/>
        <w:right w:val="none" w:sz="0" w:space="0" w:color="auto"/>
      </w:divBdr>
    </w:div>
    <w:div w:id="881747950">
      <w:bodyDiv w:val="1"/>
      <w:marLeft w:val="0"/>
      <w:marRight w:val="0"/>
      <w:marTop w:val="0"/>
      <w:marBottom w:val="0"/>
      <w:divBdr>
        <w:top w:val="none" w:sz="0" w:space="0" w:color="auto"/>
        <w:left w:val="none" w:sz="0" w:space="0" w:color="auto"/>
        <w:bottom w:val="none" w:sz="0" w:space="0" w:color="auto"/>
        <w:right w:val="none" w:sz="0" w:space="0" w:color="auto"/>
      </w:divBdr>
    </w:div>
    <w:div w:id="1089694882">
      <w:bodyDiv w:val="1"/>
      <w:marLeft w:val="0"/>
      <w:marRight w:val="0"/>
      <w:marTop w:val="0"/>
      <w:marBottom w:val="0"/>
      <w:divBdr>
        <w:top w:val="none" w:sz="0" w:space="0" w:color="auto"/>
        <w:left w:val="none" w:sz="0" w:space="0" w:color="auto"/>
        <w:bottom w:val="none" w:sz="0" w:space="0" w:color="auto"/>
        <w:right w:val="none" w:sz="0" w:space="0" w:color="auto"/>
      </w:divBdr>
    </w:div>
    <w:div w:id="1392847611">
      <w:bodyDiv w:val="1"/>
      <w:marLeft w:val="0"/>
      <w:marRight w:val="0"/>
      <w:marTop w:val="0"/>
      <w:marBottom w:val="0"/>
      <w:divBdr>
        <w:top w:val="none" w:sz="0" w:space="0" w:color="auto"/>
        <w:left w:val="none" w:sz="0" w:space="0" w:color="auto"/>
        <w:bottom w:val="none" w:sz="0" w:space="0" w:color="auto"/>
        <w:right w:val="none" w:sz="0" w:space="0" w:color="auto"/>
      </w:divBdr>
    </w:div>
    <w:div w:id="1448550342">
      <w:bodyDiv w:val="1"/>
      <w:marLeft w:val="0"/>
      <w:marRight w:val="0"/>
      <w:marTop w:val="0"/>
      <w:marBottom w:val="0"/>
      <w:divBdr>
        <w:top w:val="none" w:sz="0" w:space="0" w:color="auto"/>
        <w:left w:val="none" w:sz="0" w:space="0" w:color="auto"/>
        <w:bottom w:val="none" w:sz="0" w:space="0" w:color="auto"/>
        <w:right w:val="none" w:sz="0" w:space="0" w:color="auto"/>
      </w:divBdr>
    </w:div>
    <w:div w:id="1973052610">
      <w:bodyDiv w:val="1"/>
      <w:marLeft w:val="0"/>
      <w:marRight w:val="0"/>
      <w:marTop w:val="0"/>
      <w:marBottom w:val="0"/>
      <w:divBdr>
        <w:top w:val="none" w:sz="0" w:space="0" w:color="auto"/>
        <w:left w:val="none" w:sz="0" w:space="0" w:color="auto"/>
        <w:bottom w:val="none" w:sz="0" w:space="0" w:color="auto"/>
        <w:right w:val="none" w:sz="0" w:space="0" w:color="auto"/>
      </w:divBdr>
      <w:divsChild>
        <w:div w:id="2050179003">
          <w:marLeft w:val="0"/>
          <w:marRight w:val="0"/>
          <w:marTop w:val="0"/>
          <w:marBottom w:val="0"/>
          <w:divBdr>
            <w:top w:val="none" w:sz="0" w:space="0" w:color="auto"/>
            <w:left w:val="none" w:sz="0" w:space="0" w:color="auto"/>
            <w:bottom w:val="none" w:sz="0" w:space="0" w:color="auto"/>
            <w:right w:val="none" w:sz="0" w:space="0" w:color="auto"/>
          </w:divBdr>
          <w:divsChild>
            <w:div w:id="564144264">
              <w:marLeft w:val="0"/>
              <w:marRight w:val="0"/>
              <w:marTop w:val="100"/>
              <w:marBottom w:val="100"/>
              <w:divBdr>
                <w:top w:val="none" w:sz="0" w:space="0" w:color="auto"/>
                <w:left w:val="none" w:sz="0" w:space="0" w:color="auto"/>
                <w:bottom w:val="none" w:sz="0" w:space="0" w:color="auto"/>
                <w:right w:val="none" w:sz="0" w:space="0" w:color="auto"/>
              </w:divBdr>
              <w:divsChild>
                <w:div w:id="1037661303">
                  <w:marLeft w:val="0"/>
                  <w:marRight w:val="0"/>
                  <w:marTop w:val="0"/>
                  <w:marBottom w:val="0"/>
                  <w:divBdr>
                    <w:top w:val="none" w:sz="0" w:space="0" w:color="auto"/>
                    <w:left w:val="none" w:sz="0" w:space="0" w:color="auto"/>
                    <w:bottom w:val="none" w:sz="0" w:space="0" w:color="auto"/>
                    <w:right w:val="none" w:sz="0" w:space="0" w:color="auto"/>
                  </w:divBdr>
                  <w:divsChild>
                    <w:div w:id="1329597199">
                      <w:marLeft w:val="-225"/>
                      <w:marRight w:val="-225"/>
                      <w:marTop w:val="0"/>
                      <w:marBottom w:val="0"/>
                      <w:divBdr>
                        <w:top w:val="none" w:sz="0" w:space="0" w:color="auto"/>
                        <w:left w:val="none" w:sz="0" w:space="0" w:color="auto"/>
                        <w:bottom w:val="none" w:sz="0" w:space="0" w:color="auto"/>
                        <w:right w:val="none" w:sz="0" w:space="0" w:color="auto"/>
                      </w:divBdr>
                      <w:divsChild>
                        <w:div w:id="965086581">
                          <w:marLeft w:val="0"/>
                          <w:marRight w:val="0"/>
                          <w:marTop w:val="0"/>
                          <w:marBottom w:val="0"/>
                          <w:divBdr>
                            <w:top w:val="none" w:sz="0" w:space="0" w:color="auto"/>
                            <w:left w:val="none" w:sz="0" w:space="0" w:color="auto"/>
                            <w:bottom w:val="none" w:sz="0" w:space="0" w:color="auto"/>
                            <w:right w:val="none" w:sz="0" w:space="0" w:color="auto"/>
                          </w:divBdr>
                          <w:divsChild>
                            <w:div w:id="1244754693">
                              <w:marLeft w:val="0"/>
                              <w:marRight w:val="0"/>
                              <w:marTop w:val="0"/>
                              <w:marBottom w:val="0"/>
                              <w:divBdr>
                                <w:top w:val="none" w:sz="0" w:space="0" w:color="auto"/>
                                <w:left w:val="none" w:sz="0" w:space="0" w:color="auto"/>
                                <w:bottom w:val="none" w:sz="0" w:space="0" w:color="auto"/>
                                <w:right w:val="none" w:sz="0" w:space="0" w:color="auto"/>
                              </w:divBdr>
                              <w:divsChild>
                                <w:div w:id="1863470451">
                                  <w:marLeft w:val="0"/>
                                  <w:marRight w:val="0"/>
                                  <w:marTop w:val="0"/>
                                  <w:marBottom w:val="0"/>
                                  <w:divBdr>
                                    <w:top w:val="none" w:sz="0" w:space="0" w:color="auto"/>
                                    <w:left w:val="none" w:sz="0" w:space="0" w:color="auto"/>
                                    <w:bottom w:val="none" w:sz="0" w:space="0" w:color="auto"/>
                                    <w:right w:val="none" w:sz="0" w:space="0" w:color="auto"/>
                                  </w:divBdr>
                                  <w:divsChild>
                                    <w:div w:id="1586838298">
                                      <w:marLeft w:val="0"/>
                                      <w:marRight w:val="0"/>
                                      <w:marTop w:val="0"/>
                                      <w:marBottom w:val="0"/>
                                      <w:divBdr>
                                        <w:top w:val="none" w:sz="0" w:space="0" w:color="auto"/>
                                        <w:left w:val="none" w:sz="0" w:space="0" w:color="auto"/>
                                        <w:bottom w:val="none" w:sz="0" w:space="0" w:color="auto"/>
                                        <w:right w:val="none" w:sz="0" w:space="0" w:color="auto"/>
                                      </w:divBdr>
                                      <w:divsChild>
                                        <w:div w:id="779371414">
                                          <w:marLeft w:val="0"/>
                                          <w:marRight w:val="0"/>
                                          <w:marTop w:val="0"/>
                                          <w:marBottom w:val="0"/>
                                          <w:divBdr>
                                            <w:top w:val="none" w:sz="0" w:space="0" w:color="auto"/>
                                            <w:left w:val="none" w:sz="0" w:space="0" w:color="auto"/>
                                            <w:bottom w:val="none" w:sz="0" w:space="0" w:color="auto"/>
                                            <w:right w:val="none" w:sz="0" w:space="0" w:color="auto"/>
                                          </w:divBdr>
                                          <w:divsChild>
                                            <w:div w:id="8144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lf.bergsten@folkhalsomyndigheten.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ini.edvinsson@folkhalsomyndigheten.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a.assarsson@folkhalsomyndighete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tatistikdatabasen.scb.se/pxweb/sv/ssd/START__NV__NV0101/FDBR07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va.glantz\AppData\Roaming\Microsoft\Mallar\Brevmall.dotm" TargetMode="External"/></Relationships>
</file>

<file path=word/theme/theme1.xml><?xml version="1.0" encoding="utf-8"?>
<a:theme xmlns:a="http://schemas.openxmlformats.org/drawingml/2006/main" name="Folkhälsomyndigheten">
  <a:themeElements>
    <a:clrScheme name="FoHM blå">
      <a:dk1>
        <a:sysClr val="windowText" lastClr="000000"/>
      </a:dk1>
      <a:lt1>
        <a:sysClr val="window" lastClr="FFFFFF"/>
      </a:lt1>
      <a:dk2>
        <a:srgbClr val="0065AC"/>
      </a:dk2>
      <a:lt2>
        <a:srgbClr val="F8F8F8"/>
      </a:lt2>
      <a:accent1>
        <a:srgbClr val="E30613"/>
      </a:accent1>
      <a:accent2>
        <a:srgbClr val="951B81"/>
      </a:accent2>
      <a:accent3>
        <a:srgbClr val="009FE3"/>
      </a:accent3>
      <a:accent4>
        <a:srgbClr val="E6007E"/>
      </a:accent4>
      <a:accent5>
        <a:srgbClr val="95C11F"/>
      </a:accent5>
      <a:accent6>
        <a:srgbClr val="FDC300"/>
      </a:accent6>
      <a:hlink>
        <a:srgbClr val="5F5F5F"/>
      </a:hlink>
      <a:folHlink>
        <a:srgbClr val="919191"/>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Lst>
  <a:extLst>
    <a:ext uri="{05A4C25C-085E-4340-85A3-A5531E510DB2}">
      <thm15:themeFamily xmlns:thm15="http://schemas.microsoft.com/office/thememl/2012/main" name="Blank.potx" id="{B7F18EE0-8993-4A4B-8B01-484472D245F9}" vid="{0B5E3D6D-2BFA-4D45-949D-2FF5D0522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65316-B987-4F41-A764-F05E4852E390}">
  <ds:schemaRefs>
    <ds:schemaRef ds:uri="http://schemas.microsoft.com/sharepoint/v3/contenttype/forms"/>
  </ds:schemaRefs>
</ds:datastoreItem>
</file>

<file path=customXml/itemProps2.xml><?xml version="1.0" encoding="utf-8"?>
<ds:datastoreItem xmlns:ds="http://schemas.openxmlformats.org/officeDocument/2006/customXml" ds:itemID="{C75B939B-C6F0-41C2-A1EF-62E279EDCA9A}">
  <ds:schemaRefs>
    <ds:schemaRef ds:uri="http://schemas.openxmlformats.org/officeDocument/2006/bibliography"/>
  </ds:schemaRefs>
</ds:datastoreItem>
</file>

<file path=customXml/itemProps3.xml><?xml version="1.0" encoding="utf-8"?>
<ds:datastoreItem xmlns:ds="http://schemas.openxmlformats.org/officeDocument/2006/customXml" ds:itemID="{783B75B1-71E6-485C-B42B-9347B441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Brevmall</Template>
  <TotalTime>0</TotalTime>
  <Pages>15</Pages>
  <Words>5762</Words>
  <Characters>30539</Characters>
  <Application>Microsoft Office Word</Application>
  <DocSecurity>4</DocSecurity>
  <Lines>254</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Glantz</dc:creator>
  <cp:keywords/>
  <dc:description/>
  <cp:lastModifiedBy>Hanna Pettersson</cp:lastModifiedBy>
  <cp:revision>2</cp:revision>
  <cp:lastPrinted>2018-11-05T06:38:00Z</cp:lastPrinted>
  <dcterms:created xsi:type="dcterms:W3CDTF">2023-01-20T14:55:00Z</dcterms:created>
  <dcterms:modified xsi:type="dcterms:W3CDTF">2023-01-20T14:55:00Z</dcterms:modified>
</cp:coreProperties>
</file>