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4E98F" w14:textId="730BB34C" w:rsidR="004D73A6" w:rsidRPr="00DE2474" w:rsidRDefault="004D73A6" w:rsidP="004D73A6">
      <w:pPr>
        <w:ind w:right="-755"/>
        <w:jc w:val="left"/>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------IND- 2021 0045 D-- HU- ------ 20210210 --- --- PROJET</w:t>
      </w:r>
    </w:p>
    <w:p w14:paraId="2A1D7EB4" w14:textId="77777777" w:rsidR="00A1618A" w:rsidRPr="0018171E" w:rsidRDefault="00A1618A" w:rsidP="00E5776A">
      <w:pPr>
        <w:spacing w:after="240" w:line="360" w:lineRule="auto"/>
        <w:rPr>
          <w:sz w:val="26"/>
          <w:szCs w:val="26"/>
          <w:rFonts w:ascii="Arial" w:hAnsi="Arial" w:cs="Arial"/>
        </w:rPr>
      </w:pPr>
      <w:r>
        <w:rPr>
          <w:sz w:val="26"/>
          <w:szCs w:val="26"/>
          <w:rFonts w:ascii="Arial" w:hAnsi="Arial"/>
        </w:rPr>
        <w:t xml:space="preserve">Igazságügyi és Fogyasztóvédelmi Minisztérium</w:t>
      </w:r>
    </w:p>
    <w:p w14:paraId="4892787C" w14:textId="77777777" w:rsidR="00A1618A" w:rsidRPr="0018171E" w:rsidRDefault="00A1618A" w:rsidP="00E5776A">
      <w:pPr>
        <w:spacing w:after="360" w:line="360" w:lineRule="auto"/>
        <w:jc w:val="center"/>
        <w:rPr>
          <w:b/>
          <w:sz w:val="30"/>
          <w:szCs w:val="30"/>
          <w:rFonts w:ascii="Arial Fett" w:hAnsi="Arial Fett" w:cs="Arial"/>
        </w:rPr>
      </w:pPr>
      <w:r>
        <w:rPr>
          <w:b/>
          <w:sz w:val="30"/>
          <w:szCs w:val="30"/>
          <w:rFonts w:ascii="Arial Fett" w:hAnsi="Arial Fett"/>
        </w:rPr>
        <w:t xml:space="preserve">Módosítási javaslat</w:t>
      </w:r>
    </w:p>
    <w:p w14:paraId="3625169F" w14:textId="77777777" w:rsidR="00A1618A" w:rsidRPr="0018171E" w:rsidRDefault="00A1618A" w:rsidP="00E5776A">
      <w:pPr>
        <w:spacing w:line="360" w:lineRule="auto"/>
        <w:rPr>
          <w:b/>
          <w:sz w:val="26"/>
          <w:szCs w:val="26"/>
          <w:rFonts w:ascii="Arial" w:hAnsi="Arial" w:cs="Arial"/>
        </w:rPr>
      </w:pPr>
      <w:r>
        <w:rPr>
          <w:b/>
          <w:sz w:val="26"/>
          <w:szCs w:val="26"/>
          <w:rFonts w:ascii="Arial" w:hAnsi="Arial"/>
        </w:rPr>
        <w:t xml:space="preserve">a német szövetségi kormány törvénytervezetével kapcsolatban</w:t>
      </w:r>
    </w:p>
    <w:p w14:paraId="47E1A8FA" w14:textId="77777777" w:rsidR="00A1618A" w:rsidRPr="0018171E" w:rsidRDefault="00A1618A" w:rsidP="00E5776A">
      <w:pPr>
        <w:spacing w:after="240" w:line="360" w:lineRule="auto"/>
        <w:rPr>
          <w:b/>
          <w:sz w:val="26"/>
          <w:szCs w:val="26"/>
          <w:rFonts w:ascii="Arial" w:hAnsi="Arial" w:cs="Arial"/>
        </w:rPr>
      </w:pPr>
      <w:r>
        <w:rPr>
          <w:b/>
          <w:sz w:val="26"/>
          <w:szCs w:val="26"/>
          <w:rFonts w:ascii="Arial" w:hAnsi="Arial"/>
        </w:rPr>
        <w:t xml:space="preserve">– nyomtatvány </w:t>
      </w:r>
      <w:r>
        <w:rPr>
          <w:b/>
          <w:rStyle w:val="Marker"/>
        </w:rPr>
        <w:t xml:space="preserve">[…]</w:t>
      </w:r>
      <w:r>
        <w:rPr>
          <w:b/>
          <w:sz w:val="26"/>
          <w:szCs w:val="26"/>
          <w:rFonts w:ascii="Arial" w:hAnsi="Arial"/>
        </w:rPr>
        <w:t xml:space="preserve"> –</w:t>
      </w:r>
    </w:p>
    <w:p w14:paraId="371C6925" w14:textId="77777777" w:rsidR="00A1618A" w:rsidRPr="0018171E" w:rsidRDefault="00A1618A" w:rsidP="00E5776A">
      <w:pPr>
        <w:spacing w:after="480" w:line="360" w:lineRule="auto"/>
        <w:rPr>
          <w:rStyle w:val="Marker"/>
        </w:rPr>
      </w:pPr>
      <w:r>
        <w:rPr>
          <w:rStyle w:val="Marker"/>
        </w:rPr>
        <w:t xml:space="preserve">[…]</w:t>
      </w:r>
    </w:p>
    <w:p w14:paraId="57FA809D" w14:textId="77777777" w:rsidR="00A1618A" w:rsidRPr="0018171E" w:rsidRDefault="00A1618A" w:rsidP="00E5776A">
      <w:pPr>
        <w:spacing w:line="360" w:lineRule="auto"/>
        <w:rPr>
          <w:sz w:val="22"/>
          <w:rFonts w:ascii="Arial" w:hAnsi="Arial" w:cs="Arial"/>
        </w:rPr>
      </w:pPr>
      <w:r>
        <w:rPr>
          <w:sz w:val="22"/>
          <w:rFonts w:ascii="Arial" w:hAnsi="Arial"/>
        </w:rPr>
        <w:t xml:space="preserve">A Bundestag</w:t>
      </w:r>
    </w:p>
    <w:p w14:paraId="7B2A7215" w14:textId="5911DA34" w:rsidR="0063228E" w:rsidRPr="0018171E" w:rsidRDefault="00A1618A" w:rsidP="00E5776A">
      <w:pPr>
        <w:spacing w:line="360" w:lineRule="auto"/>
        <w:rPr>
          <w:sz w:val="22"/>
          <w:rFonts w:ascii="Arial" w:hAnsi="Arial" w:cs="Arial"/>
        </w:rPr>
      </w:pPr>
      <w:r>
        <w:rPr>
          <w:sz w:val="22"/>
          <w:rFonts w:ascii="Arial" w:hAnsi="Arial"/>
        </w:rPr>
        <w:t xml:space="preserve">a(z)</w:t>
      </w:r>
      <w:r>
        <w:t xml:space="preserve"> </w:t>
      </w:r>
      <w:r>
        <w:rPr>
          <w:rStyle w:val="Marker"/>
        </w:rPr>
        <w:t xml:space="preserve">[…]</w:t>
      </w:r>
      <w:r>
        <w:rPr>
          <w:sz w:val="22"/>
          <w:rFonts w:ascii="Arial" w:hAnsi="Arial"/>
        </w:rPr>
        <w:t xml:space="preserve"> nyomtatványra vonatkozó törvénytervezetet a következő, egyebekben változatlan rendelkezésekkel szándékozik elfogadni:</w:t>
      </w:r>
    </w:p>
    <w:p w14:paraId="63DEEB82" w14:textId="1DF3B60D" w:rsidR="00A1618A" w:rsidRPr="0018171E" w:rsidRDefault="00A1618A" w:rsidP="00A1618A">
      <w:pPr>
        <w:pStyle w:val="EmpfehlungNummerierungStufe1"/>
      </w:pPr>
      <w:r>
        <w:t xml:space="preserve">A(z) ... cikk után a szöveg a következő ... cikkel egészül ki:</w:t>
      </w:r>
    </w:p>
    <w:p w14:paraId="299BD583" w14:textId="5B63D453" w:rsidR="00E5776A" w:rsidRPr="0018171E" w:rsidRDefault="00E5776A" w:rsidP="009C727B">
      <w:pPr>
        <w:pStyle w:val="RevisionArtikelBezeichnermanuell"/>
        <w:ind w:left="425" w:hanging="70"/>
      </w:pPr>
      <w:r>
        <w:t xml:space="preserve">„</w:t>
      </w:r>
      <w:r>
        <w:rPr>
          <w:rStyle w:val="Marker"/>
        </w:rPr>
        <w:t xml:space="preserve">[…]</w:t>
      </w:r>
      <w:r>
        <w:t xml:space="preserve"> cikk</w:t>
      </w:r>
      <w:r>
        <w:rPr>
          <w:rStyle w:val="FootnoteReference"/>
          <w:color w:val="0000FF"/>
        </w:rPr>
        <w:footnoteReference w:customMarkFollows="1" w:id="1"/>
        <w:t xml:space="preserve">*</w:t>
      </w:r>
      <w:r>
        <w:rPr>
          <w:rStyle w:val="FootnoteReference"/>
          <w:color w:val="0000FF"/>
          <w:vertAlign w:val="baseline"/>
        </w:rPr>
        <w:t xml:space="preserve">)</w:t>
      </w:r>
      <w:r>
        <w:rPr>
          <w:rStyle w:val="Marker"/>
        </w:rPr>
        <w:t xml:space="preserve"> </w:t>
      </w:r>
    </w:p>
    <w:p w14:paraId="0353C7F8" w14:textId="06DB94DE" w:rsidR="00D879BF" w:rsidRPr="0018171E" w:rsidRDefault="00D879BF" w:rsidP="009C727B">
      <w:pPr>
        <w:pStyle w:val="RevisionArtikelberschrift"/>
        <w:ind w:left="425"/>
      </w:pPr>
      <w:r>
        <w:rPr>
          <w:b/>
        </w:rPr>
        <w:t xml:space="preserve">A hálózati végrehajtási törvény módosítása</w:t>
      </w:r>
    </w:p>
    <w:p w14:paraId="17D06E04" w14:textId="25FA39A2" w:rsidR="00A1618A" w:rsidRPr="0018171E" w:rsidRDefault="00A1618A" w:rsidP="0018171E">
      <w:pPr>
        <w:pStyle w:val="RevisionJuristischerAbsatzmanuell"/>
        <w:keepNext/>
        <w:tabs>
          <w:tab w:val="clear" w:pos="850"/>
          <w:tab w:val="left" w:pos="1275"/>
        </w:tabs>
        <w:ind w:left="425"/>
      </w:pPr>
      <w:r>
        <w:t xml:space="preserve">A 2017. szeptember 1-jei hálózati végrehajtási törvény (BGBl.</w:t>
      </w:r>
      <w:r>
        <w:t xml:space="preserve"> </w:t>
      </w:r>
      <w:r>
        <w:t xml:space="preserve">I., 3352. o.) – amelyet utoljára a(z) [a hálózati végrehajtási törvény módosításáról szóló törvénytervezet 1. cikke, a Bundestag 19/18792. sz. nyomtatványa] módosított – a következők szerint módosul:</w:t>
      </w:r>
    </w:p>
    <w:p w14:paraId="32195031" w14:textId="0D6EA219" w:rsidR="00A1618A" w:rsidRPr="0018171E" w:rsidRDefault="00A1618A" w:rsidP="009C727B">
      <w:pPr>
        <w:pStyle w:val="RevisionNummerierungStufe1"/>
        <w:numPr>
          <w:ilvl w:val="3"/>
          <w:numId w:val="2"/>
        </w:numPr>
        <w:tabs>
          <w:tab w:val="clear" w:pos="425"/>
          <w:tab w:val="num" w:pos="850"/>
        </w:tabs>
        <w:ind w:left="850"/>
      </w:pPr>
      <w:r>
        <w:t xml:space="preserve">Az 1.§ (2) bekezdésében a </w:t>
      </w:r>
      <w:r>
        <w:rPr>
          <w:rStyle w:val="RevisionText"/>
        </w:rPr>
        <w:t xml:space="preserve">„2–3b. §”</w:t>
      </w:r>
      <w:r>
        <w:t xml:space="preserve"> szövegrész helyébe a </w:t>
      </w:r>
      <w:r>
        <w:rPr>
          <w:rStyle w:val="RevisionText"/>
        </w:rPr>
        <w:t xml:space="preserve">„2–3b. és 5a. §”</w:t>
      </w:r>
      <w:r>
        <w:t xml:space="preserve"> szövegrész lép.</w:t>
      </w:r>
    </w:p>
    <w:p w14:paraId="10263F3F" w14:textId="0779D0EE" w:rsidR="00A1618A" w:rsidRPr="0018171E" w:rsidRDefault="00A1618A" w:rsidP="009C727B">
      <w:pPr>
        <w:pStyle w:val="RevisionNummerierungStufe1"/>
        <w:tabs>
          <w:tab w:val="clear" w:pos="425"/>
          <w:tab w:val="num" w:pos="850"/>
        </w:tabs>
        <w:ind w:left="850"/>
      </w:pPr>
      <w:r>
        <w:t xml:space="preserve">A 2. § (2) bekezdésének 2. pontjában a </w:t>
      </w:r>
      <w:r>
        <w:rPr>
          <w:rStyle w:val="RevisionText"/>
        </w:rPr>
        <w:t xml:space="preserve">„támogatásban részesülnek”</w:t>
      </w:r>
      <w:r>
        <w:t xml:space="preserve"> szövegrész után az </w:t>
      </w:r>
      <w:r>
        <w:rPr>
          <w:rStyle w:val="RevisionText"/>
        </w:rPr>
        <w:t xml:space="preserve">„és e célból hozzáférést kaptak a szolgáltatótól származó információkhoz”</w:t>
      </w:r>
      <w:r>
        <w:t xml:space="preserve"> szövegrészt kell beilleszteni.</w:t>
      </w:r>
    </w:p>
    <w:p w14:paraId="26550664" w14:textId="0FE945BB" w:rsidR="00A1618A" w:rsidRPr="0018171E" w:rsidRDefault="00A1618A" w:rsidP="0018171E">
      <w:pPr>
        <w:pStyle w:val="RevisionNummerierungStufe1"/>
        <w:keepNext/>
        <w:tabs>
          <w:tab w:val="clear" w:pos="425"/>
          <w:tab w:val="num" w:pos="850"/>
        </w:tabs>
        <w:ind w:left="850"/>
      </w:pPr>
      <w:r>
        <w:t xml:space="preserve">Az 5. § után a szöveg a következő 5a. §-sal egészül ki:</w:t>
      </w:r>
    </w:p>
    <w:p w14:paraId="0324CC36" w14:textId="2F7FB129" w:rsidR="00D879BF" w:rsidRPr="0018171E" w:rsidRDefault="00D879BF" w:rsidP="009C727B">
      <w:pPr>
        <w:pStyle w:val="RevisionParagraphBezeichnermanuell"/>
        <w:ind w:left="850" w:hanging="90"/>
      </w:pPr>
      <w:r>
        <w:t xml:space="preserve">„5a. §</w:t>
      </w:r>
    </w:p>
    <w:p w14:paraId="726DC658" w14:textId="39CB7E5F" w:rsidR="00D879BF" w:rsidRPr="0018171E" w:rsidRDefault="00D879BF" w:rsidP="009C727B">
      <w:pPr>
        <w:pStyle w:val="RevisionParagraphberschrift"/>
        <w:ind w:left="850"/>
      </w:pPr>
      <w:r>
        <w:t xml:space="preserve">Tudományos kutatáshoz kapcsolódó tájékoztatás</w:t>
      </w:r>
    </w:p>
    <w:p w14:paraId="6AD69D50" w14:textId="4BFCD7E0" w:rsidR="003E7797" w:rsidRPr="0018171E" w:rsidRDefault="00792014" w:rsidP="009C727B">
      <w:pPr>
        <w:pStyle w:val="RevisionJuristischerAbsatz"/>
        <w:numPr>
          <w:ilvl w:val="2"/>
          <w:numId w:val="1"/>
        </w:numPr>
        <w:tabs>
          <w:tab w:val="clear" w:pos="850"/>
          <w:tab w:val="num" w:pos="1700"/>
        </w:tabs>
        <w:ind w:left="850"/>
      </w:pPr>
      <w:r>
        <w:t xml:space="preserve">A jelen előírás értelmében kutatónak minősül minden tudományos kutatást végző természetes vagy jogi személy.</w:t>
      </w:r>
    </w:p>
    <w:p w14:paraId="465DF5C8" w14:textId="2D2C57F4" w:rsidR="003E7797" w:rsidRPr="0018171E" w:rsidRDefault="003E7797" w:rsidP="0018171E">
      <w:pPr>
        <w:pStyle w:val="RevisionJuristischerAbsatz"/>
        <w:keepNext/>
        <w:tabs>
          <w:tab w:val="clear" w:pos="850"/>
          <w:tab w:val="num" w:pos="1700"/>
        </w:tabs>
        <w:ind w:left="850"/>
      </w:pPr>
      <w:r>
        <w:t xml:space="preserve">A kutató minősített információt kérhet a közösségi hálózat szolgáltatójától a következőkről:</w:t>
      </w:r>
    </w:p>
    <w:p w14:paraId="1DAACCE7" w14:textId="576C75C0" w:rsidR="003E7797" w:rsidRPr="0018171E" w:rsidRDefault="003E7797" w:rsidP="009C727B">
      <w:pPr>
        <w:pStyle w:val="RevisionNummerierungStufe1"/>
        <w:tabs>
          <w:tab w:val="clear" w:pos="425"/>
          <w:tab w:val="num" w:pos="1275"/>
        </w:tabs>
        <w:ind w:left="1275"/>
      </w:pPr>
      <w:r>
        <w:t xml:space="preserve">az eltávolítandó vagy letiltandó tartalmak automatizált felismerésére szolgáló eljárások alkalmazása és konkrét működési módja, különös tekintettel az alkalmazott technológiák típusára és terjedelmére, programozásuk céljaira, kritériumaira és paramétereire, valamint a felhasznált adatokra,</w:t>
      </w:r>
    </w:p>
    <w:p w14:paraId="3C838C31" w14:textId="1ACF9BED" w:rsidR="003E7797" w:rsidRPr="0018171E" w:rsidRDefault="003E7797" w:rsidP="009C727B">
      <w:pPr>
        <w:pStyle w:val="RevisionNummerierungStufe1"/>
        <w:tabs>
          <w:tab w:val="clear" w:pos="425"/>
          <w:tab w:val="num" w:pos="1275"/>
        </w:tabs>
        <w:ind w:left="1275"/>
      </w:pPr>
      <w:r>
        <w:t xml:space="preserve">a jogellenes tartalommal kapcsolatos panasz tárgyát képező, illetve a szolgáltató által eltávolított vagy letiltott tartalmak terjesztése, különös tekintettel a megfelelő tartalomra, valamint információkra arról, mely felhasználó hogyan viszonyult a tartalmakhoz.</w:t>
      </w:r>
    </w:p>
    <w:p w14:paraId="1DA5F836" w14:textId="37C638B4" w:rsidR="003E7797" w:rsidRPr="0018171E" w:rsidRDefault="003E7797" w:rsidP="009C727B">
      <w:pPr>
        <w:pStyle w:val="RevisionJuristischerAbsatz"/>
        <w:tabs>
          <w:tab w:val="clear" w:pos="850"/>
          <w:tab w:val="num" w:pos="1700"/>
        </w:tabs>
        <w:ind w:left="850"/>
      </w:pPr>
      <w:r>
        <w:t xml:space="preserve">A (2) bekezdés szerinti információk csak akkor igényelhetők, ha a közérdekű tudományos kutatás témáját képező projektek szükségesek a közösségi hálózatokban folytatott nyilvános kommunikáció típusával, terjedelmével, okaival és hatásaival, valamint a szolgáltatók általi kezeléssel kapcsolatban.</w:t>
      </w:r>
    </w:p>
    <w:p w14:paraId="0D5D8322" w14:textId="0EC96F12" w:rsidR="003B0970" w:rsidRPr="0018171E" w:rsidRDefault="003B0970" w:rsidP="0018171E">
      <w:pPr>
        <w:pStyle w:val="RevisionJuristischerAbsatz"/>
        <w:keepNext/>
        <w:tabs>
          <w:tab w:val="clear" w:pos="850"/>
          <w:tab w:val="num" w:pos="1700"/>
        </w:tabs>
        <w:ind w:left="850"/>
      </w:pPr>
      <w:r>
        <w:t xml:space="preserve">Az adott információk csak akkor adhatók meg, ha a kutató védelmi koncepciót nyújt be a közösségi hálózat szolgáltatójának.</w:t>
      </w:r>
      <w:r>
        <w:t xml:space="preserve"> </w:t>
      </w:r>
      <w:r>
        <w:t xml:space="preserve">A védelmi koncepció az alábbiakat foglalja magában:</w:t>
      </w:r>
    </w:p>
    <w:p w14:paraId="577C67EC" w14:textId="60CDC11C" w:rsidR="003B0970" w:rsidRPr="0018171E" w:rsidRDefault="003B0970" w:rsidP="009C727B">
      <w:pPr>
        <w:pStyle w:val="RevisionNummerierungStufe1"/>
        <w:tabs>
          <w:tab w:val="clear" w:pos="425"/>
          <w:tab w:val="num" w:pos="1275"/>
        </w:tabs>
        <w:ind w:left="1275"/>
      </w:pPr>
      <w:r>
        <w:t xml:space="preserve">A (3) bekezdésben említett kutatási célokhoz szükséges információk leírása,</w:t>
      </w:r>
    </w:p>
    <w:p w14:paraId="5AABA7E4" w14:textId="3A66C314" w:rsidR="003B0970" w:rsidRPr="0018171E" w:rsidRDefault="003B0970" w:rsidP="009C727B">
      <w:pPr>
        <w:pStyle w:val="RevisionNummerierungStufe1"/>
        <w:tabs>
          <w:tab w:val="clear" w:pos="425"/>
          <w:tab w:val="num" w:pos="1275"/>
        </w:tabs>
        <w:ind w:left="1275"/>
      </w:pPr>
      <w:r>
        <w:t xml:space="preserve">az információk tervezett felhasználásának leírása,</w:t>
      </w:r>
    </w:p>
    <w:p w14:paraId="0654C9E5" w14:textId="4D2A02B0" w:rsidR="003B0970" w:rsidRPr="0018171E" w:rsidRDefault="009A5C22" w:rsidP="009C727B">
      <w:pPr>
        <w:pStyle w:val="RevisionNummerierungStufe1"/>
        <w:tabs>
          <w:tab w:val="clear" w:pos="425"/>
          <w:tab w:val="num" w:pos="1275"/>
        </w:tabs>
        <w:ind w:left="1275"/>
      </w:pPr>
      <w:r>
        <w:t xml:space="preserve">az információk bármilyen más felhasználásának megakadályozása érdekében tett óvintézkedések leírása,</w:t>
      </w:r>
    </w:p>
    <w:p w14:paraId="7DD21787" w14:textId="65E2C567" w:rsidR="003B0970" w:rsidRPr="0018171E" w:rsidRDefault="009A5C22" w:rsidP="009C727B">
      <w:pPr>
        <w:pStyle w:val="RevisionNummerierungStufe1"/>
        <w:tabs>
          <w:tab w:val="clear" w:pos="425"/>
          <w:tab w:val="num" w:pos="1275"/>
        </w:tabs>
        <w:ind w:left="1275"/>
      </w:pPr>
      <w:r>
        <w:t xml:space="preserve">a szolgáltató jogos érdekeinek védelmét szolgáló óvintézkedések leírása, valamint</w:t>
      </w:r>
    </w:p>
    <w:p w14:paraId="7FDD7EDD" w14:textId="6C7443DB" w:rsidR="003B0970" w:rsidRPr="0018171E" w:rsidRDefault="003B0970" w:rsidP="009C727B">
      <w:pPr>
        <w:pStyle w:val="RevisionNummerierungStufe1"/>
        <w:tabs>
          <w:tab w:val="clear" w:pos="425"/>
          <w:tab w:val="num" w:pos="1275"/>
        </w:tabs>
        <w:ind w:left="1275"/>
      </w:pPr>
      <w:r>
        <w:t xml:space="preserve">a személyes adatok védelmét biztosító technikai és szervezeti intézkedések leírása.</w:t>
      </w:r>
    </w:p>
    <w:p w14:paraId="6F58E8FB" w14:textId="7863B11B" w:rsidR="003B0970" w:rsidRPr="0018171E" w:rsidRDefault="003B0970" w:rsidP="009C727B">
      <w:pPr>
        <w:pStyle w:val="RevisionJuristischerAbsatzFolgeabsatz"/>
        <w:ind w:left="850"/>
      </w:pPr>
      <w:r>
        <w:t xml:space="preserve">A védelmi koncepciót az információkéréssel egyidejűleg továbbítani kell az illetékes adatvédelmi felügyeleti hatósághoz.</w:t>
      </w:r>
    </w:p>
    <w:p w14:paraId="4D175D2B" w14:textId="0B4186A8" w:rsidR="009C0AFB" w:rsidRPr="0018171E" w:rsidRDefault="003E7797" w:rsidP="0018171E">
      <w:pPr>
        <w:pStyle w:val="RevisionJuristischerAbsatz"/>
        <w:keepNext/>
        <w:tabs>
          <w:tab w:val="clear" w:pos="850"/>
          <w:tab w:val="num" w:pos="1700"/>
        </w:tabs>
        <w:ind w:left="850"/>
      </w:pPr>
      <w:r>
        <w:t xml:space="preserve">A közösségi hálózat szolgáltatója megtagadhatja a tájékoztatást, amennyiben</w:t>
      </w:r>
    </w:p>
    <w:p w14:paraId="20E7290B" w14:textId="1403DA61" w:rsidR="009C0AFB" w:rsidRPr="0018171E" w:rsidRDefault="003E7797" w:rsidP="009C727B">
      <w:pPr>
        <w:pStyle w:val="RevisionNummerierungStufe1"/>
        <w:tabs>
          <w:tab w:val="clear" w:pos="425"/>
          <w:tab w:val="num" w:pos="1275"/>
        </w:tabs>
        <w:ind w:left="1275"/>
      </w:pPr>
      <w:r>
        <w:t xml:space="preserve">jogos érdekei jelentős elsőbbséget élveznek a kutatáshoz fűződő közérdekkel szemben, vagy</w:t>
      </w:r>
    </w:p>
    <w:p w14:paraId="0330033E" w14:textId="544CB962" w:rsidR="003E7797" w:rsidRPr="0018171E" w:rsidRDefault="003E7797" w:rsidP="009C727B">
      <w:pPr>
        <w:pStyle w:val="RevisionNummerierungStufe1"/>
        <w:tabs>
          <w:tab w:val="clear" w:pos="425"/>
          <w:tab w:val="num" w:pos="1275"/>
        </w:tabs>
        <w:ind w:left="1275"/>
      </w:pPr>
      <w:r>
        <w:t xml:space="preserve">az érintettek jogos érdekeire korlátozás vonatkozik, és a kutatáshoz fűződő közérdek nem élvez elsőbbséget az érintettek titoktartáshoz fűződő érdekeivel szemben.</w:t>
      </w:r>
    </w:p>
    <w:p w14:paraId="63F909E8" w14:textId="4478DA44" w:rsidR="00D969A6" w:rsidRPr="0018171E" w:rsidRDefault="00D969A6" w:rsidP="0018171E">
      <w:pPr>
        <w:pStyle w:val="RevisionJuristischerAbsatz"/>
        <w:keepNext/>
        <w:tabs>
          <w:tab w:val="clear" w:pos="850"/>
          <w:tab w:val="num" w:pos="1700"/>
        </w:tabs>
        <w:ind w:left="850"/>
      </w:pPr>
      <w:r>
        <w:t xml:space="preserve">A közösségi hálózat szolgáltatója a következő személyes adatokat továbbíthatja a (2) bekezdés szerinti információszolgáltatás céljából:</w:t>
      </w:r>
    </w:p>
    <w:p w14:paraId="63FE05D0" w14:textId="1ABFB4BC" w:rsidR="00D969A6" w:rsidRPr="0018171E" w:rsidRDefault="00D969A6" w:rsidP="009C727B">
      <w:pPr>
        <w:pStyle w:val="RevisionNummerierungStufe1"/>
        <w:tabs>
          <w:tab w:val="clear" w:pos="425"/>
          <w:tab w:val="num" w:pos="1275"/>
        </w:tabs>
        <w:ind w:left="1275"/>
      </w:pPr>
      <w:r>
        <w:t xml:space="preserve">terjesztett tartalmak,</w:t>
      </w:r>
    </w:p>
    <w:p w14:paraId="2331E910" w14:textId="7E2B248A" w:rsidR="00D969A6" w:rsidRPr="0018171E" w:rsidRDefault="00D969A6" w:rsidP="009C727B">
      <w:pPr>
        <w:pStyle w:val="RevisionNummerierungStufe1"/>
        <w:tabs>
          <w:tab w:val="clear" w:pos="425"/>
          <w:tab w:val="num" w:pos="1275"/>
        </w:tabs>
        <w:ind w:left="1275"/>
      </w:pPr>
      <w:r>
        <w:t xml:space="preserve">a jogellenes tartalommal kapcsolatos panaszok,</w:t>
      </w:r>
    </w:p>
    <w:p w14:paraId="4CC6BEE3" w14:textId="48B4D2C4" w:rsidR="00D969A6" w:rsidRPr="0018171E" w:rsidRDefault="00D969A6" w:rsidP="009C727B">
      <w:pPr>
        <w:pStyle w:val="RevisionNummerierungStufe1"/>
        <w:tabs>
          <w:tab w:val="clear" w:pos="425"/>
          <w:tab w:val="num" w:pos="1275"/>
        </w:tabs>
        <w:ind w:left="1275"/>
      </w:pPr>
      <w:r>
        <w:t xml:space="preserve">a terjesztésben részt vevők felhasználóneve,</w:t>
      </w:r>
    </w:p>
    <w:p w14:paraId="7F95ED84" w14:textId="6E103565" w:rsidR="00D969A6" w:rsidRPr="0018171E" w:rsidRDefault="00D969A6" w:rsidP="009C727B">
      <w:pPr>
        <w:pStyle w:val="RevisionNummerierungStufe1"/>
        <w:tabs>
          <w:tab w:val="clear" w:pos="425"/>
          <w:tab w:val="num" w:pos="1275"/>
        </w:tabs>
        <w:ind w:left="1275"/>
      </w:pPr>
      <w:r>
        <w:t xml:space="preserve">a terjesztésben részt vevők interakcióinak pontosabb részletei a megfelelő tartalmak és</w:t>
      </w:r>
    </w:p>
    <w:p w14:paraId="35C5E61A" w14:textId="08449E2C" w:rsidR="00D969A6" w:rsidRPr="0018171E" w:rsidRDefault="00D969A6" w:rsidP="009C727B">
      <w:pPr>
        <w:pStyle w:val="RevisionNummerierungStufe1"/>
        <w:tabs>
          <w:tab w:val="clear" w:pos="425"/>
          <w:tab w:val="num" w:pos="1275"/>
        </w:tabs>
        <w:ind w:left="1275"/>
      </w:pPr>
      <w:r>
        <w:t xml:space="preserve">az eltávolítandó vagy letiltandó tartalom automatizált felismerésére szolgáló eljárások „tréningadatai”, valamint információk az eljárások programozásának módjáról, céljairól, kritériumairól és paramétereiről.</w:t>
      </w:r>
    </w:p>
    <w:p w14:paraId="041944BF" w14:textId="44C7953A" w:rsidR="00D969A6" w:rsidRPr="0018171E" w:rsidRDefault="00D969A6" w:rsidP="009C727B">
      <w:pPr>
        <w:pStyle w:val="RevisionJuristischerAbsatzFolgeabsatz"/>
        <w:ind w:left="850"/>
      </w:pPr>
      <w:r>
        <w:t xml:space="preserve">Az adatokat névtelenül vagy legalábbis álnevesítve kell továbbítani, feltéve, hogy ez a kutatási cél veszélyeztetése nélkül lehetséges.</w:t>
      </w:r>
    </w:p>
    <w:p w14:paraId="586F09EF" w14:textId="3B2EB56C" w:rsidR="00D969A6" w:rsidRPr="0018171E" w:rsidRDefault="00D969A6" w:rsidP="009C727B">
      <w:pPr>
        <w:pStyle w:val="RevisionJuristischerAbsatz"/>
        <w:tabs>
          <w:tab w:val="clear" w:pos="850"/>
          <w:tab w:val="num" w:pos="1700"/>
        </w:tabs>
        <w:ind w:left="850"/>
      </w:pPr>
      <w:r>
        <w:t xml:space="preserve">A kutató az adatokat kizárólag a (3) bekezdés szerinti tudományos kutatás céljából dolgozhatja fel.</w:t>
      </w:r>
      <w:r>
        <w:t xml:space="preserve"> </w:t>
      </w:r>
      <w:r>
        <w:t xml:space="preserve">Ami a természetes személyeknek a személyes adatok kezelése tekintetében történő védelméről és az ilyen adatok szabad áramlásáról, valamint a 95/46/EK irányelv hatályon kívül helyezéséről (általános adatvédelmi rendelet) szóló, 2016. április 27-i (EU) 2016/679 európai parlamenti és tanácsi rendelet (HL L 119., 2016.5.4., 1. o.; L 314., 2016.11.22., 72. o.; L 127., 2018.5.23., 2. o.) 9. cikkének (1) bekezdése értelmében a különleges adatkategóriákat illeti, a kutatónak a szövetségi adatvédelmi törvény 22. cikke (2) bekezdésének 2. mondatával összhangban megfelelő egyedi intézkedéseket kell tennie az érintett érdekeinek védelme érdekében.</w:t>
      </w:r>
      <w:r>
        <w:t xml:space="preserve"> </w:t>
      </w:r>
      <w:r>
        <w:t xml:space="preserve">Az ott említett intézkedések mellett az (EU) 2016/679 rendelet 9. cikkének (1) bekezdése szerinti adatokat anonimizálni kell, amennyiben ez a kutatási célnak megfelelően lehetséges.</w:t>
      </w:r>
      <w:r>
        <w:t xml:space="preserve"> </w:t>
      </w:r>
      <w:r>
        <w:t xml:space="preserve">A további adatvédelmi követelmények változatlanok maradnak.</w:t>
      </w:r>
    </w:p>
    <w:p w14:paraId="1627C846" w14:textId="381758EE" w:rsidR="0063228E" w:rsidRPr="0018171E" w:rsidRDefault="00D969A6" w:rsidP="00301E30">
      <w:pPr>
        <w:pStyle w:val="RevisionJuristischerAbsatz"/>
        <w:tabs>
          <w:tab w:val="clear" w:pos="850"/>
          <w:tab w:val="num" w:pos="1700"/>
        </w:tabs>
        <w:ind w:left="850"/>
      </w:pPr>
      <w:r>
        <w:t xml:space="preserve">A közösségi hálózat szolgáltatója jogosult a (2) bekezdés szerinti információszolgáltatással kapcsolatban felmerülő észszerű költségek visszatérítésére.</w:t>
      </w:r>
      <w:r>
        <w:t xml:space="preserve"> </w:t>
      </w:r>
      <w:r>
        <w:t xml:space="preserve">Az észszerűség mértékének meghatározása során figyelembe kell venni, hogy a költségek nem jelenthetnek jelentős akadályt a tájékoztatáshoz való jog alkalmazásában.</w:t>
      </w:r>
      <w:r>
        <w:t xml:space="preserve"> </w:t>
      </w:r>
      <w:r>
        <w:t xml:space="preserve">A polgári perrendtartásról szóló törvény (Zivilprozessordnung) 287. §-ának (1) bekezdése megfelelően alkalmazandó.</w:t>
      </w:r>
      <w:r>
        <w:t xml:space="preserve"> </w:t>
      </w:r>
      <w:r>
        <w:t xml:space="preserve">A költségek megtéríthető összege legfeljebb 5000 euró lehet.</w:t>
      </w:r>
      <w:r>
        <w:t xml:space="preserve"> </w:t>
      </w:r>
      <w:r>
        <w:t xml:space="preserve">Ezt az összeget csak akkor lehet túllépni, ha az információszolgáltatás kivételesen nagy erőfeszítéssel jár.</w:t>
      </w:r>
      <w:r>
        <w:t xml:space="preserve"> </w:t>
      </w:r>
      <w:r>
        <w:t xml:space="preserve">A védelmi koncepciónak a (4) bekezdés szerinti benyújtása után a kutató felkérheti a szolgáltatót, hogy észszerű határidőn belül díjmentes költségbecslést nyújtson be.”</w:t>
      </w:r>
    </w:p>
    <w:p w14:paraId="36342A1E" w14:textId="099F92EE" w:rsidR="0063228E" w:rsidRPr="0018171E" w:rsidRDefault="00482E04" w:rsidP="0018171E">
      <w:pPr>
        <w:pStyle w:val="EmpfehlungNummerierungStufe1"/>
        <w:keepNext/>
      </w:pPr>
      <w:r>
        <w:t xml:space="preserve">A(z) </w:t>
      </w:r>
      <w:r>
        <w:rPr>
          <w:rStyle w:val="Marker"/>
        </w:rPr>
        <w:t xml:space="preserve">[…]</w:t>
      </w:r>
      <w:r>
        <w:t xml:space="preserve"> cikk szövege a következőképpen módosul:</w:t>
      </w:r>
    </w:p>
    <w:p w14:paraId="49D47905" w14:textId="31CE6EC1" w:rsidR="00173C16" w:rsidRPr="0018171E" w:rsidRDefault="00173C16" w:rsidP="009C727B">
      <w:pPr>
        <w:pStyle w:val="RevisionArtikelBezeichnermanuell"/>
        <w:ind w:left="425" w:hanging="90"/>
      </w:pPr>
      <w:r>
        <w:t xml:space="preserve">„</w:t>
      </w:r>
      <w:r>
        <w:rPr>
          <w:rStyle w:val="Marker"/>
        </w:rPr>
        <w:t xml:space="preserve">[…]</w:t>
      </w:r>
      <w:r>
        <w:t xml:space="preserve"> cikk</w:t>
      </w:r>
    </w:p>
    <w:p w14:paraId="577BA21A" w14:textId="3EB5AE99" w:rsidR="00173C16" w:rsidRPr="0018171E" w:rsidRDefault="00173C16" w:rsidP="009C727B">
      <w:pPr>
        <w:pStyle w:val="RevisionArtikelberschrift"/>
        <w:ind w:left="425"/>
      </w:pPr>
      <w:r>
        <w:rPr>
          <w:rStyle w:val="Marker"/>
        </w:rPr>
        <w:t xml:space="preserve">[…]</w:t>
      </w:r>
    </w:p>
    <w:p w14:paraId="5AF7FB2C" w14:textId="090B4924" w:rsidR="00173C16" w:rsidRPr="0018171E" w:rsidRDefault="00173C16" w:rsidP="009C727B">
      <w:pPr>
        <w:pStyle w:val="RevisionJuristischerAbsatzmanuell"/>
        <w:tabs>
          <w:tab w:val="clear" w:pos="850"/>
          <w:tab w:val="left" w:pos="1275"/>
        </w:tabs>
        <w:ind w:left="425"/>
      </w:pPr>
      <w:r>
        <w:t xml:space="preserve">… </w:t>
      </w:r>
      <w:r>
        <w:rPr>
          <w:rStyle w:val="Marker"/>
        </w:rPr>
        <w:t xml:space="preserve">[adott esetben a hatálybalépés külön szabályozása]</w:t>
      </w:r>
      <w:r>
        <w:t xml:space="preserve"> …”</w:t>
      </w:r>
      <w:r>
        <w:rPr>
          <w:color w:val="auto"/>
        </w:rPr>
        <w:t xml:space="preserve">.</w:t>
      </w:r>
    </w:p>
    <w:p w14:paraId="2CDAA614" w14:textId="1C885BBD" w:rsidR="00A1618A" w:rsidRPr="0018171E" w:rsidRDefault="00A1618A" w:rsidP="009F08C0">
      <w:pPr>
        <w:pStyle w:val="EinzelbegrndungTitel"/>
      </w:pPr>
      <w:r>
        <w:t xml:space="preserve">Indokolás</w:t>
      </w:r>
    </w:p>
    <w:p w14:paraId="5B2223BB" w14:textId="271DB07E" w:rsidR="009F08C0" w:rsidRPr="0018171E" w:rsidRDefault="009F08C0" w:rsidP="0018171E">
      <w:pPr>
        <w:pStyle w:val="Text"/>
        <w:keepNext/>
        <w:rPr>
          <w:rStyle w:val="Marker"/>
          <w:b/>
          <w:color w:val="auto"/>
        </w:rPr>
      </w:pPr>
      <w:r>
        <w:rPr>
          <w:rStyle w:val="Marker"/>
          <w:b/>
          <w:color w:val="auto"/>
        </w:rPr>
        <w:t xml:space="preserve">Az 1. ponthoz</w:t>
      </w:r>
      <w:r>
        <w:rPr>
          <w:rStyle w:val="Marker"/>
          <w:b/>
          <w:color w:val="auto"/>
        </w:rPr>
        <w:t xml:space="preserve"> </w:t>
      </w:r>
    </w:p>
    <w:p w14:paraId="47C1AE4D" w14:textId="77777777" w:rsidR="00D969A6" w:rsidRPr="0018171E" w:rsidRDefault="00D969A6" w:rsidP="00D969A6">
      <w:pPr>
        <w:pStyle w:val="Text"/>
        <w:rPr>
          <w:rStyle w:val="Marker"/>
          <w:color w:val="auto"/>
        </w:rPr>
      </w:pPr>
      <w:r>
        <w:rPr>
          <w:rStyle w:val="Marker"/>
          <w:color w:val="auto"/>
        </w:rPr>
        <w:t xml:space="preserve">Egyre több politikai vita és véleményformáló folyamat zajlik a digitális térben és a közösségi médiában.</w:t>
      </w:r>
      <w:r>
        <w:rPr>
          <w:rStyle w:val="Marker"/>
          <w:color w:val="auto"/>
        </w:rPr>
        <w:t xml:space="preserve"> </w:t>
      </w:r>
      <w:r>
        <w:rPr>
          <w:rStyle w:val="Marker"/>
          <w:color w:val="auto"/>
        </w:rPr>
        <w:t xml:space="preserve">Az ott zajló kommunikációs folyamat kiemelten fontos a közvélemény-formálás szempontjából.</w:t>
      </w:r>
      <w:r>
        <w:rPr>
          <w:rStyle w:val="Marker"/>
          <w:color w:val="auto"/>
        </w:rPr>
        <w:t xml:space="preserve"> </w:t>
      </w:r>
      <w:r>
        <w:rPr>
          <w:rStyle w:val="Marker"/>
          <w:color w:val="auto"/>
        </w:rPr>
        <w:t xml:space="preserve">Például a politikai programok és ötletek terjesztése szempontjából kiemelt fontosságú lehet bizonyos közösségi médiákhoz való hozzáférés, amelyek jelentőségüknél fogva nem könnyen cserélhető médiumnak minősülnek (vö. BVerfG, 2019. május 22-i ideiglenes intézkedés – 1 BvQ 42/19 –, Rn. 19).</w:t>
      </w:r>
    </w:p>
    <w:p w14:paraId="6C4892FE" w14:textId="77777777" w:rsidR="00D969A6" w:rsidRPr="0018171E" w:rsidRDefault="00D969A6" w:rsidP="00D969A6">
      <w:pPr>
        <w:pStyle w:val="Text"/>
        <w:rPr>
          <w:rStyle w:val="Marker"/>
          <w:color w:val="auto"/>
        </w:rPr>
      </w:pPr>
      <w:r>
        <w:rPr>
          <w:rStyle w:val="Marker"/>
          <w:color w:val="auto"/>
        </w:rPr>
        <w:t xml:space="preserve">Ennélfogva jelentős közérdek fűződik az egyes platformok működésmódjának és a platformon megvalósuló tartalomterjesztés folyamatának átláthatóbbá tételéhez, valamint az ezzel kapcsolatos független kutatási eredmények biztosításához.</w:t>
      </w:r>
    </w:p>
    <w:p w14:paraId="373BFE01" w14:textId="385D0837" w:rsidR="00D969A6" w:rsidRPr="0018171E" w:rsidRDefault="00D969A6" w:rsidP="00D969A6">
      <w:pPr>
        <w:pStyle w:val="Text"/>
        <w:rPr>
          <w:rStyle w:val="Marker"/>
          <w:color w:val="auto"/>
        </w:rPr>
      </w:pPr>
      <w:r>
        <w:rPr>
          <w:rStyle w:val="Marker"/>
          <w:color w:val="auto"/>
        </w:rPr>
        <w:t xml:space="preserve">Ez egyrészt azokat a kritériumokat érinti, amelyek alapján a szolgáltatók döntést hoznak platformjuk használatának lehetőségéről, és lehetővé teszik vagy korlátozzák a tartalmak platformon történő terjesztését.</w:t>
      </w:r>
      <w:r>
        <w:rPr>
          <w:rStyle w:val="Marker"/>
          <w:color w:val="auto"/>
        </w:rPr>
        <w:t xml:space="preserve"> </w:t>
      </w:r>
      <w:r>
        <w:rPr>
          <w:rStyle w:val="Marker"/>
          <w:color w:val="auto"/>
        </w:rPr>
        <w:t xml:space="preserve">A nagyobb szolgáltatók kiemelt szerepe miatt jelentősen aggasztja a közvéleményt, hogy a nyilvános viták tekintetében fontos nagyobb szolgáltatók hogyan kezelik például az illegális tartalommal kapcsolatos panaszokat, és egyebekben hogyan hoznak döntést a tartalmak terjesztésének korlátozásáról (vö. a Bundestag 19/18792. sz. nyomtatványával, 42. o.).</w:t>
      </w:r>
      <w:r>
        <w:rPr>
          <w:rStyle w:val="Marker"/>
          <w:color w:val="auto"/>
        </w:rPr>
        <w:t xml:space="preserve"> </w:t>
      </w:r>
      <w:r>
        <w:rPr>
          <w:rStyle w:val="Marker"/>
          <w:color w:val="auto"/>
        </w:rPr>
        <w:t xml:space="preserve">A nyilvánosság ugyanis csak megfelelő átláthatóság esetén értheti meg, miért és milyen módon korlátozzák bizonyos tartalmak terjesztését.</w:t>
      </w:r>
      <w:r>
        <w:rPr>
          <w:rStyle w:val="Marker"/>
          <w:color w:val="auto"/>
        </w:rPr>
        <w:t xml:space="preserve"> </w:t>
      </w:r>
      <w:r>
        <w:rPr>
          <w:rStyle w:val="Marker"/>
          <w:color w:val="auto"/>
        </w:rPr>
        <w:t xml:space="preserve">Figyelembe kell venni, hogy a megfelelő moderációs döntések manapság többnyire bonyolult automatizált eljárások segítségével születnek meg.</w:t>
      </w:r>
      <w:r>
        <w:rPr>
          <w:rStyle w:val="Marker"/>
          <w:color w:val="auto"/>
        </w:rPr>
        <w:t xml:space="preserve"> </w:t>
      </w:r>
      <w:r>
        <w:rPr>
          <w:rStyle w:val="Marker"/>
          <w:color w:val="auto"/>
        </w:rPr>
        <w:t xml:space="preserve">A Facebook például arról számol be, hogy az úgynevezett közösségi normák értelmében „gyűlöletbeszédként” rögzített tartalmakra elsősorban maga a szolgáltató talál rá megfelelő technológiai megoldások alkalmazásával (vö. https://transparency.facebook.com/community-standards-enforcement#hate-speech; lehívás időpontja: 2020. október 12.).</w:t>
      </w:r>
      <w:r>
        <w:rPr>
          <w:rStyle w:val="Marker"/>
          <w:color w:val="auto"/>
        </w:rPr>
        <w:t xml:space="preserve"> </w:t>
      </w:r>
      <w:r>
        <w:rPr>
          <w:rStyle w:val="Marker"/>
          <w:color w:val="auto"/>
        </w:rPr>
        <w:t xml:space="preserve">Annak érdekében, hogy a nyilvánosság számára biztosított legyen a mögöttes – olykor technikailag bonyolult – folyamatok átláthatósága, fontos törekvésnek minősül, hogy a tudomány és a kutatás – ha adott esetben a tartalmak eltávolítására vagy letiltására van szükség – megérti-e a tartalom automatizált felismerésére szolgáló eljárások alkalmazását (vö. a Bundestag 19/18792. sz. nyomtatványával, 43. o.).</w:t>
      </w:r>
      <w:r>
        <w:rPr>
          <w:rStyle w:val="Marker"/>
          <w:color w:val="auto"/>
        </w:rPr>
        <w:t xml:space="preserve"> </w:t>
      </w:r>
      <w:r>
        <w:rPr>
          <w:rStyle w:val="Marker"/>
          <w:color w:val="auto"/>
        </w:rPr>
        <w:t xml:space="preserve">E tekintetben nem elegendő, ha a tudomány és a kutatás a NetzDG 2. §-ában előírt átláthatósági jelentésekben szereplő, a nyilvánosság tájékoztatására szolgáló általános információkra támaszkodik.</w:t>
      </w:r>
      <w:r>
        <w:rPr>
          <w:rStyle w:val="Marker"/>
          <w:color w:val="auto"/>
        </w:rPr>
        <w:t xml:space="preserve"> </w:t>
      </w:r>
      <w:r>
        <w:rPr>
          <w:rStyle w:val="Marker"/>
          <w:color w:val="auto"/>
        </w:rPr>
        <w:t xml:space="preserve">Tekintettel arra, hogy tudományos és kutatási céllal nem csak ilyen általános vagy összesített információkra, hanem részletesebb információkra és nyers adatokra is szükség van (pl. a (6) bekezdésben kifejezetten említett tartalmak, azok összefüggései és az automatizált folyamatok „tréningadatai”) annak érdekében, hogy tudományosan megalapozott ismeretek álljanak rendelkezésre a tartalmak automatizált felismerésére szolgáló adott eljárásokról.</w:t>
      </w:r>
    </w:p>
    <w:p w14:paraId="138C3D37" w14:textId="032BC65F" w:rsidR="00D969A6" w:rsidRPr="0018171E" w:rsidRDefault="00D969A6" w:rsidP="00D969A6">
      <w:pPr>
        <w:pStyle w:val="Text"/>
        <w:rPr>
          <w:rStyle w:val="Marker"/>
          <w:color w:val="auto"/>
        </w:rPr>
      </w:pPr>
      <w:r>
        <w:rPr>
          <w:rStyle w:val="Marker"/>
          <w:color w:val="auto"/>
        </w:rPr>
        <w:t xml:space="preserve">Egy másik fontos kérdés a jogellenes tartalmak terjesztésének nyomonkövethetősége.</w:t>
      </w:r>
      <w:r>
        <w:rPr>
          <w:rStyle w:val="Marker"/>
          <w:color w:val="auto"/>
        </w:rPr>
        <w:t xml:space="preserve"> </w:t>
      </w:r>
      <w:r>
        <w:rPr>
          <w:rStyle w:val="Marker"/>
          <w:color w:val="auto"/>
        </w:rPr>
        <w:t xml:space="preserve">A jelenlegi jogi helyzet szerint a NetzDG panaszkezelése a jogellenes tartalmakra vonatkozó panasz útján kifogásolt konkrét tartalmakat érinti.</w:t>
      </w:r>
      <w:r>
        <w:rPr>
          <w:rStyle w:val="Marker"/>
          <w:color w:val="auto"/>
        </w:rPr>
        <w:t xml:space="preserve"> </w:t>
      </w:r>
      <w:r>
        <w:rPr>
          <w:rStyle w:val="Marker"/>
          <w:color w:val="auto"/>
        </w:rPr>
        <w:t xml:space="preserve">A közösségi hálózatokon fellelhető tartalmak egy része ugyanakkor rendkívül gyorsan és széles körben terjeszthető a felhasználók között.</w:t>
      </w:r>
      <w:r>
        <w:rPr>
          <w:rStyle w:val="Marker"/>
          <w:color w:val="auto"/>
        </w:rPr>
        <w:t xml:space="preserve"> </w:t>
      </w:r>
      <w:r>
        <w:rPr>
          <w:rStyle w:val="Marker"/>
          <w:color w:val="auto"/>
        </w:rPr>
        <w:t xml:space="preserve">Így megismétlődhetnek a jogsértések, és a jogellenes tartalmak terjesztésének hatásai jelentősen felerősödhetnek.</w:t>
      </w:r>
      <w:r>
        <w:rPr>
          <w:rStyle w:val="Marker"/>
          <w:color w:val="auto"/>
        </w:rPr>
        <w:t xml:space="preserve"> </w:t>
      </w:r>
      <w:r>
        <w:rPr>
          <w:rStyle w:val="Marker"/>
          <w:color w:val="auto"/>
        </w:rPr>
        <w:t xml:space="preserve">A nagy közösségi hálózatokon zajló kommunikációs folyamatok egyre nagyobb általános társadalmi jelentősége miatt a közvélemény formálása érdekében fontos megérteni, hogyan terjesztik vagy terjesztették a közösségi hálózatokon fellelhető, a szolgáltató által végül eltávolított vagy vele szemben jogellenesnek felrótt tartalmakat, többek között annak érdekében, hogy az érdekelt felek a terjesztési mechanizmusok mélyebb megértésével hatékonyabban léphessenek fel a jogellenes tartalmak terjesztése ellen.</w:t>
      </w:r>
    </w:p>
    <w:p w14:paraId="06151A16" w14:textId="5B551E2D" w:rsidR="00D969A6" w:rsidRPr="0018171E" w:rsidRDefault="00D969A6" w:rsidP="00D969A6">
      <w:pPr>
        <w:pStyle w:val="Text"/>
        <w:rPr>
          <w:rStyle w:val="Marker"/>
          <w:color w:val="auto"/>
        </w:rPr>
      </w:pPr>
      <w:r>
        <w:rPr>
          <w:rStyle w:val="Marker"/>
          <w:color w:val="auto"/>
        </w:rPr>
        <w:t xml:space="preserve">A NetzDG 5a. §-a biztosítja, hogy a kutatóintézetek és a kutatók hozzájussanak a szükséges adatokhoz.</w:t>
      </w:r>
    </w:p>
    <w:p w14:paraId="72966CD2" w14:textId="29B9B32B" w:rsidR="00D969A6" w:rsidRPr="0018171E" w:rsidRDefault="00D969A6" w:rsidP="00D969A6">
      <w:pPr>
        <w:pStyle w:val="Text"/>
        <w:rPr>
          <w:rStyle w:val="Marker"/>
          <w:color w:val="auto"/>
        </w:rPr>
      </w:pPr>
      <w:r>
        <w:rPr>
          <w:rStyle w:val="Marker"/>
          <w:color w:val="auto"/>
        </w:rPr>
        <w:t xml:space="preserve">Nem mindenki tartozik a jogosultak körébe, csupán azok a kutatók vagy kutatóintézetek, akik/amelyek közérdekű tudományos kutatási projektekben vesznek részt.</w:t>
      </w:r>
      <w:r>
        <w:rPr>
          <w:rStyle w:val="Marker"/>
          <w:color w:val="auto"/>
        </w:rPr>
        <w:t xml:space="preserve"> </w:t>
      </w:r>
      <w:r>
        <w:t xml:space="preserve">A németországi egyetemek és egyetemen kívüli kutatóintézetek kutatási projektjei esetében a közérdek vélelmezését általában elfogadottnak kell tekinteni.</w:t>
      </w:r>
      <w:r>
        <w:t xml:space="preserve"> </w:t>
      </w:r>
      <w:r>
        <w:rPr>
          <w:rStyle w:val="Marker"/>
          <w:color w:val="auto"/>
        </w:rPr>
        <w:t xml:space="preserve">A túlnyomórészt közpénzből történő finanszírozás jelzés értékű a közérdek vélelmezése szempontjából.</w:t>
      </w:r>
      <w:r>
        <w:rPr>
          <w:rStyle w:val="Marker"/>
          <w:color w:val="auto"/>
        </w:rPr>
        <w:t xml:space="preserve"> </w:t>
      </w:r>
      <w:r>
        <w:rPr>
          <w:rStyle w:val="Marker"/>
          <w:color w:val="auto"/>
        </w:rPr>
        <w:t xml:space="preserve">A rendelet szövegének értelmében – székhelyétől függetlenül – minden olyan intézmény érintett, amely közérdekű kutatást kíván folytatni.</w:t>
      </w:r>
      <w:r>
        <w:rPr>
          <w:rStyle w:val="Marker"/>
          <w:color w:val="auto"/>
        </w:rPr>
        <w:t xml:space="preserve"> </w:t>
      </w:r>
      <w:r>
        <w:rPr>
          <w:rStyle w:val="Marker"/>
          <w:color w:val="auto"/>
        </w:rPr>
        <w:t xml:space="preserve">A közérdek vélelmezéséhez rendszeresen meg kell követelni, hogy a kutatás eredményeit nyilvánosságra hozzák, és azok végső soron a lakosság javát szolgálják.</w:t>
      </w:r>
      <w:r>
        <w:rPr>
          <w:rStyle w:val="Marker"/>
          <w:color w:val="auto"/>
        </w:rPr>
        <w:t xml:space="preserve"> </w:t>
      </w:r>
      <w:r>
        <w:rPr>
          <w:rStyle w:val="Marker"/>
          <w:color w:val="auto"/>
        </w:rPr>
        <w:t xml:space="preserve">A közérdek vélelmezése mellett szólhat, ha a kutatás hozzájárul a jogszabályban megfogalmazott célok eléréséhez.</w:t>
      </w:r>
      <w:r>
        <w:rPr>
          <w:rStyle w:val="Marker"/>
          <w:color w:val="auto"/>
        </w:rPr>
        <w:t xml:space="preserve"> </w:t>
      </w:r>
      <w:r>
        <w:rPr>
          <w:rStyle w:val="Marker"/>
          <w:color w:val="auto"/>
        </w:rPr>
        <w:t xml:space="preserve">A közérdek elleni érvnek minősül, ha a megbízótól való függés miatt adott esetben úgy tűnik, hogy nem végeznek elfogulatlan kutatást.</w:t>
      </w:r>
      <w:r>
        <w:rPr>
          <w:rStyle w:val="Marker"/>
          <w:color w:val="auto"/>
        </w:rPr>
        <w:t xml:space="preserve"> </w:t>
      </w:r>
      <w:r>
        <w:rPr>
          <w:rStyle w:val="Marker"/>
          <w:color w:val="auto"/>
        </w:rPr>
        <w:t xml:space="preserve">Ezenkívül a közérdek ellen szólhat az is, ha vannak arra utaló jelek, hogy gazdasági vagy politikai célokból kell kutatni</w:t>
      </w:r>
    </w:p>
    <w:p w14:paraId="3A166ADB" w14:textId="77777777" w:rsidR="00146FA3" w:rsidRPr="0018171E" w:rsidRDefault="00D969A6" w:rsidP="00D969A6">
      <w:pPr>
        <w:pStyle w:val="Text"/>
        <w:rPr>
          <w:rStyle w:val="Marker"/>
          <w:color w:val="auto"/>
        </w:rPr>
      </w:pPr>
      <w:r>
        <w:rPr>
          <w:rStyle w:val="Marker"/>
          <w:color w:val="auto"/>
        </w:rPr>
        <w:t xml:space="preserve">A NetzDG 5a. §‐ának felsorolása szerint a NetzDG 1. §-a (2) bekezdésében szereplő szolgáltatók közül – székhelyüktől függetlenül – csupán a közösségi hálózatok olyan szolgáltatói kötelezettek adatszolgáltatásra, amelyek az országban legalább kétmillió regisztrált felhasználóval rendelkeznek.</w:t>
      </w:r>
      <w:r>
        <w:rPr>
          <w:rStyle w:val="Marker"/>
          <w:color w:val="auto"/>
        </w:rPr>
        <w:t xml:space="preserve"> </w:t>
      </w:r>
      <w:r>
        <w:rPr>
          <w:rStyle w:val="Marker"/>
          <w:color w:val="auto"/>
        </w:rPr>
        <w:t xml:space="preserve">A megfelelő szolgáltatók kötelesek információt szolgáltatni, függetlenül attól, hogy székhelyük Németországban található-e.</w:t>
      </w:r>
      <w:r>
        <w:rPr>
          <w:rStyle w:val="Marker"/>
          <w:color w:val="auto"/>
        </w:rPr>
        <w:t xml:space="preserve"> </w:t>
      </w:r>
      <w:r>
        <w:rPr>
          <w:rStyle w:val="Marker"/>
          <w:color w:val="auto"/>
        </w:rPr>
        <w:t xml:space="preserve">Ez összhangban van a vonatkozó európai jogi előírásokkal, különösen a 2000/31/EK irányelv (elektronikus kereskedelemről szóló irányelv) szerinti származási ország elvvel.</w:t>
      </w:r>
      <w:r>
        <w:rPr>
          <w:rStyle w:val="Marker"/>
          <w:color w:val="auto"/>
        </w:rPr>
        <w:t xml:space="preserve"> </w:t>
      </w:r>
      <w:r>
        <w:rPr>
          <w:rStyle w:val="Marker"/>
          <w:color w:val="auto"/>
        </w:rPr>
        <w:t xml:space="preserve">Még akkor is, ha a NetzDG 5a. §-ában előírt tájékoztatáshoz való jog az elektronikus kereskedelemről szóló irányelv úgynevezett koordinált területére és az irányelv 3. cikkének (2) bekezdése alapján alapvetően kizárt korlátozási hatásra vonatkozna, így az elektronikus kereskedelemről szóló irányelv 3. cikkének (4) bekezdésének értelmében mindenképpen a visszavonás feltételei állnának fenn.</w:t>
      </w:r>
      <w:r>
        <w:rPr>
          <w:rStyle w:val="Marker"/>
          <w:color w:val="auto"/>
        </w:rPr>
        <w:t xml:space="preserve"> </w:t>
      </w:r>
      <w:r>
        <w:rPr>
          <w:rStyle w:val="Marker"/>
          <w:color w:val="auto"/>
        </w:rPr>
        <w:t xml:space="preserve">A nyilvántartásba vett szolgáltatók kiemelt jelentősége miatt a tájékoztatáshoz való joggal biztosított hatékonyabb felismerési lehetőségek minden esetben szükségesek a bűncselekmények megelőzéséhez, beleértve a gyűlöletbeszéd felszámolását, valamint a fogyasztók védelmét is (vö. az elektronikus kereskedelemről szóló irányelv 3. cikke (4) bekezdése a) pontja i) alpontja 1. és 4. francia bekezdésével).</w:t>
      </w:r>
      <w:r>
        <w:rPr>
          <w:rStyle w:val="Marker"/>
          <w:color w:val="auto"/>
        </w:rPr>
        <w:t xml:space="preserve"> </w:t>
      </w:r>
      <w:r>
        <w:rPr>
          <w:rStyle w:val="Marker"/>
          <w:color w:val="auto"/>
        </w:rPr>
        <w:t xml:space="preserve">Tekintettel a nyilvántartott, a polgárok számára egyre nagyobb jelentőségű nyilvános teret képviselő platformokkal kapcsolatos jelentős információhiányra, sürgős szabályozásra van szükség (lásd az elektronikus kereskedelemről szóló irányelv 3. cikkének (5) bekezdését).</w:t>
      </w:r>
    </w:p>
    <w:p w14:paraId="2B3396E0" w14:textId="22DFC019" w:rsidR="00D969A6" w:rsidRPr="0018171E" w:rsidRDefault="00D969A6" w:rsidP="00D969A6">
      <w:pPr>
        <w:pStyle w:val="Text"/>
        <w:rPr>
          <w:rStyle w:val="Marker"/>
          <w:color w:val="auto"/>
        </w:rPr>
      </w:pPr>
      <w:r>
        <w:rPr>
          <w:rStyle w:val="Marker"/>
          <w:color w:val="auto"/>
        </w:rPr>
        <w:t xml:space="preserve">A tájékoztatáshoz való előírt jog emellett több szempontból is korlátozott a jogosultak számára.</w:t>
      </w:r>
    </w:p>
    <w:p w14:paraId="7CD947D6" w14:textId="02AD6996" w:rsidR="00E97B1F" w:rsidRPr="0018171E" w:rsidRDefault="00E97B1F" w:rsidP="00D969A6">
      <w:pPr>
        <w:pStyle w:val="Text"/>
        <w:rPr>
          <w:rStyle w:val="Marker"/>
          <w:color w:val="auto"/>
        </w:rPr>
      </w:pPr>
      <w:r>
        <w:rPr>
          <w:rStyle w:val="Marker"/>
          <w:color w:val="auto"/>
        </w:rPr>
        <w:t xml:space="preserve">Ily módon a támogatásra jogosult kutatók csak a közösségi hálózat szolgáltatójától kérhetnek tájékoztatást.</w:t>
      </w:r>
      <w:r>
        <w:rPr>
          <w:rStyle w:val="Marker"/>
          <w:color w:val="auto"/>
        </w:rPr>
        <w:t xml:space="preserve"> </w:t>
      </w:r>
      <w:r>
        <w:rPr>
          <w:rStyle w:val="Marker"/>
          <w:color w:val="auto"/>
        </w:rPr>
        <w:t xml:space="preserve">Az 5a. § ezzel szemben nem jogosítja fel a kutatókat arra, hogy közvetlen technikai hozzáféréssel rendelkezzenek a szolgáltató adatbázisaihoz vagy technikai rendszereihez.</w:t>
      </w:r>
      <w:r>
        <w:rPr>
          <w:rStyle w:val="Marker"/>
          <w:color w:val="auto"/>
        </w:rPr>
        <w:t xml:space="preserve"> </w:t>
      </w:r>
      <w:r>
        <w:rPr>
          <w:rStyle w:val="Marker"/>
          <w:color w:val="auto"/>
        </w:rPr>
        <w:t xml:space="preserve">Minősített információk azonban igényelhetők.</w:t>
      </w:r>
      <w:r>
        <w:rPr>
          <w:rStyle w:val="Marker"/>
          <w:color w:val="auto"/>
        </w:rPr>
        <w:t xml:space="preserve"> </w:t>
      </w:r>
      <w:r>
        <w:rPr>
          <w:rStyle w:val="Marker"/>
          <w:color w:val="auto"/>
        </w:rPr>
        <w:t xml:space="preserve">Ide tartoznak a szolgáltatónál elérhető hamisítatlan adatok, de a rendelkezésre álló előkészített információk is, például a szolgáltatónál elérhető adatok szolgáltató általi kiértékeléséből származó megállapítások.</w:t>
      </w:r>
    </w:p>
    <w:p w14:paraId="72C56E68" w14:textId="39D2C9CA" w:rsidR="00E97B1F" w:rsidRPr="0018171E" w:rsidRDefault="00E97B1F" w:rsidP="00D969A6">
      <w:pPr>
        <w:pStyle w:val="Text"/>
        <w:rPr>
          <w:rStyle w:val="Marker"/>
          <w:color w:val="auto"/>
        </w:rPr>
      </w:pPr>
      <w:r>
        <w:rPr>
          <w:rStyle w:val="Marker"/>
          <w:color w:val="auto"/>
        </w:rPr>
        <w:t xml:space="preserve">Ezenkívül a tájékoztatáshoz való jog a tartalom tekintetében az eltávolítandó vagy letiltandó tartalmak automatizált felismerésére szolgáló eljárások alkalmazására és működési módjára vonatkozó információkra korlátozódik, a programozás céljait, kritériumait és paramétereit is beleértve.</w:t>
      </w:r>
      <w:r>
        <w:rPr>
          <w:rStyle w:val="Marker"/>
          <w:color w:val="auto"/>
        </w:rPr>
        <w:t xml:space="preserve"> </w:t>
      </w:r>
      <w:r>
        <w:rPr>
          <w:rStyle w:val="Marker"/>
          <w:color w:val="auto"/>
        </w:rPr>
        <w:t xml:space="preserve">Ezenkívül információt lehet kérni a jogellenes tartalommal kapcsolatos panaszok tárgyát képező, illetőleg a szolgáltató által eltávolított vagy letiltott tartalmak terjesztéséről.</w:t>
      </w:r>
      <w:r>
        <w:rPr>
          <w:rStyle w:val="Marker"/>
          <w:color w:val="auto"/>
        </w:rPr>
        <w:t xml:space="preserve"> </w:t>
      </w:r>
    </w:p>
    <w:p w14:paraId="752FC65F" w14:textId="4597FCAE" w:rsidR="00D969A6" w:rsidRPr="0018171E" w:rsidRDefault="00D969A6" w:rsidP="00D969A6">
      <w:pPr>
        <w:pStyle w:val="Text"/>
        <w:rPr>
          <w:rStyle w:val="Marker"/>
          <w:color w:val="auto"/>
        </w:rPr>
      </w:pPr>
      <w:r>
        <w:rPr>
          <w:rStyle w:val="Marker"/>
          <w:color w:val="auto"/>
        </w:rPr>
        <w:t xml:space="preserve">A megfelelő információk alkalmasak és szükségesek a tartalmak vonatkozó szolgáltatói korlátozásainak, valamint a szolgáltató szempontjából megengedhetetlen vagy a platformokon jogellenesként bejelentett tartalom terjesztésének jobb megértéséhez.</w:t>
      </w:r>
      <w:r>
        <w:rPr>
          <w:rStyle w:val="Marker"/>
          <w:color w:val="auto"/>
        </w:rPr>
        <w:t xml:space="preserve"> </w:t>
      </w:r>
    </w:p>
    <w:p w14:paraId="5D09F342" w14:textId="5F0FFD55" w:rsidR="00D969A6" w:rsidRPr="0018171E" w:rsidRDefault="00D969A6" w:rsidP="00D969A6">
      <w:pPr>
        <w:pStyle w:val="Text"/>
        <w:rPr>
          <w:rStyle w:val="Marker"/>
          <w:color w:val="auto"/>
        </w:rPr>
      </w:pPr>
      <w:r>
        <w:rPr>
          <w:rStyle w:val="Marker"/>
          <w:color w:val="auto"/>
        </w:rPr>
        <w:t xml:space="preserve">Ezenkívül a tájékoztatáshoz való jog attól a feltételtől függ, hogy a konkrét esetben szükségesek-e az információk a közérdekű tudományos kutatási projektekhez.</w:t>
      </w:r>
      <w:r>
        <w:rPr>
          <w:rStyle w:val="Marker"/>
          <w:color w:val="auto"/>
        </w:rPr>
        <w:t xml:space="preserve"> </w:t>
      </w:r>
      <w:r>
        <w:rPr>
          <w:rStyle w:val="Marker"/>
          <w:color w:val="auto"/>
        </w:rPr>
        <w:t xml:space="preserve">Ez azt jelenti, hogy a továbbított információt kizárólag tudományos célokra lehet felhasználni.</w:t>
      </w:r>
      <w:r>
        <w:rPr>
          <w:rStyle w:val="Marker"/>
          <w:color w:val="auto"/>
        </w:rPr>
        <w:t xml:space="preserve"> </w:t>
      </w:r>
      <w:r>
        <w:rPr>
          <w:rStyle w:val="Marker"/>
          <w:color w:val="auto"/>
        </w:rPr>
        <w:t xml:space="preserve">Végső soron a figyelembe vehető kutatási célok a közösségi hálózatokon folytatott nyilvános kommunikáció típusának, terjedelmének, okainak és hatásainak kutatására, valamint a szolgáltatók kezelésére korlátozódnak.</w:t>
      </w:r>
    </w:p>
    <w:p w14:paraId="588C65A9" w14:textId="3AAAB10E" w:rsidR="00C46490" w:rsidRPr="0018171E" w:rsidRDefault="00C46490" w:rsidP="00D969A6">
      <w:pPr>
        <w:pStyle w:val="Text"/>
        <w:rPr>
          <w:rStyle w:val="Marker"/>
          <w:color w:val="auto"/>
        </w:rPr>
      </w:pPr>
      <w:r>
        <w:rPr>
          <w:rStyle w:val="Marker"/>
          <w:color w:val="auto"/>
        </w:rPr>
        <w:t xml:space="preserve">A védelmi koncepció benyújtására javasolt eljárás biztosítja az 5a. § szerint figyelembe veendő szempontok betartását.</w:t>
      </w:r>
      <w:r>
        <w:rPr>
          <w:rStyle w:val="Marker"/>
          <w:color w:val="auto"/>
        </w:rPr>
        <w:t xml:space="preserve"> </w:t>
      </w:r>
      <w:r>
        <w:rPr>
          <w:rStyle w:val="Marker"/>
          <w:color w:val="auto"/>
        </w:rPr>
        <w:t xml:space="preserve">A közösségi hálózat szolgáltatója a védelmi koncepció benyújtásáig megtagadhatja az információszolgáltatást.</w:t>
      </w:r>
      <w:r>
        <w:rPr>
          <w:rStyle w:val="Marker"/>
          <w:color w:val="auto"/>
        </w:rPr>
        <w:t xml:space="preserve"> </w:t>
      </w:r>
      <w:r>
        <w:rPr>
          <w:rStyle w:val="Marker"/>
          <w:color w:val="auto"/>
        </w:rPr>
        <w:t xml:space="preserve">A védelmi koncepciót az illetékes adatvédelmi felügyeleti hatósághoz is be kell nyújtani, amely az adatvédelem megsértésére utaló jelek esetén megfelelő eljárást kezdeményezhet.</w:t>
      </w:r>
      <w:r>
        <w:rPr>
          <w:rStyle w:val="Marker"/>
          <w:color w:val="auto"/>
        </w:rPr>
        <w:t xml:space="preserve"> </w:t>
      </w:r>
      <w:r>
        <w:rPr>
          <w:rStyle w:val="Marker"/>
          <w:color w:val="auto"/>
        </w:rPr>
        <w:t xml:space="preserve">Ez különösen fontos, mivel a szolgáltató általi információszolgáltatás harmadik felek – például a felhasználó – érdekeit is érintheti.</w:t>
      </w:r>
    </w:p>
    <w:p w14:paraId="61C60CE8" w14:textId="669418FB" w:rsidR="00D969A6" w:rsidRPr="0018171E" w:rsidRDefault="00D969A6" w:rsidP="00D969A6">
      <w:pPr>
        <w:pStyle w:val="Text"/>
        <w:rPr>
          <w:rStyle w:val="Marker"/>
          <w:color w:val="auto"/>
        </w:rPr>
      </w:pPr>
      <w:r>
        <w:rPr>
          <w:rStyle w:val="Marker"/>
          <w:color w:val="auto"/>
        </w:rPr>
        <w:t xml:space="preserve">Ezenkívül az információk nem állhatnak szemben a közösségi hálózatok szolgáltatóinak elsőbbséget élvező jogos érdekeivel.</w:t>
      </w:r>
      <w:r>
        <w:rPr>
          <w:rStyle w:val="Marker"/>
          <w:color w:val="auto"/>
        </w:rPr>
        <w:t xml:space="preserve"> </w:t>
      </w:r>
      <w:r>
        <w:rPr>
          <w:rStyle w:val="Marker"/>
          <w:color w:val="auto"/>
        </w:rPr>
        <w:t xml:space="preserve">Az ellentétes jogos érdekek akkor vehetők figyelembe, ha az adatokhoz való hozzáférés indokolatlanul korlátozná a szolgáltató titoktartási érdekeit.</w:t>
      </w:r>
      <w:r>
        <w:rPr>
          <w:rStyle w:val="Marker"/>
          <w:color w:val="auto"/>
        </w:rPr>
        <w:t xml:space="preserve"> </w:t>
      </w:r>
      <w:r>
        <w:rPr>
          <w:rStyle w:val="Marker"/>
          <w:color w:val="auto"/>
        </w:rPr>
        <w:t xml:space="preserve">A tájékoztatáshoz való joggal az is ellentétes, ha az érintettek jogos érdekei sérülnek és a kutatáshoz fűződő közérdek nem élvez elsőbbséget az érintettek titoktartáshoz fűződő érdekeivel szemben.</w:t>
      </w:r>
    </w:p>
    <w:p w14:paraId="05EA09A2" w14:textId="77777777" w:rsidR="00D969A6" w:rsidRPr="0018171E" w:rsidRDefault="00D969A6" w:rsidP="00D969A6">
      <w:pPr>
        <w:pStyle w:val="Text"/>
        <w:rPr>
          <w:rStyle w:val="Marker"/>
          <w:color w:val="auto"/>
        </w:rPr>
      </w:pPr>
      <w:r>
        <w:rPr>
          <w:rStyle w:val="Marker"/>
          <w:color w:val="auto"/>
        </w:rPr>
        <w:t xml:space="preserve">Az információk továbbítása céljából személyes adatok is továbbíthatók – ilyenkor lehetőség szerint anonimizálást vagy legalább álnevesítést kell végrehajtani.</w:t>
      </w:r>
      <w:r>
        <w:rPr>
          <w:rStyle w:val="Marker"/>
          <w:color w:val="auto"/>
        </w:rPr>
        <w:t xml:space="preserve"> </w:t>
      </w:r>
      <w:r>
        <w:rPr>
          <w:rStyle w:val="Marker"/>
          <w:color w:val="auto"/>
        </w:rPr>
        <w:t xml:space="preserve">Emellett a személyes adatok védelmére további intézkedéseket irányoznak elő, feltéve, hogy az (EU) 2016/679 rendelet 9. cikkének (1) bekezdése értelmében különleges adatkategóriák feldolgozására kerül sor.</w:t>
      </w:r>
      <w:r>
        <w:rPr>
          <w:rStyle w:val="Marker"/>
          <w:color w:val="auto"/>
        </w:rPr>
        <w:t xml:space="preserve"> </w:t>
      </w:r>
      <w:r>
        <w:rPr>
          <w:rStyle w:val="Marker"/>
          <w:color w:val="auto"/>
        </w:rPr>
        <w:t xml:space="preserve">A többi adatvédelmi– különösen a BDSG 27. §-ában előirányozott – előírás változatlan marad.</w:t>
      </w:r>
      <w:r>
        <w:rPr>
          <w:rStyle w:val="Marker"/>
          <w:color w:val="auto"/>
        </w:rPr>
        <w:t xml:space="preserve"> </w:t>
      </w:r>
    </w:p>
    <w:p w14:paraId="67D27A76" w14:textId="0A74581F" w:rsidR="00A135B4" w:rsidRPr="0018171E" w:rsidRDefault="00D969A6" w:rsidP="00D969A6">
      <w:pPr>
        <w:pStyle w:val="Text"/>
        <w:rPr>
          <w:rStyle w:val="Marker"/>
          <w:color w:val="auto"/>
        </w:rPr>
      </w:pPr>
      <w:r>
        <w:rPr>
          <w:rStyle w:val="Marker"/>
          <w:color w:val="auto"/>
        </w:rPr>
        <w:t xml:space="preserve">A szolgáltató jogosult a kutatótól az információszolgáltatással kapcsolatban felmerülő észszerű költségek megtérítését kérni.</w:t>
      </w:r>
      <w:r>
        <w:rPr>
          <w:rStyle w:val="Marker"/>
          <w:color w:val="auto"/>
        </w:rPr>
        <w:t xml:space="preserve"> </w:t>
      </w:r>
      <w:r>
        <w:rPr>
          <w:rStyle w:val="Marker"/>
          <w:color w:val="auto"/>
        </w:rPr>
        <w:t xml:space="preserve">A megtérítésre való jogosultságnak az észszerű költségekre való korlátozása biztosítja, hogy a kutatók tájékoztatáshoz való joga a gyakorlatban ne vesszen el a túlzottan magas költségtérítési igények miatt.</w:t>
      </w:r>
      <w:r>
        <w:rPr>
          <w:rStyle w:val="Marker"/>
          <w:color w:val="auto"/>
        </w:rPr>
        <w:t xml:space="preserve"> </w:t>
      </w:r>
      <w:r>
        <w:rPr>
          <w:rStyle w:val="Marker"/>
          <w:color w:val="auto"/>
        </w:rPr>
        <w:t xml:space="preserve">Ezt célozza azon visszatéríthető költségek felső határának megállapítása is, amelyeket csak rendkívül komplikált esetekben lehet túllépni.</w:t>
      </w:r>
      <w:r>
        <w:rPr>
          <w:rStyle w:val="Marker"/>
          <w:color w:val="auto"/>
        </w:rPr>
        <w:t xml:space="preserve"> </w:t>
      </w:r>
      <w:r>
        <w:rPr>
          <w:rStyle w:val="Marker"/>
          <w:color w:val="auto"/>
        </w:rPr>
        <w:t xml:space="preserve">Ez akkor fordulhat elő, ha az információszolgáltatással járó erőfeszítések egyértelműen meghaladják az 5a. §-ban szereplő kutatási projektekre vonatkozó információszolgáltatással kapcsolatos szokásos erőfeszítéseket.</w:t>
      </w:r>
      <w:r>
        <w:rPr>
          <w:rStyle w:val="Marker"/>
          <w:color w:val="auto"/>
        </w:rPr>
        <w:t xml:space="preserve"> </w:t>
      </w:r>
      <w:r>
        <w:rPr>
          <w:rStyle w:val="Marker"/>
          <w:color w:val="auto"/>
        </w:rPr>
        <w:t xml:space="preserve">Az ilyen körülményekre vonatkozó bizonyítási kötelezettség és bizonyítási teher –a költségek észszerűsítését illetően – a közösségi hálózat szolgáltatójára hárul.</w:t>
      </w:r>
    </w:p>
    <w:p w14:paraId="1B437195" w14:textId="47B203AC" w:rsidR="00D969A6" w:rsidRPr="0018171E" w:rsidRDefault="00D969A6" w:rsidP="00D969A6">
      <w:pPr>
        <w:pStyle w:val="Text"/>
        <w:rPr>
          <w:rStyle w:val="Marker"/>
          <w:color w:val="auto"/>
        </w:rPr>
      </w:pPr>
      <w:r>
        <w:rPr>
          <w:rStyle w:val="Marker"/>
          <w:color w:val="auto"/>
        </w:rPr>
        <w:t xml:space="preserve">A ZPO 287. §-a (1) bekezdésének megfelelő alkalmazása biztosítja, hogy az illetékes bíróság vitás esetekben, az összes körülmény figyelembevételével saját belátása szerint szabadon határozza meg a visszatérítés összegét.</w:t>
      </w:r>
      <w:r>
        <w:rPr>
          <w:rStyle w:val="Marker"/>
          <w:color w:val="auto"/>
        </w:rPr>
        <w:t xml:space="preserve"> </w:t>
      </w:r>
      <w:r>
        <w:rPr>
          <w:rStyle w:val="Marker"/>
          <w:color w:val="auto"/>
        </w:rPr>
        <w:t xml:space="preserve">Ezenfelül a szolgáltató semmilyen ellentételezésre nem jogosult.</w:t>
      </w:r>
      <w:r>
        <w:rPr>
          <w:rStyle w:val="Marker"/>
          <w:color w:val="auto"/>
        </w:rPr>
        <w:t xml:space="preserve"> </w:t>
      </w:r>
      <w:r>
        <w:rPr>
          <w:rStyle w:val="Marker"/>
          <w:color w:val="auto"/>
        </w:rPr>
        <w:t xml:space="preserve">A kutató a felmerült költségek tekintetében, tervezési biztonságának megkönnyítése érdekében felkérheti a közösségi hálózat szolgáltatóját, hogy a védelmi koncepció benyújtását követően észszerű határidőn belül díjmentes költségbecslést nyújtson be.</w:t>
      </w:r>
    </w:p>
    <w:p w14:paraId="0569302F" w14:textId="40F9020F" w:rsidR="00E11559" w:rsidRPr="0018171E" w:rsidRDefault="00D969A6" w:rsidP="00D969A6">
      <w:pPr>
        <w:pStyle w:val="Text"/>
        <w:rPr>
          <w:rStyle w:val="Marker"/>
          <w:color w:val="auto"/>
        </w:rPr>
      </w:pPr>
      <w:r>
        <w:rPr>
          <w:rStyle w:val="Marker"/>
          <w:color w:val="auto"/>
        </w:rPr>
        <w:t xml:space="preserve">Ha a kutató és a közösségi hálózat szolgáltatója vitatja a jogosultsági feltételek meglétét, rendes bíróságokat kell felkérni, hogy hozzanak döntést.</w:t>
      </w:r>
    </w:p>
    <w:p w14:paraId="1A7FF4A4" w14:textId="180DAC81" w:rsidR="00732338" w:rsidRPr="0018171E" w:rsidRDefault="00132D0E" w:rsidP="00132D0E">
      <w:pPr>
        <w:pStyle w:val="Text"/>
        <w:rPr>
          <w:rStyle w:val="Marker"/>
          <w:color w:val="auto"/>
        </w:rPr>
      </w:pPr>
      <w:r>
        <w:rPr>
          <w:rStyle w:val="Marker"/>
          <w:color w:val="auto"/>
        </w:rPr>
        <w:t xml:space="preserve">A kutatási záradék bevezetése kiegészül a jelentéstételi kötelezettség tisztázásával.</w:t>
      </w:r>
      <w:r>
        <w:rPr>
          <w:rStyle w:val="Marker"/>
          <w:color w:val="auto"/>
        </w:rPr>
        <w:t xml:space="preserve"> </w:t>
      </w:r>
      <w:r>
        <w:rPr>
          <w:rStyle w:val="Marker"/>
          <w:color w:val="auto"/>
        </w:rPr>
        <w:t xml:space="preserve">A NetzDG 2. §-a (2) bekezdésének 2. pontjában korábban előírtak szerint jelentést kell készíteni arról is, hogy a tudomány és a kutatás területén tevékenykedő személyek kapnak-e betekintést a tartalmak automatizált felismerésére felhasznált eljárások értékelésébe, és ha igen, milyen mértékben (vö. a Bundestag 19/18792. sz. nyomtatványával, 43. o.).</w:t>
      </w:r>
      <w:r>
        <w:rPr>
          <w:rStyle w:val="Marker"/>
          <w:color w:val="auto"/>
        </w:rPr>
        <w:t xml:space="preserve"> </w:t>
      </w:r>
      <w:r>
        <w:rPr>
          <w:rStyle w:val="Marker"/>
          <w:color w:val="auto"/>
        </w:rPr>
        <w:t xml:space="preserve">A NetzDG 2. §-a 2. bekezdésének 2. pontjához javasolt kiegészítés egyértelművé teszi, hogy ez a szolgáltató információihoz való hozzáférés biztosítását is érinti, ideértve a NetzDG 5a. §-ának megfelelően megadott információkat is.</w:t>
      </w:r>
    </w:p>
    <w:p w14:paraId="5F9F9891" w14:textId="5A8F43C7" w:rsidR="00E97B1F" w:rsidRPr="0018171E" w:rsidRDefault="00E97B1F" w:rsidP="00132D0E">
      <w:pPr>
        <w:pStyle w:val="Text"/>
        <w:rPr>
          <w:rStyle w:val="Marker"/>
          <w:color w:val="auto"/>
        </w:rPr>
      </w:pPr>
      <w:r>
        <w:rPr>
          <w:rStyle w:val="Marker"/>
          <w:color w:val="auto"/>
        </w:rPr>
        <w:t xml:space="preserve">Az 5a. §-t három évvel a hatályba lépést követően értékelni kell.</w:t>
      </w:r>
      <w:r>
        <w:rPr>
          <w:rStyle w:val="Marker"/>
          <w:color w:val="auto"/>
        </w:rPr>
        <w:t xml:space="preserve"> </w:t>
      </w:r>
      <w:r>
        <w:rPr>
          <w:rStyle w:val="Marker"/>
          <w:color w:val="auto"/>
        </w:rPr>
        <w:t xml:space="preserve">A cél annak megállapítása, hogy sikerült-e elérni a kívánt hatásokat, és ha igen, milyen mértékben.</w:t>
      </w:r>
      <w:r>
        <w:rPr>
          <w:rStyle w:val="Marker"/>
          <w:color w:val="auto"/>
        </w:rPr>
        <w:t xml:space="preserve"> </w:t>
      </w:r>
      <w:r>
        <w:rPr>
          <w:rStyle w:val="Marker"/>
          <w:color w:val="auto"/>
        </w:rPr>
        <w:t xml:space="preserve">Ide tartozik különösen annak megállapítása, hogy a rendelkezésre bocsátott információk támogatták-e az alapul szolgáló kutatási célokat.</w:t>
      </w:r>
      <w:r>
        <w:rPr>
          <w:rStyle w:val="Marker"/>
          <w:color w:val="auto"/>
        </w:rPr>
        <w:t xml:space="preserve"> </w:t>
      </w:r>
      <w:r>
        <w:rPr>
          <w:rStyle w:val="Marker"/>
          <w:color w:val="auto"/>
        </w:rPr>
        <w:t xml:space="preserve">A szabályozás kezelhetőségét is meg kell vizsgálni, különösen a kutatók és a közösségi hálózatok szolgáltatói között az információszolgáltatási kötelezettségről folytatott vita esetén.</w:t>
      </w:r>
      <w:r>
        <w:rPr>
          <w:rStyle w:val="Marker"/>
          <w:color w:val="auto"/>
        </w:rPr>
        <w:t xml:space="preserve"> </w:t>
      </w:r>
      <w:r>
        <w:rPr>
          <w:rStyle w:val="Marker"/>
          <w:color w:val="auto"/>
        </w:rPr>
        <w:t xml:space="preserve">E tekintetben meg kell határozni, hogy célszerűnek tűnik-e közvetítő hatóság bevonása az információszolgáltatási kötelezettséggel kapcsolatos véleménykülönbségek rendezése vagy a jogos információkérés konkretizálása érdekében, és hogyan lehetne felállítani egy ilyen közvetítő hatóságot.</w:t>
      </w:r>
      <w:r>
        <w:rPr>
          <w:rStyle w:val="Marker"/>
          <w:color w:val="auto"/>
        </w:rPr>
        <w:t xml:space="preserve"> </w:t>
      </w:r>
      <w:r>
        <w:rPr>
          <w:rStyle w:val="Marker"/>
          <w:color w:val="auto"/>
        </w:rPr>
        <w:t xml:space="preserve">Ezen túlmenően az értékelés során azt is meg kell vizsgálni, hogy a (8) bekezdésben említett költségtérítési szabályok hasznosnak bizonyultak-e.</w:t>
      </w:r>
    </w:p>
    <w:p w14:paraId="2F6A2064" w14:textId="663911F1" w:rsidR="009F08C0" w:rsidRPr="0018171E" w:rsidRDefault="009F08C0" w:rsidP="0018171E">
      <w:pPr>
        <w:pStyle w:val="Text"/>
        <w:keepNext/>
        <w:rPr>
          <w:rStyle w:val="Marker"/>
          <w:b/>
          <w:color w:val="auto"/>
        </w:rPr>
      </w:pPr>
      <w:r>
        <w:rPr>
          <w:rStyle w:val="Marker"/>
          <w:b/>
          <w:color w:val="auto"/>
        </w:rPr>
        <w:t xml:space="preserve">A 2. ponthoz</w:t>
      </w:r>
    </w:p>
    <w:p w14:paraId="7D853F30" w14:textId="43DDA2F0" w:rsidR="00132D0E" w:rsidRPr="0018171E" w:rsidRDefault="00132D0E" w:rsidP="00D969A6">
      <w:pPr>
        <w:pStyle w:val="Text"/>
        <w:rPr>
          <w:rStyle w:val="Marker"/>
          <w:color w:val="auto"/>
        </w:rPr>
      </w:pPr>
      <w:r>
        <w:rPr>
          <w:rStyle w:val="Marker"/>
          <w:color w:val="auto"/>
        </w:rPr>
        <w:t xml:space="preserve">A ... cikk hatálybalépésére vonatkozó előírások kiegészülnek a hálózati végrehajtási törvény rögzített módosításaival.</w:t>
      </w:r>
    </w:p>
    <w:sectPr w:rsidR="00132D0E" w:rsidRPr="0018171E"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BDD25" w14:textId="77777777" w:rsidR="005D0EFB" w:rsidRDefault="005D0EFB" w:rsidP="00FF4465">
      <w:pPr>
        <w:spacing w:before="0" w:after="0"/>
      </w:pPr>
      <w:r>
        <w:separator/>
      </w:r>
    </w:p>
  </w:endnote>
  <w:endnote w:type="continuationSeparator" w:id="0">
    <w:p w14:paraId="2E69F933" w14:textId="77777777" w:rsidR="005D0EFB" w:rsidRDefault="005D0EFB"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1392E" w14:textId="77777777" w:rsidR="005D0EFB" w:rsidRDefault="005D0EFB" w:rsidP="00FF4465">
      <w:pPr>
        <w:spacing w:before="0" w:after="0"/>
      </w:pPr>
      <w:r>
        <w:separator/>
      </w:r>
    </w:p>
  </w:footnote>
  <w:footnote w:type="continuationSeparator" w:id="0">
    <w:p w14:paraId="1E12B3E1" w14:textId="77777777" w:rsidR="005D0EFB" w:rsidRDefault="005D0EFB" w:rsidP="00FF4465">
      <w:pPr>
        <w:spacing w:before="0" w:after="0"/>
      </w:pPr>
      <w:r>
        <w:continuationSeparator/>
      </w:r>
    </w:p>
  </w:footnote>
  <w:footnote w:id="1">
    <w:p w14:paraId="5C6D240D" w14:textId="1F2EE70B" w:rsidR="00F87158" w:rsidRDefault="00F87158" w:rsidP="00F87158">
      <w:pPr>
        <w:pStyle w:val="RevisionFunotentext"/>
      </w:pPr>
      <w:r>
        <w:rPr>
          <w:rStyle w:val="FootnoteReference"/>
        </w:rPr>
        <w:t xml:space="preserve">*</w:t>
      </w:r>
      <w:r>
        <w:rPr>
          <w:rStyle w:val="FootnoteReference"/>
          <w:vertAlign w:val="baseline"/>
        </w:rPr>
        <w:t xml:space="preserve">)</w:t>
      </w:r>
      <w:r>
        <w:tab/>
      </w:r>
      <w:r>
        <w:t xml:space="preserve">A rendelet a műszaki szabályokkal és az információs társadalom szolgáltatásaira vonatkozó szabályokkal kapcsolatos információszolgáltatási eljárás megállapításáról szóló, 2015. szeptember 9-i (EU) 2015/1535 európai parlamenti és tanácsi irányelvben (HL L 241., 2015.9.17., 1. o.) foglaltak szerint bejelentés tárgyát képezte.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ACD9" w14:textId="16EB1E5D" w:rsidR="00E97B1F" w:rsidRPr="00E851FA" w:rsidRDefault="00E851FA" w:rsidP="00E851FA">
    <w:pPr>
      <w:pStyle w:val="Header"/>
      <w:framePr w:vSpace="283" w:wrap="notBeside"/>
    </w:pPr>
    <w:r>
      <w:tab/>
    </w:r>
    <w:r>
      <w:t xml:space="preserve">– </w:t>
    </w:r>
    <w:r>
      <w:fldChar w:fldCharType="begin"/>
    </w:r>
    <w:r>
      <w:instrText xml:space="preserve"> PAGE  \* MERGEFORMAT </w:instrText>
    </w:r>
    <w:r>
      <w:fldChar w:fldCharType="separate"/>
    </w:r>
    <w:r>
      <w:t>2</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E50E" w14:textId="66737395" w:rsidR="00E97B1F" w:rsidRPr="00E851FA" w:rsidRDefault="00E851FA" w:rsidP="00E851FA">
    <w:pPr>
      <w:pStyle w:val="Header"/>
      <w:framePr w:vSpace="283" w:wrap="notBeside"/>
    </w:pPr>
    <w:r>
      <w:tab/>
    </w:r>
    <w:r>
      <w:t xml:space="preserve">– </w:t>
    </w:r>
    <w:r>
      <w:fldChar w:fldCharType="begin"/>
    </w:r>
    <w:r>
      <w:instrText xml:space="preserve"> PAGE  \* MERGEFORMAT </w:instrText>
    </w:r>
    <w:r>
      <w:fldChar w:fldCharType="separate"/>
    </w:r>
    <w:r>
      <w:t>2</w:t>
    </w:r>
    <w: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attachedTemplate r:id="rId1"/>
  <w:defaultTabStop w:val="720"/>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1119-2A56-46B7-9B1E-59FE604F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3</TotalTime>
  <Pages>7</Pages>
  <Words>2996</Words>
  <Characters>17079</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Liu, Lei</cp:lastModifiedBy>
  <cp:revision>3</cp:revision>
  <cp:lastPrinted>2020-12-08T16:22:00Z</cp:lastPrinted>
  <dcterms:created xsi:type="dcterms:W3CDTF">2021-01-28T12:34:00Z</dcterms:created>
  <dcterms:modified xsi:type="dcterms:W3CDTF">2021-01-28T13:55:00Z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