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Szövetségi Igazságügyi és Fogyasztóvédelmi Minisztérium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Módosító javaslat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a szövetségi kormány törvénytervezetéről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– 19/26915 dokumentum –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A tisztességes fogyasztókkal kötött szerződésekről szóló törvénytervezet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Javasolt, hogy a Bundestag (Parlament) döntsön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a 19/26915 dokumentumban szereplő törvénytervezet elfogadásáról a következő feltételekkel, egyébként változatlan formában: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A cím a következő lábjegyzettel egészül ki: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ab/>
      </w:r>
      <w:r>
        <w:t xml:space="preserve">Az Európai Parlament és a Tanács a műszaki szabályokkal és az információs társadalom szolgáltatásaira vonatkozó szabályokkal kapcsolatos információszolgáltatási eljárás megállapításáról szóló, 2015. szeptember 9-i (EU) 2015/1535 irányelvével (AB1.L 241, 2015. szeptember 17., 1. o.) összhangban került bejelentésre.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Az 1. cikk a következőképpen módosul: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A szöveg a 3. pont után a következő 4-6. ponttal egészül ki: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’4.</w:t>
      </w:r>
      <w:r>
        <w:tab/>
      </w:r>
      <w:r>
        <w:t xml:space="preserve">A 312. § (7) bekezdésének 1. mondatában a „312 l §” szavak helyébe a „312 m §” szavak lépnek.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A 312j. § után a szöveg a következő 312k. §-sal egészül ki: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„312k §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Fogyasztói szerződések megszüntetése az elektronikus kereskedelemben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Amennyiben egy weboldal lehetővé teszi a fogyasztók számára, hogy olyan elektronikus kereskedelmi szerződést kössenek, amelynek célja egy állandó adósságviszony létrehozása, és amely egy társaságot arra kötelez, hogy cserébe szolgáltatást nyújtson, a társaságnak teljesítenie kell az abban a rendelkezésben megállapított kötelezettségeket.</w:t>
      </w:r>
      <w:r>
        <w:t xml:space="preserve"> </w:t>
      </w:r>
      <w:r>
        <w:t xml:space="preserve">Ez nem vonatkozik az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olyan szerződésekre, amelyeknek megszüntetését a szöveges formánál szigorúbb formában írják elő; valamint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a pénzügyi szolgáltatásokhoz kapcsolódó weboldalakra, vagy pénzügyi szolgáltatásokhoz kapcsolódó szerződésekre.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A társaságnak gondoskodnia kell arról, hogy a honlapon a fogyasztó az 1. § (1) bekezdése mondatának megfelelően a weboldalon kötött szerződés rendes vagy rendkívüli felmondásáról a felmondásra vonatkozó gombon keresztül nyilatkozhasson.</w:t>
      </w:r>
      <w:r>
        <w:t xml:space="preserve"> </w:t>
      </w:r>
      <w:r>
        <w:t xml:space="preserve">A felmondásra vonatkozó gombnak könnyen olvashatónak kell lennie, a „szerződés megszüntetése itt” szavakon kívül mást nem tartalmazhat, és a célnak megfelelő egyértelmű szöveggel szükséges ellátni.</w:t>
      </w:r>
      <w:r>
        <w:t xml:space="preserve"> </w:t>
      </w:r>
      <w:r>
        <w:t xml:space="preserve">A fogyasztót közvetlenül egy olyan visszaigazoló oldalra kell vezetnie, amely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megszólítja a fogyasztót, és lehetővé teszi számára, hogy tájékoztatást nyújtson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a megszüntetés jellegéről és rendkívüli felmondás esetén a felmondás okáról,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az egyértelmű beazonosíthatóságáról,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a szerződés egyértelmű megnevezéséről,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abban az időpontban, amikor a felmondás a szerződéses jogviszonyt megszünteti,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a felmondás megerősítésének gyors elektronikus továbbítása érdekében, valamint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amely tartalmaz egy megerősítés gombot, amelyen keresztül a fogyasztó benyújthatja a felmondásról szóló értesítést, és amely könnyen olvasható a „megszüntetés most” vagy megfelelő, egyértelmű szöveggel jelölve.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A felhasználói felületeknek és a visszaigazoló oldalnak folyamatosan elérhetőnek és azonnal és könnyen hozzáférhetőnek kell lennie.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A fogyasztó köteles tartós adathordozón tárolni a felmondási nyilatkozatot a megerősítés gomb megnyomása után a küldés dátumával és időpontjával úgy, hogy látható legyen, hogy a felmondási nyilatkozatot a megerősítés gomb megnyomásával nyújtották be.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A társaság a megszüntetésről szóló értesítés tartalmát, kézhezvételének napját és időpontját, valamint azt az időpontot, amikor a felmondás útján a szerződést felmondják, írásban, elektronikus úton, haladéktalanul visszaigazolja a fogyasztónak.</w:t>
      </w:r>
      <w:r>
        <w:t xml:space="preserve"> </w:t>
      </w:r>
      <w:r>
        <w:t xml:space="preserve">Vélelmezhető, hogy a megerősítés gomb megnyomásával benyújtott megszüntetésről szóló értesítést elküldték a társaságnak közvetlenül annak benyújtása után.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Ha a fogyasztó a megszüntetésről szóló értesítés benyújtásakor nem jelzi az időpontot, mikor szüntetendő meg a szerződéses jogviszony, akkor a felmondás a lehető legkorábbi időpontban megy végbe.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Ha a gombok és a megerősítő oldal nem áll rendelkezésre az 1. és 2. bekezdésnek megfelelően, akkor a fogyasztó felmondhatja azt a szerződést, amelynek megszüntetésére előzetes határidő nélkül és bármikor elérhetővé szükséges tenni a gombokat és a megerősítő oldalt.</w:t>
      </w:r>
      <w:r>
        <w:t xml:space="preserve"> </w:t>
      </w:r>
      <w:r>
        <w:t xml:space="preserve">Ez nem érinti a fogyasztó kivételes felmondási képességét.”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Az előző 312k § és 312 l § lesz a 312 l § és a 312 m §.”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A korábbi 4-es szám a 7-es számra változik.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A 2. cikk szövege a következő: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„2. cikk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A Polgári Törvénykönyv bevezető részének módosítása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A Polgári Törvénykönyv bevezető törvénye az 1994. szeptember 21-én közzétett változatban (Szövetségi Közlöny I. p. 2494., 1997; I p. 1061); legutóbb a 2020. december 22-i törvény (Szövetségi Közlöny I., p. 3328.) 10. cikkével módosítva a következőképpen módosul: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A 229. cikk helyébe lép a következő §...</w:t>
      </w:r>
      <w:r>
        <w:t xml:space="preserve"> </w:t>
      </w:r>
      <w:r>
        <w:t xml:space="preserve">[bevezetés: a következő ingyenes számlálási megjelölés kihirdetésekor] kerül hozzáadásra: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‘§...</w:t>
      </w:r>
      <w:r>
        <w:t xml:space="preserve"> </w:t>
      </w:r>
      <w:r>
        <w:t xml:space="preserve">[a következőket tartalmazza: a következő ingyenes számlálási jelölés kihirdetésekor]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A tisztességes fogyasztói szerződésekről szóló törvény átmeneti rendelkezése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Adósságra vonatkozóan, ami megelőzi a...</w:t>
      </w:r>
      <w:r>
        <w:t xml:space="preserve"> </w:t>
      </w:r>
      <w:r>
        <w:t xml:space="preserve">[körülmény:</w:t>
      </w:r>
      <w:r>
        <w:t xml:space="preserve"> </w:t>
      </w:r>
      <w:r>
        <w:t xml:space="preserve">E törvény 5. cikke (3) bekezdésének megállapításával összhangban a hatálybalépés időpontja] alkalmazandó az addig az időpontig módosított Polgári Törvénykönyv rendelkezéseire vonatkozóan.”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A 246e. cikk (1)–(2) bekezdésének 10. pontjában a „312k. §” szöveg helyébe a „312 l. §” szöveg lép.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A szöveg az 5. cikk 1. mondata után a következő mondattal egészül ki: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„Az 1. cikk (4)–(6) bekezdése és a 2. cikk (2) bekezdése 2022. július 1-jén lép hatályba.”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Indokolás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(1) bekezdés értelmében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t xml:space="preserve">A kiegészítésre azért van szükség, mert a műszaki szabályokkal és az információs társadalom szolgáltatásaira vonatkozó műszaki szabályokkal kapcsolatos információszolgáltatási eljárás megállapításáról szóló, 2015. szeptember 9-i (EU) 2015/1535 európai parlamenti és tanácsi irányelv értelmében a 2. pont a) alpontjában (1. cikk (5) bekezdése) előírt rendelkezés bejelentési kötelezettség alá tartozik.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(2) bekezdés értelmében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A törvénytervezet 2. pontja az 1. cikkre vonatkozó módosításokat tartalmazza, amely a polgári törvénykönyv (BGB) módosítását írja elő.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(a) rész értelmében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Az a) alpont tartalmazza a polgári törvénykönyv azon szükséges módosításait, amelyek a polgári törvénykönyv 312k. § tervezetbe illesztése során valósulnak meg.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1. cikk, 4. pont értelmében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Ez egy következményes módosítás, amelyet a polgári törvénykönyv új 312k. §-ának a tervezetbe történő beillesztése tesz szükségessé.</w:t>
      </w:r>
      <w:r>
        <w:rPr>
          <w:sz w:val="22"/>
        </w:rPr>
        <w:t xml:space="preserve"> </w:t>
      </w:r>
      <w:r>
        <w:rPr>
          <w:sz w:val="22"/>
        </w:rPr>
        <w:t xml:space="preserve">A német polgári törvénykönyv 312k. §-át várhatóan egy törvényjavaslat módosítja, amely módosítja a polgári törvénykönyvet és a polgári törvénykönyvről szóló bevezető törvényt az uniós fogyasztóvédelmi jogszabályok jobb végrehajtásáról és korszerűsítéséről szóló uniós irányelve tükrében, valamint a 2006/2004/EK rendelet végrehajtása felelősségének a Szövetségi Igazságügyi és Fogyasztóvédelmi Minisztériumra történő átszállásáról szóló különrendelet hatályon kívül helyezéseként (a továbbiakban: Szövetségi Tanács nyomt. 61/21), a továbbiakban:</w:t>
      </w:r>
      <w:r>
        <w:rPr>
          <w:sz w:val="22"/>
        </w:rPr>
        <w:t xml:space="preserve"> </w:t>
      </w:r>
      <w:r>
        <w:rPr>
          <w:sz w:val="22"/>
        </w:rPr>
        <w:t xml:space="preserve">a korszerűsítésről szóló irányelv végrehajtásának törvénytervezete).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1. cikk, 5. pont értelmében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A 1. cikk (5) bekezdése új 312k. §-t vezet be a német polgári törvénykönyvbe (BGB).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Az elektronikus kereskedelemben kötött szerződések megszüntetése gyakran különleges kihívást jelent a fogyasztók számára.</w:t>
      </w:r>
      <w:r>
        <w:rPr>
          <w:sz w:val="22"/>
        </w:rPr>
        <w:t xml:space="preserve"> </w:t>
      </w:r>
      <w:r>
        <w:rPr>
          <w:sz w:val="22"/>
        </w:rPr>
        <w:t xml:space="preserve">Az adott szerződés egyszerű megkötéséhez képest annak megszüntetése részben nem lehetséges közvetlenül egy honlapon keresztül, vagy annak kialakítása azt megnehezíti.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A polgári törvénykönyv 312k. §-a tervezetében a társaság javasolt kötelezettségei lehetővé teszik a fogyasztók számára, hogy a felmondási nyilatkozatokat az elektronikus kereskedelemben egyszerű módon, a felmondási nyilatkozatok sajátosságainak figyelembevételével, a vonatkozó szerződések megkötésére irányuló nyilatkozatokhoz hasonlóan adhassák be.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 §-ának (1) bekezdése határozza meg a rendelkezés hatályát.</w:t>
      </w:r>
      <w:r>
        <w:rPr>
          <w:sz w:val="22"/>
        </w:rPr>
        <w:t xml:space="preserve"> </w:t>
      </w:r>
      <w:r>
        <w:rPr>
          <w:sz w:val="22"/>
        </w:rPr>
        <w:t xml:space="preserve">A német polgári törvénykönyv (BGB) 312k. § (2) bekezdése a tervezetben körvonalazza a társaság azon kötelezettségét, hogy felmondásra vonatkozó gombot tartson fenn, és további előírásokat fogalmazzon meg a társaság által a felmondásról szóló értesítés benyújtására elérhetővé tett technikai eszközök kialakítására vonatkozóan.</w:t>
      </w:r>
      <w:r>
        <w:rPr>
          <w:sz w:val="22"/>
        </w:rPr>
        <w:t xml:space="preserve"> </w:t>
      </w:r>
      <w:r>
        <w:rPr>
          <w:sz w:val="22"/>
        </w:rPr>
        <w:t xml:space="preserve">A német polgári törvénykönyv (BGB) rendelettervezete a 312k.§ (3) bekezdésében szabályozza a fogyasztó lehetőségeit az általuk benyújtott felmondási nyilatkozat megőrzéséről.</w:t>
      </w:r>
      <w:r>
        <w:rPr>
          <w:sz w:val="22"/>
        </w:rPr>
        <w:t xml:space="preserve"> </w:t>
      </w:r>
      <w:r>
        <w:rPr>
          <w:sz w:val="22"/>
        </w:rPr>
        <w:t xml:space="preserve">A német polgári törvénykönyv (BGB) rendelettervezetének 312k.§ (4) bekezdése előírja, hogy a társaság köteles visszaigazolni a felmondásról szóló értesítés kézhezvételét, valamint megerősíteni a felmondásról szóló értesítéshez való hozzáférés vélelmét.</w:t>
      </w:r>
      <w:r>
        <w:rPr>
          <w:sz w:val="22"/>
        </w:rPr>
        <w:t xml:space="preserve"> </w:t>
      </w:r>
      <w:r>
        <w:rPr>
          <w:sz w:val="22"/>
        </w:rPr>
        <w:t xml:space="preserve">A polgári törvénykönyv 312k.§ (5) bekezdésének tervezete fenntartja a felmondás időpontjával kapcsolatos kétséget.</w:t>
      </w:r>
      <w:r>
        <w:rPr>
          <w:sz w:val="22"/>
        </w:rPr>
        <w:t xml:space="preserve"> </w:t>
      </w:r>
      <w:r>
        <w:rPr>
          <w:sz w:val="22"/>
        </w:rPr>
        <w:t xml:space="preserve">A polgári törvénykönyv 312k.§ (6) bekezdésének tervezete kimondja, hogy ha egy társaság nem teljesíti a tervezet 312k.§ (1) és (2) bekezdésében meghatározott kötelezettségeket, akkor a szerződés bármikor felmondható, felmondási idő betartása nélkül.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312k. §-ra vonatkozó BGB-E. (1) bekezdés: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A polgári törvénykönyv 312k. § (1) bekezdésének tervezete tartalmazza a társaság kötelezettségeire vonatkozó követelményeket, valamint számos kivételt a 312k. § tervezeteként.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312k.§ (1) bekezdése szerinti kötelezettség akkor alkalmazandó a társaságra, ha a fogyasztók a német polgári törvénykönyv (BGB) tervezet 312k.§ (1) bekezdése 1. mondata szerinti módon szerződéseket köthetnek.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312k.§ (1) bekezdésének 1. mondata az „elektronikus kereskedelem területén kötött szerződés” szövegezést használja, amelyet a német polgári törvénykönyv 312i.§ (1) bekezdés 1. mondata jogilag meghatároz.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E szerződések megkötését a német polgári törvénykönyv 312k. § (1) bekezdésének 1. mondatával összhangban egy „weboldalon” keresztül szükséges lehetővé tenni.</w:t>
      </w:r>
      <w:r>
        <w:rPr>
          <w:sz w:val="22"/>
        </w:rPr>
        <w:t xml:space="preserve"> </w:t>
      </w:r>
      <w:r>
        <w:rPr>
          <w:sz w:val="22"/>
        </w:rPr>
        <w:t xml:space="preserve">A „weboldal” kifejezés értelmezésére a német polgári törvénykönyv 312j.§ (1) bekezdésében leírt azonos kifejezésre vonatkozó joggyakorlat alkalmazandó.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 német polgári törvénykönyv tervezete 312k. §-a alapján a társaság kötelezettségének igazolása szempontjából nem számít, hogy a megkötendő szerződést tartalmazó weboldalt maga a társaság, vagy – például közvetítő platformok esetében – egy harmadik fél üzemelteti.</w:t>
      </w:r>
      <w:r>
        <w:rPr>
          <w:sz w:val="22"/>
        </w:rPr>
        <w:t xml:space="preserve"> </w:t>
      </w:r>
      <w:r>
        <w:rPr>
          <w:sz w:val="22"/>
        </w:rPr>
        <w:t xml:space="preserve">A társaságnak mindkét esetben gondoskodnia kell arról, hogy a fogyasztó a német polgári törvénykönyv 312k. § tervezetének követelményeivel összhangban nyújthassa be a felmondását.</w:t>
      </w:r>
      <w:r>
        <w:rPr>
          <w:sz w:val="22"/>
        </w:rPr>
        <w:t xml:space="preserve"> </w:t>
      </w:r>
      <w:r>
        <w:rPr>
          <w:sz w:val="22"/>
        </w:rPr>
        <w:t xml:space="preserve">Ha lehetséges a szerződés megkötése egy olyan weboldalon, amit nem maga a társaság üzemeltet, akkor a társaságnak szerződésben kell köteleznie a harmadik felet, hogy a harmadik fél weboldalának üzemeltetőjeként lépjen fel.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 polgári törvénykönyv tervezete 312k. § (1) bekezdése 1. mondatával összhangban a társaságnak kötelezettsége a társaságok és a fogyasztók közötti állandó adósságviszonyok létesítésére vonatkozó szerződésekre korlátozódik, amelyek díjazásra kötelezik a társaságot.</w:t>
      </w:r>
      <w:r>
        <w:rPr>
          <w:sz w:val="22"/>
        </w:rPr>
        <w:t xml:space="preserve"> </w:t>
      </w:r>
      <w:r>
        <w:rPr>
          <w:sz w:val="22"/>
        </w:rPr>
        <w:t xml:space="preserve">Az állandó adósság korlátozása a fogyasztóvédelem szempontjából történik, mivel különös szükség van a felmondás lehetőségének megkönnyítésére.</w:t>
      </w:r>
      <w:r>
        <w:rPr>
          <w:sz w:val="22"/>
        </w:rPr>
        <w:t xml:space="preserve"> </w:t>
      </w:r>
      <w:r>
        <w:rPr>
          <w:sz w:val="22"/>
        </w:rPr>
        <w:t xml:space="preserve">A hosszú távú adósságviszonyok gyakran „költségcsapdáknak” bizonyulhatnak a fogyasztók iránti hosszú távú elkötelezettség miatt.</w:t>
      </w:r>
      <w:r>
        <w:rPr>
          <w:sz w:val="22"/>
        </w:rPr>
        <w:t xml:space="preserve"> </w:t>
      </w:r>
      <w:r>
        <w:rPr>
          <w:sz w:val="22"/>
        </w:rPr>
        <w:t xml:space="preserve">Másrészt az egyéb kötelezettségek állandó adósságként való megszüntetése bizonyos esetekben jogi következményekkel járhat a fogyasztóra nézve, ami a fogyasztó szempontjából váratlannak tűnhet (pl. a polgári törvénykönyv 648 §-a szerinti felmondási jog esetén a vevő fennálló fizetési kötelezettsége).</w:t>
      </w:r>
      <w:r>
        <w:rPr>
          <w:sz w:val="22"/>
        </w:rPr>
        <w:t xml:space="preserve"> </w:t>
      </w:r>
      <w:r>
        <w:rPr>
          <w:sz w:val="22"/>
        </w:rPr>
        <w:t xml:space="preserve">Ezek a jogkövetkezmények különösen a német polgári törvénykönyv 312k.§ (2) bekezdése 3. mondatának 2. pontja szerinti adatszolgáltatási kötelezettségének szabványosított teljesítését nehezítenék meg a tervezetben.</w:t>
      </w:r>
      <w:r>
        <w:rPr>
          <w:sz w:val="22"/>
        </w:rPr>
        <w:t xml:space="preserve"> </w:t>
      </w:r>
      <w:r>
        <w:rPr>
          <w:sz w:val="22"/>
        </w:rPr>
        <w:t xml:space="preserve">Ezért az egyes esetekben a felmondás sajátos következményei miatt fennálló állandó adósságra vonatkozó szerződésektől eltérő szerződésekre a német polgári törvénykönyv tervezetének 312k. §-a nem terjed ki.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A német polgári törvénykönyv (BGB) tervezetének 312k.§ (1) bekezdése 2. mondatának 1. pontja szerint a 312k. § nem alkalmazandó a tervezetben, ha a szóban forgó szerződés jogi formai követelmények alapján történő felmondását kizárólag a szövegnél szigorúbb formában kell benyújtani.</w:t>
      </w:r>
      <w:r>
        <w:rPr>
          <w:sz w:val="22"/>
        </w:rPr>
        <w:t xml:space="preserve"> </w:t>
      </w:r>
      <w:r>
        <w:rPr>
          <w:sz w:val="22"/>
        </w:rPr>
        <w:t xml:space="preserve">Ez tehát magában foglalja a német polgári törvénykönyv 126a. §-ának alaki feltételeit vagy az írásbeli formai követelményeket, illetve – a szöveghez képest szigorúbb – elektronikus forma követelményét is.</w:t>
      </w:r>
      <w:r>
        <w:rPr>
          <w:sz w:val="22"/>
        </w:rPr>
        <w:t xml:space="preserve"> </w:t>
      </w:r>
      <w:r>
        <w:rPr>
          <w:sz w:val="22"/>
        </w:rPr>
        <w:t xml:space="preserve">Ez kizárja a közjegyző által hitelesített formában kibocsátott felmondási nyilatkozatokat is.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A polgári törvénykönyv tervezetének 312k §-a a fogyasztó felmondási lehetőségeinek kiterjesztését célozza, nem korlátozva vagy kizárva a felmondásról szóló értesítés más módon történő benyújtását.</w:t>
      </w:r>
      <w:r>
        <w:rPr>
          <w:sz w:val="22"/>
        </w:rPr>
        <w:t xml:space="preserve"> </w:t>
      </w:r>
      <w:r>
        <w:rPr>
          <w:sz w:val="22"/>
        </w:rPr>
        <w:t xml:space="preserve">Különösen a német polgári törvénykönyv (BGB) 309.§-ának 13. c) pontja szerint előre meghatározott szerződéses feltételek alapján kötött megállapodás akkor marad érvényben, ha a polgári törvénykönyv 312k.§-a szerinti gomb biztosított a polgári törvénykönyv 312k.§ paragrafusa alapján.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A polgári törvénykönyv tervezetének 312k. § (1) bekezdése 2. mondatának 2. pontja előírja, hogy a társaságok mentesülnek a polgári törvénykönyv 312k. § tervezetében foglalt kötelezettségek alól, ha a weboldal pénzügyi szolgáltatásokra korlátozódik, vagy, ha a szóban forgó szerződések pénzügyi szolgáltatásokra vonatkoznak.</w:t>
      </w:r>
      <w:r>
        <w:rPr>
          <w:sz w:val="22"/>
        </w:rPr>
        <w:t xml:space="preserve"> </w:t>
      </w:r>
      <w:r>
        <w:rPr>
          <w:sz w:val="22"/>
        </w:rPr>
        <w:t xml:space="preserve">E rendelkezés mintája a polgári törvénykönyv 312j. § (5) bekezdésének 2. mondata; a „pénzügyi szolgáltatások” fogalmát jogilag a polgári törvénykönyv 312. § (5) bekezdésének 1. mondata határozza meg.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312k. §-ra vonatkozó BGB-E. (2) bekezdés: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A polgári törvénykönyv tervezetben a 312k. § (2) bekezdése meghatározza a társaság kötelezettségét, és kétlépcsős eljárást ír elő a felmondásról szóló értesítés benyújtására.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 § (2) bekezdésének 1. mondata a társaságnak a tervezetben szereplő kötelezettségét a polgári törvénykönyv 312k. §-ával összhangban rendes és rendkívüli felmondásokra korlátozza.</w:t>
      </w:r>
      <w:r>
        <w:rPr>
          <w:sz w:val="22"/>
        </w:rPr>
        <w:t xml:space="preserve"> </w:t>
      </w:r>
      <w:r>
        <w:rPr>
          <w:sz w:val="22"/>
        </w:rPr>
        <w:t xml:space="preserve">A digitális tartalom és digitális szolgáltatások nyújtásának egyes szerződéses vonatkozásairól szóló irányelv végrehajtási törvénytervezetével összhangban, a digitális termékek szolgáltatásának elmulasztása, hibás vagy kedvezőtlen módosítása miatti, a szerződés visszavonását és felmondását is magában foglaló, állandó adósságviszonyok felmondására vonatkozó egyéb jogok nem tartoznak e rendelet hatálya alá (Szövetségi Tanács nyomt. 60/21).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A törvényi jogokat megállapító szerződések felmondása nem tartozik az alkalmazás hatálya alá, mivel azok nem az elektronikus kereskedelemben köttetnek.</w:t>
      </w:r>
      <w:r>
        <w:rPr>
          <w:sz w:val="22"/>
        </w:rPr>
        <w:t xml:space="preserve"> </w:t>
      </w:r>
      <w:r>
        <w:rPr>
          <w:sz w:val="22"/>
        </w:rPr>
        <w:t xml:space="preserve">Bár a jelzáloghitelek vagy szolgáltatások hivatalosan is megszüntethetők, ezek nem minősülnek a vállalatok és a fogyasztók közötti elektronikus kereskedelmi szerződéseknek.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A társaság kötelezettségének igazolása nem függ attól, hogy a bejelentendő szerződést az elektronikus kereskedelemben is megkötötték-e.</w:t>
      </w:r>
      <w:r>
        <w:rPr>
          <w:sz w:val="22"/>
        </w:rPr>
        <w:t xml:space="preserve"> </w:t>
      </w:r>
      <w:r>
        <w:rPr>
          <w:sz w:val="22"/>
        </w:rPr>
        <w:t xml:space="preserve">Azonban az döntő fontosságú, hogy a vállalat lehetővé teszi-e az elektronikus kereskedelem megvalósítását a szerződés felbontásakor.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A társaság kötelezettsége független attól, hogy a fogyasztó milyen mértékben jogosult a felmondási jogra egyedi esetekben.</w:t>
      </w:r>
      <w:r>
        <w:rPr>
          <w:sz w:val="22"/>
        </w:rPr>
        <w:t xml:space="preserve"> </w:t>
      </w:r>
      <w:r>
        <w:rPr>
          <w:sz w:val="22"/>
        </w:rPr>
        <w:t xml:space="preserve">A gomb csak arra szolgál, hogy lehetőséget teremtsen a fogyasztó általi felmondás bejelentésére.</w:t>
      </w:r>
      <w:r>
        <w:rPr>
          <w:sz w:val="22"/>
        </w:rPr>
        <w:t xml:space="preserve"> </w:t>
      </w:r>
      <w:r>
        <w:rPr>
          <w:sz w:val="22"/>
        </w:rPr>
        <w:t xml:space="preserve">A fogyasztó felmondásának fizikai engedélyezése nem követelmény a gomb a polgári törvénykönyv 312k §-a szerinti használatára a tervezetben.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 § 2. bekezdésének 2. mondata szerint a társaságnak először egy „szerződés megszüntetése itt” felirattal ellátott gombot szükséges biztosítania a fogyasztó számára, amely egy „megerősítés oldal” nevű másik oldalra irányít.</w:t>
      </w:r>
      <w:r>
        <w:rPr>
          <w:sz w:val="22"/>
        </w:rPr>
        <w:t xml:space="preserve"> </w:t>
      </w:r>
      <w:r>
        <w:rPr>
          <w:sz w:val="22"/>
        </w:rPr>
        <w:t xml:space="preserve">A „felmondási szerződésektől” eltérő jelölések csak akkor megengedettek, ha azok egyértelműek.</w:t>
      </w:r>
      <w:r>
        <w:rPr>
          <w:sz w:val="22"/>
        </w:rPr>
        <w:t xml:space="preserve"> </w:t>
      </w:r>
      <w:r>
        <w:rPr>
          <w:sz w:val="22"/>
        </w:rPr>
        <w:t xml:space="preserve">Meg kell jegyezni, hogy szükség esetén más módon is egyértelművé kell tenni, hogy a megszüntetés gomb még nincsen közzétéve, hanem csak a felmondási folyamat indul meg.</w:t>
      </w:r>
      <w:r>
        <w:rPr>
          <w:sz w:val="22"/>
        </w:rPr>
        <w:t xml:space="preserve"> </w:t>
      </w:r>
      <w:r>
        <w:rPr>
          <w:sz w:val="22"/>
        </w:rPr>
        <w:t xml:space="preserve">Mindenesetre a szövegezésnek az a célja, hogy egyértelművé tegye a fogyasztó számára, hogy a gomb megnyomásakor további információt adhat meg a felmondási nyilatkozat benyújtása előtt.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Annak érdekében, hogy a szerződést a felmondásról szóló értesítés révén megszüntethessék, úgy szükséges megtervezni, hogy a címzett lássa, ki jelenti be a felmondást, és mely szerződést kell felmondani.</w:t>
      </w:r>
      <w:r>
        <w:rPr>
          <w:sz w:val="22"/>
        </w:rPr>
        <w:t xml:space="preserve"> </w:t>
      </w:r>
      <w:r>
        <w:rPr>
          <w:sz w:val="22"/>
        </w:rPr>
        <w:t xml:space="preserve">A megerősítő oldalnak ezért fel kell kérnie a fogyasztót, hogy a 312k. § (2) bekezdése 3. mondata 1. pontjának a)–e) alpontjával összhangban írja be a tervezetbe a szükséges információkat, valamint ezt lehetővé kell tennie.</w:t>
      </w:r>
      <w:r>
        <w:rPr>
          <w:sz w:val="22"/>
        </w:rPr>
        <w:t xml:space="preserve"> </w:t>
      </w:r>
      <w:r>
        <w:rPr>
          <w:sz w:val="22"/>
        </w:rPr>
        <w:t xml:space="preserve">E célból a fogyasztónak először is képesnek kell lennie arra, hogy megjelölje a felmondás jellegét, és rendkívüli felmondás esetén a felmondás alapjául szolgáló okot (a) pont).</w:t>
      </w:r>
      <w:r>
        <w:rPr>
          <w:sz w:val="22"/>
        </w:rPr>
        <w:t xml:space="preserve"> </w:t>
      </w:r>
      <w:r>
        <w:rPr>
          <w:sz w:val="22"/>
        </w:rPr>
        <w:t xml:space="preserve">Ezen kívül a fogyasztónak meg kell tudnia adni az azonosításához (b) és a szerződés egyértelmű leírásához (c) szükséges információkat.</w:t>
      </w:r>
      <w:r>
        <w:rPr>
          <w:sz w:val="22"/>
        </w:rPr>
        <w:t xml:space="preserve"> </w:t>
      </w:r>
      <w:r>
        <w:rPr>
          <w:sz w:val="22"/>
        </w:rPr>
        <w:t xml:space="preserve">Jellemzően a név és a cím szükséges lehet az azonosításhoz.</w:t>
      </w:r>
      <w:r>
        <w:rPr>
          <w:sz w:val="22"/>
        </w:rPr>
        <w:t xml:space="preserve"> </w:t>
      </w:r>
      <w:r>
        <w:rPr>
          <w:sz w:val="22"/>
        </w:rPr>
        <w:t xml:space="preserve">A szerződés kijelöléséhez a vállalat lekérdezheti az ügyfél, a megrendelés vagy a szerződés számát.</w:t>
      </w:r>
      <w:r>
        <w:rPr>
          <w:sz w:val="22"/>
        </w:rPr>
        <w:t xml:space="preserve"> </w:t>
      </w:r>
      <w:r>
        <w:rPr>
          <w:sz w:val="22"/>
        </w:rPr>
        <w:t xml:space="preserve">A d) pontnak megfelelően a fogyasztó számára biztosítani kell, hogy megadhassa a felmondás hatálybalépésének időpontját.</w:t>
      </w:r>
      <w:r>
        <w:rPr>
          <w:sz w:val="22"/>
        </w:rPr>
        <w:t xml:space="preserve"> </w:t>
      </w:r>
      <w:r>
        <w:rPr>
          <w:sz w:val="22"/>
        </w:rPr>
        <w:t xml:space="preserve">Ez azonban nem számolható fel olyan kötelezettségként, amely nélkül a felmondás nem igazolható a honlapon keresztül.</w:t>
      </w:r>
      <w:r>
        <w:rPr>
          <w:sz w:val="22"/>
        </w:rPr>
        <w:t xml:space="preserve"> </w:t>
      </w:r>
      <w:r>
        <w:rPr>
          <w:sz w:val="22"/>
        </w:rPr>
        <w:t xml:space="preserve">Ez már a német polgári törvénykönyv (BGB) tervezetének 312k. §-a (5) bekezdéséből következik, amely szerint a felmondásról szóló értesítés a lehető legkorábbi időpontban hatályba lép amennyiben a felmondási dátum nem meghatározott.</w:t>
      </w:r>
      <w:r>
        <w:rPr>
          <w:sz w:val="22"/>
        </w:rPr>
        <w:t xml:space="preserve"> </w:t>
      </w:r>
      <w:r>
        <w:rPr>
          <w:sz w:val="22"/>
        </w:rPr>
        <w:t xml:space="preserve">E tekintetben lehetővé kell tenni a „lehető leghamarabb” megjelölést – vagy hasonló megfogalmazást, amely a felmondási igényt a lehető legkorábbi időpontban határozza meg – a meghatározott időpont bevitelének lehetőségével együtt.</w:t>
      </w:r>
      <w:r>
        <w:rPr>
          <w:sz w:val="22"/>
        </w:rPr>
        <w:t xml:space="preserve"> </w:t>
      </w:r>
      <w:r>
        <w:rPr>
          <w:sz w:val="22"/>
        </w:rPr>
        <w:t xml:space="preserve">Ezen túlmenően az e) pont szerint a fogyasztónak képesnek kell lennie arra, hogy a társaságot olyan információkkal lássa el, amelyek lehetővé teszik, hogy a társaság a felmondás visszaigazolását a német polgári törvénykönyv 312k. § (4) bekezdésének 1. mondata szerint a fogyasztónak (általában az e-mail címére) megküldje.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A német polgári törvénykönyv (BGB) tervezete 312k.§ (2) bekezdése 3. mondatának 1. pontja ezért biztosítja, hogy a fogyasztó a felmondási nyilatkozat megfelelő meghatározásához szükséges információkat, különös tekintettel a felmondandó szerződésre, megadhassa.</w:t>
      </w:r>
      <w:r>
        <w:rPr>
          <w:sz w:val="22"/>
        </w:rPr>
        <w:t xml:space="preserve"> </w:t>
      </w:r>
      <w:r>
        <w:rPr>
          <w:sz w:val="22"/>
        </w:rPr>
        <w:t xml:space="preserve">A kért információk korlátozásának célja a visszaigazoló oldal tervezésének megakadályozása, amelyben a társaság olyan további adatokat kérhet, amelyek nem állnak a fogyasztó azonnali rendelkezésére, nem szükségesek az egyértelmű megbízáshoz, és amelyek megnehezítik a szerződés egyszerű és zökkenőmentes megszüntetését.</w:t>
      </w:r>
      <w:r>
        <w:rPr>
          <w:sz w:val="22"/>
        </w:rPr>
        <w:t xml:space="preserve"> </w:t>
      </w:r>
      <w:r>
        <w:rPr>
          <w:sz w:val="22"/>
        </w:rPr>
        <w:t xml:space="preserve">Ugyanakkor a kitöltendő adatoknak meg kell felelniük annak az adatgazdasági elvnek, amelyet az Európai Parlament és a Tanács 2016. április 27-i, a természetes személyeknek a személyes adatok kezelése tekintetében történő védelméről és az ilyen adatok szabad áramlásáról, valamint a 95/46/EK rendelet hatályon kívül helyezéséről szóló (EU) 2016/679 rendelete 5. cikke (1) bekezdésének c) pontja részletez.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A 312k.§ (2) bekezdése 3. mondatának 2. pontja szerint egy „megerősítés gomb”-ot szükséges elhelyezni a visszaigazolási oldalon, amellyel a fogyasztó benyújthatja a felmondási nyilatkozatot.</w:t>
      </w:r>
      <w:r>
        <w:rPr>
          <w:sz w:val="22"/>
        </w:rPr>
        <w:t xml:space="preserve"> </w:t>
      </w:r>
      <w:r>
        <w:rPr>
          <w:sz w:val="22"/>
        </w:rPr>
        <w:t xml:space="preserve">Ezt a megerősítés gombot a „törlés most” felirattal kell ellátni.</w:t>
      </w:r>
      <w:r>
        <w:rPr>
          <w:sz w:val="22"/>
        </w:rPr>
        <w:t xml:space="preserve"> </w:t>
      </w:r>
      <w:r>
        <w:rPr>
          <w:sz w:val="22"/>
        </w:rPr>
        <w:t xml:space="preserve">Más jelölések csak akkor megengedettek, ha hasonlóképpen egyértelműek.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A két gombnak és a visszaigazoló oldalnak „állandóan elérhetőnek és közvetlenül és könnyen hozzáférhetőnek” kell lennie a német polgári törvénykönyv tervezetének 312k.§ (2) bekezdése 4. mondatának megfelelően.</w:t>
      </w:r>
      <w:r>
        <w:rPr>
          <w:sz w:val="22"/>
        </w:rPr>
        <w:t xml:space="preserve"> </w:t>
      </w:r>
      <w:r>
        <w:rPr>
          <w:sz w:val="22"/>
        </w:rPr>
        <w:t xml:space="preserve">Ami az „állandóan rendelkezésre álló” követelményt illeti, ez a rendelet a távközlési törvény 5. § (1) bekezdésében foglalt vonatkozó követelményen alapul.</w:t>
      </w:r>
      <w:r>
        <w:rPr>
          <w:sz w:val="22"/>
        </w:rPr>
        <w:t xml:space="preserve"> </w:t>
      </w:r>
      <w:r>
        <w:rPr>
          <w:sz w:val="22"/>
        </w:rPr>
        <w:t xml:space="preserve">Ezért a fogyasztók számára lehetővé kell tenni, hogy bármikor hozzáférjenek a két gombhoz és a visszaigazoló oldalhoz, anélkül hogy e célból először regisztrálniuk kellene a honlapon.</w:t>
      </w:r>
      <w:r>
        <w:rPr>
          <w:sz w:val="22"/>
        </w:rPr>
        <w:t xml:space="preserve"> </w:t>
      </w:r>
      <w:r>
        <w:rPr>
          <w:sz w:val="22"/>
        </w:rPr>
        <w:t xml:space="preserve">Másrészt a karbantartási munka miatti ideiglenes műszaki elérhetetlenség ártalmatlan (lásd a düsseldorfi regionális felsőbb szinten eljáró bíróság 2008. november 4-i ítéletét, ügyiratszám: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A „közvetlenül és könnyen hozzáférhető” követelmény a korszerűsítésre vonatkozó irányelv végrehajtásáról szóló törvénytervezettel módosított Polgári Törvénykönyv (EGBGB) 246d. cikkének (2) bekezdése 2. pontján alapul; a vonatkozó magyarázatokra történő utalással (Szövetségi Tanács nyomt. 61/21, 37. o. f. pont).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312k. §-ra vonatkozó BGB-E. (3) bekezdés: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A szövegtervezetben a német polgári törvénykönyv (BGB) 312k. §-ának (3) bekezdése biztosítja, hogy a fogyasztó a felmondásról szóló értesítés benyújtását dokumentálhassa.</w:t>
      </w:r>
      <w:r>
        <w:rPr>
          <w:sz w:val="22"/>
        </w:rPr>
        <w:t xml:space="preserve"> </w:t>
      </w:r>
      <w:r>
        <w:rPr>
          <w:sz w:val="22"/>
        </w:rPr>
        <w:t xml:space="preserve">Ez végrehajtható például a felmondási nyilatkozat tartalmának letölthető összefoglalójával, amelyet a megszüntetésre vonatkozó gomb segítségével nyújtottak be, és amely tartalmazza a gomb megnyomásának dátumát és időpontját.</w:t>
      </w:r>
      <w:r>
        <w:rPr>
          <w:sz w:val="22"/>
        </w:rPr>
        <w:t xml:space="preserve"> </w:t>
      </w:r>
      <w:r>
        <w:rPr>
          <w:sz w:val="22"/>
        </w:rPr>
        <w:t xml:space="preserve">Ez a dokumentáció biztosítja a fogyasztó nyilatkozatának megőrzését a polgári törvénykönyv 126b§-a 2. mondatának 1. pontja szerint.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312k. §-ra vonatkozó BGB-E. (4) bekezdés: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A társaság a polgári törvénykönyv tervezete 312k.§ 4. bekezdése 1. mondata szerinti kötelezettsége hozzáférést biztosít a felmondási nyilatkozathoz a társaság által.</w:t>
      </w:r>
      <w:r>
        <w:rPr>
          <w:sz w:val="22"/>
        </w:rPr>
        <w:t xml:space="preserve"> </w:t>
      </w:r>
      <w:r>
        <w:rPr>
          <w:sz w:val="22"/>
        </w:rPr>
        <w:t xml:space="preserve">Az elektronikus kereskedelemben a szöveg formájában történő azonnali megerősítés automatizált.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A német polgári törvénykönyv (BGB) tervezete 312k. § (4) bekezdése 2. mondatában foglalt ellentmondásos vélelem célja, hogy biztosítsa a felmondásról szóló értesítéshez való hozzáférés bizonyítékait a felhasználónak, akinek nincs rálátása a továbbításhoz használt technikai folyamatokba.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312k. §-ra vonatkozó BGB-E. (5) bekezdés: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 §-a (5) bekezdésének tervezete azt hivatott biztosítani, hogy a felmondás a fogyasztótól származó egyéb információ hiányában a lehető leghamarabb hatályos legyen.</w:t>
      </w:r>
      <w:r>
        <w:rPr>
          <w:sz w:val="22"/>
        </w:rPr>
        <w:t xml:space="preserve"> </w:t>
      </w:r>
      <w:r>
        <w:rPr>
          <w:sz w:val="22"/>
        </w:rPr>
        <w:t xml:space="preserve">A fogyasztók és a vállalatok azonban gondoskodhatnak arról, hogy egyértelmű legyen az ehhez kapcsolódó nyilatkozatok vagy a felmondás időpontjának lekérdezése.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312k. §-ra vonatkozó BGB-E. (6) bekezdés: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A szövegtervezet 312k. § (6) bekezdése szankciós előírást tartalmaz az ügyben.</w:t>
      </w:r>
      <w:r>
        <w:rPr>
          <w:sz w:val="22"/>
        </w:rPr>
        <w:t xml:space="preserve"> </w:t>
      </w:r>
      <w:r>
        <w:rPr>
          <w:sz w:val="22"/>
        </w:rPr>
        <w:t xml:space="preserve">Ha a gombokat és a visszaigazoló oldalt az (1) és (2) bekezdésnek megfelelően nem teszik elérhetővé, a fogyasztó felmondhatja azt a szerződést, amelynek felmondására ezeket a gombokat bármikor, a felmondási idő betartása nélkül hozzáférhetővé szükséges tenni.</w:t>
      </w:r>
      <w:r>
        <w:rPr>
          <w:sz w:val="22"/>
        </w:rPr>
        <w:t xml:space="preserve"> </w:t>
      </w:r>
      <w:r>
        <w:rPr>
          <w:sz w:val="22"/>
        </w:rPr>
        <w:t xml:space="preserve">Azok a társaságok, amelyek a polgári törvénykönyv tervezete 312k. § (1) és (2) bekezdésében foglalt óvintézkedéseket nem teszik meg, a velük szemben fennálló szerződéses jogviszony megszüntetését vonják maguk után fogyasztó által.</w:t>
      </w:r>
      <w:r>
        <w:rPr>
          <w:sz w:val="22"/>
        </w:rPr>
        <w:t xml:space="preserve"> </w:t>
      </w:r>
      <w:r>
        <w:rPr>
          <w:sz w:val="22"/>
        </w:rPr>
        <w:t xml:space="preserve">A szankció enyhébb formája nem bizonyul ugyanolyan hatékonynak.</w:t>
      </w:r>
      <w:r>
        <w:rPr>
          <w:sz w:val="22"/>
        </w:rPr>
        <w:t xml:space="preserve"> </w:t>
      </w:r>
      <w:r>
        <w:rPr>
          <w:sz w:val="22"/>
        </w:rPr>
        <w:t xml:space="preserve">Ha a polgári törvénykönyv 312j.§ (3) bekezdése esetén a társaság a szerződés megkötésének megerősítésére a leírt gombot megadja, mivel ellenkező esetben a polgári törvénykönyv 312j. § (4) bekezdése alapján a fogyasztóval kötött szerződés nem lép hatályba, akkor a szerződés felmondásának fordított helyzetében a gomb megadása hiányozhat.</w:t>
      </w:r>
      <w:r>
        <w:rPr>
          <w:sz w:val="22"/>
        </w:rPr>
        <w:t xml:space="preserve"> </w:t>
      </w:r>
      <w:r>
        <w:rPr>
          <w:sz w:val="22"/>
        </w:rPr>
        <w:t xml:space="preserve">Ezért a társaságot, amely megfosztja a fogyasztót a törvény által meghatározott egyszerű és zökkenőmentes szerződésmegszüntetési lehetőségtől, azzal kell szankcionálni, hogy a fogyasztó bármikor felmondhatja a szerződést, anélkül hogy betartaná a felmondási határidőt.</w:t>
      </w:r>
      <w:r>
        <w:rPr>
          <w:sz w:val="22"/>
        </w:rPr>
        <w:t xml:space="preserve"> </w:t>
      </w:r>
      <w:r>
        <w:rPr>
          <w:sz w:val="22"/>
        </w:rPr>
        <w:t xml:space="preserve">A karbantartási munkák miatti rövid távú műszaki megszakítások ártalmatlanok, tekintettel a polgári törvénykönyv tervezete 312k.§ (2) bekezdése 4. mondatának magyarázatára.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A német polgári törvénykönyv (BGB) tervezete 312k.§ (6) bekezdése 1. mondatában meghatározott előfeltételek meglétéről a fogyasztó köteles tájékoztatást és bizonyítékot szolgáltatni.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 § (6) bekezdése 2. mondata egyértelművé teszi, hogy a fogyasztónak a szerződés felmondására vonatkozó lehetősége változatlanul fennáll.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Az 1. cikk 6. pontjára vonatkozóan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A német polgári törvénykönyv (BGB) 312k.§-ának utólagos módosításként történő beillesztésével, a polgári törvénykönyv 312k. §-tól a 312l. §-ig, az 1. cikk (4) bekezdése ajánlásának indokolásában leírtak szerint, ez várhatóan a rendelettervezet hatálybalépésének időpontjában kerül beillesztésre.</w:t>
      </w:r>
      <w:r>
        <w:rPr>
          <w:sz w:val="22"/>
        </w:rPr>
        <w:t xml:space="preserve"> </w:t>
      </w:r>
      <w:r>
        <w:rPr>
          <w:sz w:val="22"/>
        </w:rPr>
        <w:t xml:space="preserve">A polgári törvénykönyv 312l. §-a, amelyet várhatóan a korszerűsítésre vonatkozó irányelv végrehajtásáról szóló törvénytervezetbe is be kell illeszteni, a német polgári törvénykönyv 312m. §-vá válik.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b) pontra vonatkozóan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A b) pont egy későbbi módosítást tartalmaz a törvénytervezetben szereplő cikkek számozására vonatkozóan.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3. pontra vonatkozóan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A 3. pont a törvénytervezet 2. cikkének átdolgozásával vezeti be az ESZSZ későbbi módosítását.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A korszerűsítésre vonatkozó irányelvet végrehajtó törvénytervezet várhatóan egy új, 246e. cikket vezet be az EGBGB-be, amely a szövegtervezet 2. bekezdésének 10. pontjában a BGB 312k. §-ára hivatkozik, amint azt az 1. pont a) alpontjára vonatkozó indokolás is részletezi (1. cikk, 4. pont).</w:t>
      </w:r>
      <w:r>
        <w:rPr>
          <w:sz w:val="22"/>
        </w:rPr>
        <w:t xml:space="preserve"> </w:t>
      </w:r>
      <w:r>
        <w:rPr>
          <w:sz w:val="22"/>
        </w:rPr>
        <w:t xml:space="preserve">Ezt a hivatkozást ki kell igazítani.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 4. pontra vonatkozóan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A polgári törvénykönyv 312k. §-a szerinti kötelezettség teljesítésére vonatkozó követelményeknek a tervezetben való végrehajtása bizonyos esetekben jelentős szervezési és időbeli erőfeszítést jelent a társaságok számára.</w:t>
      </w:r>
      <w:r>
        <w:rPr>
          <w:sz w:val="22"/>
        </w:rPr>
        <w:t xml:space="preserve"> </w:t>
      </w:r>
      <w:r>
        <w:rPr>
          <w:sz w:val="22"/>
        </w:rPr>
        <w:t xml:space="preserve">Ennek tükrében a társaságok erre nem kötelezhetők 2022. július 1-ig.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