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32F3" w14:textId="77777777" w:rsidR="00320DD3" w:rsidRDefault="00945D70" w:rsidP="00C84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DejaVuSansCondensed,DejaVuSansC" w:hAnsi="DejaVuSansCondensed,DejaVuSansC" w:cs="DejaVuSansCondensed,DejaVuSansC"/>
          <w:color w:val="000000"/>
          <w:sz w:val="24"/>
          <w:szCs w:val="24"/>
        </w:rPr>
      </w:pPr>
      <w:r>
        <w:rPr>
          <w:rFonts w:ascii="DejaVuSansCondensed,DejaVuSansC" w:hAnsi="DejaVuSansCondensed,DejaVuSansC"/>
          <w:color w:val="000000"/>
          <w:sz w:val="24"/>
        </w:rPr>
        <w:t xml:space="preserve"> </w:t>
      </w:r>
    </w:p>
    <w:p w14:paraId="53A555C4" w14:textId="77777777" w:rsidR="00320DD3" w:rsidRDefault="00945D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DejaVuSansCondensed,DejaVuSansC" w:hAnsi="DejaVuSansCondensed,DejaVuSansC" w:cs="DejaVuSansCondensed,DejaVuSansC"/>
          <w:color w:val="000000"/>
          <w:sz w:val="24"/>
          <w:szCs w:val="24"/>
        </w:rPr>
      </w:pPr>
      <w:r>
        <w:rPr>
          <w:rFonts w:ascii="DejaVuSansCondensed,DejaVuSansC" w:hAnsi="DejaVuSansCondensed,DejaVuSansC"/>
          <w:color w:val="000000"/>
          <w:sz w:val="24"/>
        </w:rPr>
        <w:t xml:space="preserve"> </w:t>
      </w:r>
    </w:p>
    <w:p w14:paraId="08D8109B" w14:textId="77777777" w:rsidR="00320DD3" w:rsidRDefault="00945D70">
      <w:pPr>
        <w:widowControl w:val="0"/>
        <w:tabs>
          <w:tab w:val="left" w:pos="-150"/>
        </w:tabs>
        <w:autoSpaceDE w:val="0"/>
        <w:autoSpaceDN w:val="0"/>
        <w:adjustRightInd w:val="0"/>
        <w:spacing w:before="240" w:after="0" w:line="240" w:lineRule="auto"/>
        <w:ind w:left="-150"/>
        <w:jc w:val="center"/>
        <w:rPr>
          <w:rFonts w:ascii="DejaVuSansCondensed,DejaVuSansC" w:hAnsi="DejaVuSansCondensed,DejaVuSansC" w:cs="DejaVuSansCondensed,DejaVuSansC"/>
          <w:b/>
          <w:bCs/>
          <w:sz w:val="19"/>
          <w:szCs w:val="19"/>
        </w:rPr>
      </w:pPr>
      <w:r>
        <w:rPr>
          <w:rFonts w:ascii="DejaVuSansCondensed,DejaVuSansC" w:hAnsi="DejaVuSansCondensed,DejaVuSansC"/>
          <w:b/>
          <w:sz w:val="19"/>
        </w:rPr>
        <w:t>Tsiviilseadustik</w:t>
      </w:r>
    </w:p>
    <w:p w14:paraId="6401B9F6" w14:textId="77777777" w:rsidR="00320DD3" w:rsidRDefault="00945D70">
      <w:pPr>
        <w:widowControl w:val="0"/>
        <w:tabs>
          <w:tab w:val="left" w:pos="150"/>
        </w:tabs>
        <w:autoSpaceDE w:val="0"/>
        <w:autoSpaceDN w:val="0"/>
        <w:adjustRightInd w:val="0"/>
        <w:spacing w:after="0" w:line="240" w:lineRule="auto"/>
        <w:ind w:left="150"/>
        <w:jc w:val="center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  <w:sz w:val="19"/>
        </w:rPr>
        <w:t> </w:t>
      </w:r>
    </w:p>
    <w:p w14:paraId="3148004A" w14:textId="610836D4" w:rsidR="00320DD3" w:rsidRDefault="00945D70">
      <w:pPr>
        <w:widowControl w:val="0"/>
        <w:tabs>
          <w:tab w:val="left" w:pos="-150"/>
        </w:tabs>
        <w:autoSpaceDE w:val="0"/>
        <w:autoSpaceDN w:val="0"/>
        <w:adjustRightInd w:val="0"/>
        <w:spacing w:before="60" w:after="240" w:line="240" w:lineRule="auto"/>
        <w:ind w:left="-150"/>
        <w:jc w:val="center"/>
        <w:rPr>
          <w:rFonts w:ascii="DejaVuSansCondensed,DejaVuSansC" w:hAnsi="DejaVuSansCondensed,DejaVuSansC" w:cs="DejaVuSansCondensed,DejaVuSansC"/>
          <w:b/>
          <w:bCs/>
          <w:sz w:val="19"/>
          <w:szCs w:val="19"/>
        </w:rPr>
      </w:pPr>
      <w:r>
        <w:rPr>
          <w:rFonts w:ascii="DejaVuSansCondensed,DejaVuSansC" w:hAnsi="DejaVuSansCondensed,DejaVuSansC"/>
          <w:b/>
          <w:sz w:val="19"/>
        </w:rPr>
        <w:t>§ 312 k.</w:t>
      </w:r>
      <w:r>
        <w:rPr>
          <w:rFonts w:ascii="DejaVuSansCondensed,DejaVuSansC" w:hAnsi="DejaVuSansCondensed,DejaVuSansC"/>
          <w:b/>
          <w:sz w:val="19"/>
        </w:rPr>
        <w:br/>
        <w:t>Tarbijalepingute lõpetamine e-kaubanduses</w:t>
      </w:r>
    </w:p>
    <w:p w14:paraId="323FDC45" w14:textId="77777777" w:rsidR="00320DD3" w:rsidRPr="00886BC9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  <w:sz w:val="19"/>
        </w:rPr>
        <w:t xml:space="preserve">1) </w:t>
      </w:r>
      <w:r w:rsidRPr="00886BC9">
        <w:rPr>
          <w:rFonts w:ascii="DejaVuSansCondensed,DejaVuSansC" w:hAnsi="DejaVuSansCondensed,DejaVuSansC"/>
          <w:i/>
          <w:sz w:val="19"/>
          <w:szCs w:val="19"/>
          <w:vertAlign w:val="superscript"/>
        </w:rPr>
        <w:t>1</w:t>
      </w:r>
      <w:r w:rsidRPr="00886BC9">
        <w:rPr>
          <w:rFonts w:ascii="DejaVuSansCondensed,DejaVuSansC" w:hAnsi="DejaVuSansCondensed,DejaVuSansC"/>
          <w:sz w:val="19"/>
          <w:szCs w:val="19"/>
        </w:rPr>
        <w:t xml:space="preserve">Kui veebisait võimaldab tarbijatel sõlmida e-kaubanduse lepingu, mille eesmärk on luua püsiv võlasuhe ja kohustada äriühingut vastutasuks teenust osutama, täidab äriühing kõnealuses sättes sätestatud kohustused. </w:t>
      </w:r>
      <w:r w:rsidRPr="00886BC9">
        <w:rPr>
          <w:rFonts w:ascii="DejaVuSansCondensed,DejaVuSansC" w:hAnsi="DejaVuSansCondensed,DejaVuSansC"/>
          <w:i/>
          <w:sz w:val="19"/>
          <w:szCs w:val="19"/>
          <w:vertAlign w:val="superscript"/>
        </w:rPr>
        <w:t>2</w:t>
      </w:r>
      <w:r w:rsidRPr="00886BC9">
        <w:rPr>
          <w:rFonts w:ascii="DejaVuSansCondensed,DejaVuSansC" w:hAnsi="DejaVuSansCondensed,DejaVuSansC"/>
          <w:sz w:val="19"/>
          <w:szCs w:val="19"/>
        </w:rPr>
        <w:t>Seda ei kohaldata</w:t>
      </w:r>
    </w:p>
    <w:p w14:paraId="56F1FE2F" w14:textId="77777777" w:rsidR="00320DD3" w:rsidRPr="00886BC9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before="192"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886BC9">
        <w:rPr>
          <w:rFonts w:ascii="DejaVuSansCondensed,DejaVuSansC" w:hAnsi="DejaVuSansCondensed,DejaVuSansC"/>
          <w:sz w:val="19"/>
          <w:szCs w:val="19"/>
        </w:rPr>
        <w:t>1.</w:t>
      </w:r>
      <w:r w:rsidRPr="00886BC9">
        <w:rPr>
          <w:rFonts w:ascii="DejaVuSansCondensed,DejaVuSansC" w:hAnsi="DejaVuSansCondensed,DejaVuSansC"/>
          <w:sz w:val="19"/>
          <w:szCs w:val="19"/>
        </w:rPr>
        <w:tab/>
        <w:t xml:space="preserve">lepingutele, mille lõpetamiseks on nõutav lihtkirjalikust vormist rangem vorm, ning </w:t>
      </w:r>
    </w:p>
    <w:p w14:paraId="1CB136FB" w14:textId="77777777" w:rsidR="00320DD3" w:rsidRPr="00886BC9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886BC9">
        <w:rPr>
          <w:rFonts w:ascii="DejaVuSansCondensed,DejaVuSansC" w:hAnsi="DejaVuSansCondensed,DejaVuSansC"/>
          <w:sz w:val="19"/>
          <w:szCs w:val="19"/>
        </w:rPr>
        <w:t>2.</w:t>
      </w:r>
      <w:r w:rsidRPr="00886BC9">
        <w:rPr>
          <w:rFonts w:ascii="DejaVuSansCondensed,DejaVuSansC" w:hAnsi="DejaVuSansCondensed,DejaVuSansC"/>
          <w:sz w:val="19"/>
          <w:szCs w:val="19"/>
        </w:rPr>
        <w:tab/>
        <w:t>finantsteenustega seotud veebisaitide või finantsteenustega seotud lepingute puhul.</w:t>
      </w:r>
    </w:p>
    <w:p w14:paraId="5596EFDB" w14:textId="77777777" w:rsidR="00320DD3" w:rsidRPr="00886BC9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886BC9">
        <w:rPr>
          <w:rFonts w:ascii="DejaVuSansCondensed,DejaVuSansC" w:hAnsi="DejaVuSansCondensed,DejaVuSansC"/>
          <w:sz w:val="19"/>
          <w:szCs w:val="19"/>
        </w:rPr>
        <w:t xml:space="preserve">2) Äriühing peab tagama, et veebisaiti kasutaval tarbijal oleks võimalik teha avaldus veebisaidil sõlmitava lepingu tavalises või erandkorras lõpetamise kohta lõpetamisnupu abil kooskõlas lõike 1 esimese lausega. Lõpetamisnupp peab olema kergesti loetav, sisaldamata midagi muud peale sõnade „lepingute tühistamine siin“, või olema tähistatud sobiva ühemõttelise sõnastusega. See peab viima tarbija otse kinnituslehele, mis </w:t>
      </w:r>
    </w:p>
    <w:p w14:paraId="1A7C9900" w14:textId="77777777" w:rsidR="00320DD3" w:rsidRPr="00886BC9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before="192" w:after="0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886BC9">
        <w:rPr>
          <w:rFonts w:ascii="DejaVuSansCondensed,DejaVuSansC" w:hAnsi="DejaVuSansCondensed,DejaVuSansC"/>
          <w:sz w:val="19"/>
          <w:szCs w:val="19"/>
        </w:rPr>
        <w:t>1.</w:t>
      </w:r>
      <w:r w:rsidRPr="00886BC9">
        <w:rPr>
          <w:rFonts w:ascii="DejaVuSansCondensed,DejaVuSansC" w:hAnsi="DejaVuSansCondensed,DejaVuSansC"/>
          <w:sz w:val="19"/>
          <w:szCs w:val="19"/>
        </w:rPr>
        <w:tab/>
        <w:t>esitab tarbijale küsimuse ja võimaldab tal anda teavet</w:t>
      </w:r>
    </w:p>
    <w:p w14:paraId="390652D1" w14:textId="77777777" w:rsidR="00320DD3" w:rsidRPr="00886BC9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before="192"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886BC9">
        <w:rPr>
          <w:rFonts w:ascii="DejaVuSansCondensed,DejaVuSansC" w:hAnsi="DejaVuSansCondensed,DejaVuSansC"/>
          <w:sz w:val="19"/>
          <w:szCs w:val="19"/>
        </w:rPr>
        <w:t>a)</w:t>
      </w:r>
      <w:r w:rsidRPr="00886BC9">
        <w:rPr>
          <w:rFonts w:ascii="DejaVuSansCondensed,DejaVuSansC" w:hAnsi="DejaVuSansCondensed,DejaVuSansC"/>
          <w:sz w:val="19"/>
          <w:szCs w:val="19"/>
        </w:rPr>
        <w:tab/>
        <w:t>lõpetamise laadi ja erakorralise lõpetamise korral lepingu lõpetamise aluse kohta,</w:t>
      </w:r>
    </w:p>
    <w:p w14:paraId="42A3F025" w14:textId="77777777" w:rsidR="00320DD3" w:rsidRPr="00886BC9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886BC9">
        <w:rPr>
          <w:rFonts w:ascii="DejaVuSansCondensed,DejaVuSansC" w:hAnsi="DejaVuSansCondensed,DejaVuSansC"/>
          <w:sz w:val="19"/>
          <w:szCs w:val="19"/>
        </w:rPr>
        <w:t>b)</w:t>
      </w:r>
      <w:r w:rsidRPr="00886BC9">
        <w:rPr>
          <w:rFonts w:ascii="DejaVuSansCondensed,DejaVuSansC" w:hAnsi="DejaVuSansCondensed,DejaVuSansC"/>
          <w:sz w:val="19"/>
          <w:szCs w:val="19"/>
        </w:rPr>
        <w:tab/>
        <w:t>selle üheselt mõistetava identifitseeritavuse kohta,</w:t>
      </w:r>
    </w:p>
    <w:p w14:paraId="26409B94" w14:textId="77777777" w:rsidR="00320DD3" w:rsidRPr="00886BC9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886BC9">
        <w:rPr>
          <w:rFonts w:ascii="DejaVuSansCondensed,DejaVuSansC" w:hAnsi="DejaVuSansCondensed,DejaVuSansC"/>
          <w:sz w:val="19"/>
          <w:szCs w:val="19"/>
        </w:rPr>
        <w:t>c)</w:t>
      </w:r>
      <w:r w:rsidRPr="00886BC9">
        <w:rPr>
          <w:rFonts w:ascii="DejaVuSansCondensed,DejaVuSansC" w:hAnsi="DejaVuSansCondensed,DejaVuSansC"/>
          <w:sz w:val="19"/>
          <w:szCs w:val="19"/>
        </w:rPr>
        <w:tab/>
        <w:t>lepingu ühemõttelise nimetuse kohta</w:t>
      </w:r>
    </w:p>
    <w:p w14:paraId="179D31F8" w14:textId="77777777" w:rsidR="00320DD3" w:rsidRPr="00886BC9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886BC9">
        <w:rPr>
          <w:rFonts w:ascii="DejaVuSansCondensed,DejaVuSansC" w:hAnsi="DejaVuSansCondensed,DejaVuSansC"/>
          <w:sz w:val="19"/>
          <w:szCs w:val="19"/>
        </w:rPr>
        <w:t>d)</w:t>
      </w:r>
      <w:r w:rsidRPr="00886BC9">
        <w:rPr>
          <w:rFonts w:ascii="DejaVuSansCondensed,DejaVuSansC" w:hAnsi="DejaVuSansCondensed,DejaVuSansC"/>
          <w:sz w:val="19"/>
          <w:szCs w:val="19"/>
        </w:rPr>
        <w:tab/>
        <w:t>lepingulise suhte lõpetamise ajal,</w:t>
      </w:r>
    </w:p>
    <w:p w14:paraId="0492A93A" w14:textId="77777777" w:rsidR="00320DD3" w:rsidRPr="00886BC9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886BC9">
        <w:rPr>
          <w:rFonts w:ascii="DejaVuSansCondensed,DejaVuSansC" w:hAnsi="DejaVuSansCondensed,DejaVuSansC"/>
          <w:sz w:val="19"/>
          <w:szCs w:val="19"/>
        </w:rPr>
        <w:t>d)</w:t>
      </w:r>
      <w:r w:rsidRPr="00886BC9">
        <w:rPr>
          <w:rFonts w:ascii="DejaVuSansCondensed,DejaVuSansC" w:hAnsi="DejaVuSansCondensed,DejaVuSansC"/>
          <w:sz w:val="19"/>
          <w:szCs w:val="19"/>
        </w:rPr>
        <w:tab/>
        <w:t>lõpetamise kinnituse kiireks elektrooniliseks edastamiseks talle ja</w:t>
      </w:r>
    </w:p>
    <w:p w14:paraId="0972B70B" w14:textId="77777777" w:rsidR="00320DD3" w:rsidRPr="00886BC9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886BC9">
        <w:rPr>
          <w:rFonts w:ascii="DejaVuSansCondensed,DejaVuSansC" w:hAnsi="DejaVuSansCondensed,DejaVuSansC"/>
          <w:sz w:val="19"/>
          <w:szCs w:val="19"/>
        </w:rPr>
        <w:t>2.</w:t>
      </w:r>
      <w:r w:rsidRPr="00886BC9">
        <w:rPr>
          <w:rFonts w:ascii="DejaVuSansCondensed,DejaVuSansC" w:hAnsi="DejaVuSansCondensed,DejaVuSansC"/>
          <w:sz w:val="19"/>
          <w:szCs w:val="19"/>
        </w:rPr>
        <w:tab/>
        <w:t>sisaldab kinnitusnuppu, mille kaudu tarbija saab esitada lepingu lõpetamise teate ja mis on kergesti loetav, sisaldamata midagi muud peale sõnade „tühista kohe“, või on tähistatud sobiva ühemõttelise sõnastusega.</w:t>
      </w:r>
    </w:p>
    <w:p w14:paraId="10E4D17A" w14:textId="77777777" w:rsidR="00320DD3" w:rsidRPr="00886BC9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/>
          <w:sz w:val="19"/>
          <w:szCs w:val="19"/>
        </w:rPr>
      </w:pPr>
      <w:r w:rsidRPr="00886BC9">
        <w:rPr>
          <w:rFonts w:ascii="DejaVuSansCondensed,DejaVuSansC" w:hAnsi="DejaVuSansCondensed,DejaVuSansC"/>
          <w:sz w:val="19"/>
          <w:szCs w:val="19"/>
        </w:rPr>
        <w:t>3) Tarbijal peab olema võimalik kinnitusnupu abil salvestada lepingu lõpetamise avaldus koos esitamise kuupäeva ja kellaajaga püsivale andmekandjale viisil, mis võimaldab näha, et lepingu lõpetamise avaldus on kinnitusnuppu vajutades esitatud.</w:t>
      </w:r>
    </w:p>
    <w:p w14:paraId="3544FCCE" w14:textId="77777777" w:rsidR="00320DD3" w:rsidRPr="00886BC9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886BC9">
        <w:rPr>
          <w:rFonts w:ascii="DejaVuSansCondensed,DejaVuSansC" w:hAnsi="DejaVuSansCondensed,DejaVuSansC"/>
          <w:sz w:val="19"/>
          <w:szCs w:val="19"/>
        </w:rPr>
        <w:t xml:space="preserve">4) </w:t>
      </w:r>
      <w:r w:rsidRPr="00886BC9">
        <w:rPr>
          <w:rFonts w:ascii="DejaVuSansCondensed,DejaVuSansC" w:hAnsi="DejaVuSansCondensed,DejaVuSansC"/>
          <w:i/>
          <w:sz w:val="19"/>
          <w:szCs w:val="19"/>
          <w:vertAlign w:val="superscript"/>
        </w:rPr>
        <w:t>1</w:t>
      </w:r>
      <w:r w:rsidRPr="00886BC9">
        <w:rPr>
          <w:rFonts w:ascii="DejaVuSansCondensed,DejaVuSansC" w:hAnsi="DejaVuSansCondensed,DejaVuSansC"/>
          <w:sz w:val="19"/>
          <w:szCs w:val="19"/>
        </w:rPr>
        <w:t xml:space="preserve">Ettevõtja esitab tarbijale viivitamata kirjaliku elektroonilise kinnituse lepingu lõpetamise teate sisu ning kättesaamise kuupäeva ja kellaaja kohta, samuti lepingu lõpetamise kuupäeva. </w:t>
      </w:r>
      <w:r w:rsidRPr="00886BC9">
        <w:rPr>
          <w:rFonts w:ascii="DejaVuSansCondensed,DejaVuSansC" w:hAnsi="DejaVuSansCondensed,DejaVuSansC"/>
          <w:i/>
          <w:sz w:val="19"/>
          <w:szCs w:val="19"/>
          <w:vertAlign w:val="superscript"/>
        </w:rPr>
        <w:t>2</w:t>
      </w:r>
      <w:r w:rsidRPr="00886BC9">
        <w:rPr>
          <w:rFonts w:ascii="DejaVuSansCondensed,DejaVuSansC" w:hAnsi="DejaVuSansCondensed,DejaVuSansC"/>
          <w:sz w:val="19"/>
          <w:szCs w:val="19"/>
        </w:rPr>
        <w:t>Eeldatakse, et kinnitusnupu vajutamisega esitatud lõpetamisteade on saadetud ettevõtjale kohe pärast selle esitamist.</w:t>
      </w:r>
    </w:p>
    <w:p w14:paraId="32A32941" w14:textId="77777777" w:rsidR="00320DD3" w:rsidRPr="00886BC9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886BC9">
        <w:rPr>
          <w:rFonts w:ascii="DejaVuSansCondensed,DejaVuSansC" w:hAnsi="DejaVuSansCondensed,DejaVuSansC"/>
          <w:sz w:val="19"/>
          <w:szCs w:val="19"/>
        </w:rPr>
        <w:t>5) Kui tarbija ei märgi lepingu lõpetamise teate esitamise käigus aega, millal lepinguline suhe peaks lõppema, lõpetatakse leping nii kiiresti kui võimalik.</w:t>
      </w:r>
    </w:p>
    <w:p w14:paraId="387261DB" w14:textId="77777777" w:rsidR="00320DD3" w:rsidRPr="00886BC9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886BC9">
        <w:rPr>
          <w:rFonts w:ascii="DejaVuSansCondensed,DejaVuSansC" w:hAnsi="DejaVuSansCondensed,DejaVuSansC"/>
          <w:sz w:val="19"/>
          <w:szCs w:val="19"/>
        </w:rPr>
        <w:t xml:space="preserve">6) </w:t>
      </w:r>
      <w:r w:rsidRPr="00886BC9">
        <w:rPr>
          <w:rFonts w:ascii="DejaVuSansCondensed,DejaVuSansC" w:hAnsi="DejaVuSansCondensed,DejaVuSansC"/>
          <w:i/>
          <w:sz w:val="19"/>
          <w:szCs w:val="19"/>
          <w:vertAlign w:val="superscript"/>
        </w:rPr>
        <w:t>1</w:t>
      </w:r>
      <w:r w:rsidRPr="00886BC9">
        <w:rPr>
          <w:rFonts w:ascii="DejaVuSansCondensed,DejaVuSansC" w:hAnsi="DejaVuSansCondensed,DejaVuSansC"/>
          <w:sz w:val="19"/>
          <w:szCs w:val="19"/>
        </w:rPr>
        <w:t xml:space="preserve">Kui nuppe ja kinnituslehti ei tehta kättesaadavaks vastavalt lõigetele 1 ja 2, võib tarbija lõpetada lepingu, mille lõpetamiseks peavad nupud ja kinnitusleht olema kättesaadavad, igal ajal ja ilma etteteatamistähtajast kinni pidamata. </w:t>
      </w:r>
      <w:r w:rsidRPr="00886BC9">
        <w:rPr>
          <w:rFonts w:ascii="DejaVuSansCondensed,DejaVuSansC" w:hAnsi="DejaVuSansCondensed,DejaVuSansC"/>
          <w:i/>
          <w:sz w:val="19"/>
          <w:szCs w:val="19"/>
          <w:vertAlign w:val="superscript"/>
        </w:rPr>
        <w:t>2</w:t>
      </w:r>
      <w:r w:rsidRPr="00886BC9">
        <w:rPr>
          <w:rFonts w:ascii="DejaVuSansCondensed,DejaVuSansC" w:hAnsi="DejaVuSansCondensed,DejaVuSansC"/>
          <w:sz w:val="19"/>
          <w:szCs w:val="19"/>
        </w:rPr>
        <w:t>See ei mõjuta tarbija võimalust lõpetada leping erandkorras.</w:t>
      </w:r>
    </w:p>
    <w:p w14:paraId="1720CDBA" w14:textId="77777777" w:rsidR="00320DD3" w:rsidRPr="00886BC9" w:rsidRDefault="00320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sectPr w:rsidR="00320DD3" w:rsidRPr="00886B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280" w:right="1020" w:bottom="560" w:left="114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98C6" w14:textId="77777777" w:rsidR="00E54C55" w:rsidRDefault="00E54C55">
      <w:pPr>
        <w:spacing w:after="0" w:line="240" w:lineRule="auto"/>
      </w:pPr>
      <w:r>
        <w:separator/>
      </w:r>
    </w:p>
  </w:endnote>
  <w:endnote w:type="continuationSeparator" w:id="0">
    <w:p w14:paraId="33C0279C" w14:textId="77777777" w:rsidR="00E54C55" w:rsidRDefault="00E5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,DejaVuSans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2C02" w14:textId="77777777" w:rsidR="00886BC9" w:rsidRDefault="00886B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1AAE" w14:textId="40EFED6F" w:rsidR="00320DD3" w:rsidRDefault="00945D70">
    <w:pPr>
      <w:widowControl w:val="0"/>
      <w:tabs>
        <w:tab w:val="left" w:pos="283"/>
      </w:tabs>
      <w:autoSpaceDE w:val="0"/>
      <w:autoSpaceDN w:val="0"/>
      <w:adjustRightInd w:val="0"/>
      <w:spacing w:before="283" w:after="283" w:line="240" w:lineRule="auto"/>
      <w:ind w:left="283"/>
      <w:jc w:val="center"/>
      <w:rPr>
        <w:rFonts w:ascii="DejaVuSansCondensed" w:hAnsi="DejaVuSansCondensed" w:cs="DejaVuSansCondensed"/>
        <w:sz w:val="20"/>
        <w:szCs w:val="20"/>
      </w:rPr>
    </w:pPr>
    <w:r>
      <w:rPr>
        <w:rFonts w:ascii="DejaVuSansCondensed" w:hAnsi="DejaVuSansCondensed"/>
        <w:sz w:val="20"/>
      </w:rPr>
      <w:t xml:space="preserve">- </w:t>
    </w:r>
    <w:r w:rsidR="00886BC9">
      <w:rPr>
        <w:rFonts w:ascii="DejaVuSansCondensed" w:hAnsi="DejaVuSansCondensed"/>
        <w:sz w:val="20"/>
      </w:rPr>
      <w:t xml:space="preserve"> </w:t>
    </w:r>
    <w:r>
      <w:rPr>
        <w:rFonts w:ascii="DejaVuSansCondensed" w:hAnsi="DejaVuSansCondensed"/>
        <w:sz w:val="20"/>
      </w:rPr>
      <w:t xml:space="preserve">Lk </w:t>
    </w:r>
    <w:r>
      <w:rPr>
        <w:rFonts w:ascii="DejaVuSansCondensed" w:hAnsi="DejaVuSansCondensed" w:cs="DejaVuSansCondensed"/>
        <w:sz w:val="20"/>
      </w:rPr>
      <w:fldChar w:fldCharType="begin"/>
    </w:r>
    <w:r>
      <w:rPr>
        <w:rFonts w:ascii="DejaVuSansCondensed" w:hAnsi="DejaVuSansCondensed" w:cs="DejaVuSansCondensed"/>
        <w:sz w:val="20"/>
      </w:rPr>
      <w:instrText xml:space="preserve">PAGE </w:instrText>
    </w:r>
    <w:r>
      <w:rPr>
        <w:rFonts w:ascii="DejaVuSansCondensed" w:hAnsi="DejaVuSansCondensed" w:cs="DejaVuSansCondensed"/>
        <w:sz w:val="20"/>
      </w:rPr>
      <w:fldChar w:fldCharType="separate"/>
    </w:r>
    <w:r w:rsidR="00C8463D">
      <w:rPr>
        <w:rFonts w:ascii="DejaVuSansCondensed" w:hAnsi="DejaVuSansCondensed" w:cs="DejaVuSansCondensed"/>
        <w:sz w:val="20"/>
      </w:rPr>
      <w:t>1</w:t>
    </w:r>
    <w:r>
      <w:rPr>
        <w:rFonts w:ascii="DejaVuSansCondensed" w:hAnsi="DejaVuSansCondensed" w:cs="DejaVuSansCondensed"/>
        <w:sz w:val="20"/>
      </w:rPr>
      <w:fldChar w:fldCharType="end"/>
    </w:r>
    <w:r>
      <w:rPr>
        <w:rFonts w:ascii="DejaVuSansCondensed" w:hAnsi="DejaVuSansCondensed"/>
        <w:sz w:val="20"/>
      </w:rPr>
      <w:t xml:space="preserve"> / </w:t>
    </w:r>
    <w:r>
      <w:rPr>
        <w:rFonts w:ascii="DejaVuSansCondensed" w:hAnsi="DejaVuSansCondensed" w:cs="DejaVuSansCondensed"/>
        <w:sz w:val="20"/>
      </w:rPr>
      <w:fldChar w:fldCharType="begin"/>
    </w:r>
    <w:r>
      <w:rPr>
        <w:rFonts w:ascii="DejaVuSansCondensed" w:hAnsi="DejaVuSansCondensed" w:cs="DejaVuSansCondensed"/>
        <w:sz w:val="20"/>
      </w:rPr>
      <w:instrText>NUMPAGES</w:instrText>
    </w:r>
    <w:r>
      <w:rPr>
        <w:rFonts w:ascii="DejaVuSansCondensed" w:hAnsi="DejaVuSansCondensed" w:cs="DejaVuSansCondensed"/>
        <w:sz w:val="20"/>
      </w:rPr>
      <w:fldChar w:fldCharType="separate"/>
    </w:r>
    <w:r w:rsidR="00C8463D">
      <w:rPr>
        <w:rFonts w:ascii="DejaVuSansCondensed" w:hAnsi="DejaVuSansCondensed" w:cs="DejaVuSansCondensed"/>
        <w:sz w:val="20"/>
      </w:rPr>
      <w:t>1</w:t>
    </w:r>
    <w:r>
      <w:rPr>
        <w:rFonts w:ascii="DejaVuSansCondensed" w:hAnsi="DejaVuSansCondensed" w:cs="DejaVuSansCondensed"/>
        <w:sz w:val="20"/>
      </w:rPr>
      <w:fldChar w:fldCharType="end"/>
    </w:r>
    <w:r>
      <w:rPr>
        <w:rFonts w:ascii="DejaVuSansCondensed" w:hAnsi="DejaVuSansCondensed"/>
        <w:sz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59A1" w14:textId="77777777" w:rsidR="00886BC9" w:rsidRDefault="00886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04EF" w14:textId="77777777" w:rsidR="00E54C55" w:rsidRDefault="00E54C55">
      <w:pPr>
        <w:spacing w:after="0" w:line="240" w:lineRule="auto"/>
      </w:pPr>
      <w:r>
        <w:separator/>
      </w:r>
    </w:p>
  </w:footnote>
  <w:footnote w:type="continuationSeparator" w:id="0">
    <w:p w14:paraId="5C7BCEF9" w14:textId="77777777" w:rsidR="00E54C55" w:rsidRDefault="00E5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053D" w14:textId="77777777" w:rsidR="00320DD3" w:rsidRDefault="00320DD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9E26" w14:textId="77777777" w:rsidR="00320DD3" w:rsidRDefault="00320DD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87EC" w14:textId="77777777" w:rsidR="00886BC9" w:rsidRDefault="00886B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70"/>
    <w:rsid w:val="0027156D"/>
    <w:rsid w:val="00320DD3"/>
    <w:rsid w:val="00886BC9"/>
    <w:rsid w:val="008A574F"/>
    <w:rsid w:val="008B4ECE"/>
    <w:rsid w:val="00945D70"/>
    <w:rsid w:val="009F13EB"/>
    <w:rsid w:val="00A06A79"/>
    <w:rsid w:val="00C8463D"/>
    <w:rsid w:val="00E54C55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F0867"/>
  <w14:defaultImageDpi w14:val="0"/>
  <w15:docId w15:val="{2DAE4D7D-D186-4D6E-9CA0-0F7010CC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74F"/>
  </w:style>
  <w:style w:type="paragraph" w:styleId="Header">
    <w:name w:val="header"/>
    <w:basedOn w:val="Normal"/>
    <w:link w:val="HeaderChar"/>
    <w:uiPriority w:val="99"/>
    <w:unhideWhenUsed/>
    <w:rsid w:val="008A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2175</Characters>
  <Application>Microsoft Office Word</Application>
  <DocSecurity>0</DocSecurity>
  <Lines>34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Witzmann</dc:creator>
  <cp:keywords>class='Internal'</cp:keywords>
  <dc:description/>
  <cp:lastModifiedBy>Ines Varvodic</cp:lastModifiedBy>
  <cp:revision>3</cp:revision>
  <dcterms:created xsi:type="dcterms:W3CDTF">2022-02-04T12:09:00Z</dcterms:created>
  <dcterms:modified xsi:type="dcterms:W3CDTF">2022-02-04T12:12:00Z</dcterms:modified>
</cp:coreProperties>
</file>