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2021 m. balandžio 19 d. Nr.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Įsakymas dėl elektroninių cigarečių ir pildomųjų talpyklų su nikotinu ar be jo standartizavimo</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Remiantis Įstatymo dėl elektroninių cigarečių ir kt. 9 straipsnio 2 dalimi ir 33 straipsnio 2 dalimi (žr. 2021 m. kovo 26 d. Konsoliduotąjį įsakymą Nr. 580), nustatoma tai, kas nurodyta toliau.</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1 skyrius</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Apibrėžtys</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1 straipsnis.</w:t>
      </w:r>
      <w:r>
        <w:rPr>
          <w:rFonts w:ascii="Times New Roman" w:hAnsi="Times New Roman"/>
          <w:sz w:val="24"/>
        </w:rPr>
        <w:t xml:space="preserve"> Šiame įsakyme vartojamos toliau nurodytos sąvokų apibrėžtys.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Prekių ženklas – prekių ženklas, kuriuo produktas parduodamas Danijos rinkoje, apie kurį pateikiama informacija ir pranešama pagal 2016 m. birželio 3 d. Įsakymą Nr. 599.</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Produkto pavadinimas – galimas produkto pavadinimas, jei toks yra, kuriuo jis parduodamas Danijos rinkoje ir apie kurį pranešta 2016 m. birželio 3 d. Įsakymu Nr. 599.</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Atskiras pakelis – mažiausias parduodamas elektroninės cigaretės atskiras pakelis arba pildomosios talpyklos su nikotinu ar be jo.</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Išorinė pakuotė – bet kokia pakuotė, kurioje parduodamos elektroninės cigaretės, pildomosios talpyklos su nikotinu ar be jo, į kurią įdėta viena ar daugiau atskirų pakuočių.</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Išoriniai paviršiai – paviršiai, kurie matomi, kai atskiras pakelis yra uždarytas ir (arba) išorinė pakuotė nepažeista.</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Vidiniai paviršiai – paviršiai, kurie nėra matomi uždarius atskirą pakelį.</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Pakavimo medžiaga – skaidri, bespalvė medžiaga, į kurią pakuojamas vienas ar daugiau atskirų pakelių.</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Matinis – paviršius, kuris atrodo visiškai matinis, todėl ne spindus, blizgus, tviskantis ar pan.</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Juostelė – nuplėšiama juostelė, kuria galima atidaryti atskirą pakelį, išorinę pakuotę ir pakavimo medžiagą.</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2 skyrius</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Spalvų reikalavimai ir ant elektroninėms cigaretėms ir pildomosioms talpykloms su ar be nikotino skirtų atskirų pakelių, išorinių pakuočių ir įvyniojimo medžiagos esantys pakuotės elementai</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040F0830"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2 straipsnis.</w:t>
      </w:r>
      <w:r>
        <w:rPr>
          <w:rFonts w:ascii="Times New Roman" w:hAnsi="Times New Roman"/>
          <w:sz w:val="24"/>
        </w:rPr>
        <w:t xml:space="preserve"> Atskiri elektroninių cigarečių pakeliai ir pildomosios talpyklos su nikotinu ar be jo, taip pat išorinė pakuotė ir pakavimo medžiaga turi būti standartizuoto dizaino, atitinkančio šio įsakymo ir kitų teisės aktų, kuriais reglamentuojami elektroninių cigarečių ir pildomųjų talpyklų su ir be nikotino atskirų pakelių, išorinės pakuotės ir pakavimo medžiagos ženklinimas ir kt., reikalavimus.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2. </w:t>
      </w:r>
      <w:r>
        <w:rPr>
          <w:rFonts w:ascii="Times New Roman" w:hAnsi="Times New Roman"/>
          <w:sz w:val="24"/>
        </w:rPr>
        <w:t>Ant atskirų pakelių, išorinių pakuočių ir pakavimo medžiagos gali būti pateiktos tik tos etiketės, informacija ir kt., kurios numatytos šiame įsakyme ir kituose teisės aktuose.</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Etiketės, informacija ir t. t., nustatyta kituose teisės aktuose, turi būti pateikiami taip, kad atskiram pakeliui arba išorinei pakuotei nebūtų suteiktas unikalios išraiškos, informuotumo </w:t>
      </w:r>
      <w:r>
        <w:rPr>
          <w:rFonts w:ascii="Times New Roman" w:hAnsi="Times New Roman"/>
          <w:sz w:val="24"/>
        </w:rPr>
        <w:lastRenderedPageBreak/>
        <w:t>didinimo poveikio arba kad kitaip būtų laikoma, kad tai prieštarauja standartizuoto dizaino reikalavimui, keliamo visiems produktams, kuriuose yra elektroninių cigarečių arba pildomųjų talpyklų su nikotinu ir be jo.</w:t>
      </w:r>
    </w:p>
    <w:p w14:paraId="31707007" w14:textId="4FB9D48E"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3 straipsnis.</w:t>
      </w:r>
      <w:r>
        <w:rPr>
          <w:rFonts w:ascii="Times New Roman" w:hAnsi="Times New Roman"/>
          <w:sz w:val="24"/>
        </w:rPr>
        <w:t xml:space="preserve"> Atskirų pakelių ir išorinių pakuočių vidinis ir išorinis paviršiai turi būti matinės „Pantone 448 C“, baltos arba pilkos spalvos, o išorinė pakuotė turi būti matinės „Pantone 448 C“ spalvos.</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Juostelės ant atskirų elektroninių cigarečių ir pildomųjų talpyklų su ir be jo pakelių arba išorinės pakuotės turi būti kvadratinės, skaidrios ir bespalvės.</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4 straipsnis. </w:t>
      </w:r>
      <w:r>
        <w:rPr>
          <w:rFonts w:ascii="Times New Roman" w:hAnsi="Times New Roman"/>
          <w:sz w:val="24"/>
        </w:rPr>
        <w:t>Visi atskirų elektroninių cigarečių ir pildomųjų talpyklų su ir be jo pakelių ir išorinės pakuotės elementai turi būti beskoniai, bekvapiai ir begarsiai.</w:t>
      </w:r>
      <w:r>
        <w:rPr>
          <w:rFonts w:ascii="Times New Roman" w:hAnsi="Times New Roman"/>
          <w:color w:val="000000"/>
          <w:sz w:val="24"/>
        </w:rPr>
        <w:t xml:space="preserve">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3 skyrius</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Atskirų elektroninių cigarečių pakelių ir išorinių pakuočių bei pildomųjų talpyklų su nikotinu ar be jo paviršiai ir kt.</w:t>
      </w:r>
    </w:p>
    <w:p w14:paraId="4104CD23" w14:textId="271C317E"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5 straipsnis.</w:t>
      </w:r>
      <w:r>
        <w:rPr>
          <w:rFonts w:ascii="Times New Roman" w:hAnsi="Times New Roman"/>
          <w:sz w:val="24"/>
        </w:rPr>
        <w:t xml:space="preserve"> Paviršiai turi būti plokšti ir lygūs, juose neturi būti netaisyklingų elementų, tokių kaip ženklai, įspaudai, tekstūra, įdubimai, iškilimai ar bet kokia kita forma ar struktūra.</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Neįtraukiami tam tikri elementai, reikalingi medžiagai sulankstyti, apačiai pritvirtinti ir atskiram pakeliui atidaryti bei uždaryti.</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Neįtraukiami tam tikri elementai, reikalingi medžiagai sulankstyti, apačiai pritvirtinti ir išorinei pakuotei atidaryti bei uždaryti.</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4.</w:t>
      </w:r>
      <w:r>
        <w:rPr>
          <w:rFonts w:ascii="Times New Roman" w:hAnsi="Times New Roman"/>
          <w:sz w:val="24"/>
        </w:rPr>
        <w:t xml:space="preserve"> Išimtys pagal 5 straipsnio 2 ir 3 dalis taikomos tik tuo atveju, jei dėl netolygumo pakuotė neturi unikalios išraiškos, informuotumo didinimo poveikio arba kitaip gali būti laikoma prieštaraujančia standartizuoto dizaino reikalavimui, taikomam visiems atskiriems pakeliams ir išorinėms pakuotėms, kuriose yra elektroninių cigarečių ir pildomųjų talpyklų, kuriose yra nikotino ir be jo.</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6 straipsnis. </w:t>
      </w:r>
      <w:r>
        <w:rPr>
          <w:rFonts w:ascii="Times New Roman" w:hAnsi="Times New Roman"/>
          <w:sz w:val="24"/>
        </w:rPr>
        <w:t xml:space="preserve">Atskirų pakelių ir išorinės pakuotės paviršiai ir t. t. gali būti taikomi tik įstatymu nustatytiems elementams.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4 skyrius</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Atskirų elektroninių cigarečių pakelių ir išorinių pakuočių bei pildomųjų talpyklų su nikotinu ar be jo pakavimo medžiaga ir kt.</w:t>
      </w:r>
    </w:p>
    <w:p w14:paraId="37B3D713" w14:textId="7FA36372"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7 straipsnis.</w:t>
      </w:r>
      <w:r>
        <w:rPr>
          <w:rFonts w:ascii="Times New Roman" w:hAnsi="Times New Roman"/>
          <w:sz w:val="24"/>
        </w:rPr>
        <w:t xml:space="preserve"> Atskiri pakeliai ir išorinės pakuotės turi būti padengti pakavimo medžiaga.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Pakavimo medžiaga turi būti plokščia ir lygi, be jokių netaisyklingų elementų, tokių kaip ženklinimas etiketėmis, įspaudai, tekstūra, įdubimai, iškilimai ar bet kokia kita forma ar struktūra.</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Juostelės, naudojamos pakavimo medžiagai nuimti, turi būti skaidrios arba juodos. Ji turi būti iki 3 milimetrų pločio ir lygiagreti su viršutiniu tarpinės kraštu. Juostelėje turi būti ne ilgesnė kaip 15 milimetrų ištisinė skaidri arba juoda linija, pažyminti tą vietą, kurioje juostelė prasideda.</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4.</w:t>
      </w:r>
      <w:r>
        <w:rPr>
          <w:rFonts w:ascii="Times New Roman" w:hAnsi="Times New Roman"/>
          <w:sz w:val="24"/>
        </w:rPr>
        <w:t xml:space="preserve"> Juoda juostelė neturi uždengti ar paslėpti įspėjimų apie pavojų sveikatai ir kito ženklinimo ir kt. pagal kitus teisės aktus.</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 xml:space="preserve">5. </w:t>
      </w:r>
      <w:r>
        <w:rPr>
          <w:rFonts w:ascii="Times New Roman" w:hAnsi="Times New Roman"/>
          <w:sz w:val="24"/>
        </w:rPr>
        <w:t>Pakavimo medžiaga naudojama tik gamybos procesui būtiniems elementams ir nekeičia standartizuotos išraiškos.</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5 skyrius</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Atskirų elektroninių cigarečių pakelių ir išorinių pakuočių bei pildomųjų talpyklų su nikotinu ar be jo ženklinimas etiketėmis ir kt.</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8 straipsnis.</w:t>
      </w:r>
      <w:r>
        <w:rPr>
          <w:rFonts w:ascii="Times New Roman" w:hAnsi="Times New Roman"/>
          <w:sz w:val="24"/>
        </w:rPr>
        <w:t xml:space="preserve"> Ženklinimas etiketėmis pagal šį įsakymą negali visiškai ar iš dalies užstoti teksto, įspėjimų ar kito ženklinimo ir kt., kurie būtini pagal kitus teisės aktus.</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3A2B00DA"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9 straipsnis.</w:t>
      </w:r>
      <w:r>
        <w:rPr>
          <w:rFonts w:ascii="Times New Roman" w:hAnsi="Times New Roman"/>
          <w:sz w:val="24"/>
        </w:rPr>
        <w:t xml:space="preserve"> Atskiri pakeliai ir išorinės pakuotės turi būti ženklinami dviejose vietose nurodant ir komercinį prekių ženklą ir produkto pavadinimą. Naudojamą tekstą</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turi sudaryti mažosios raidės a–å, tačiau pirmoji raidė gali būti didžioji,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tekstą turi sudaryti skaičiai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teksto šriftas turi būti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gali būti sudarytas iš simbolių skliaustelių (-), kirčio (´), apostrofos (’) ir ženklo „ir“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turi būti matinės „Pantone Cool Gray 2 C“ spalvos,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šrifto dydis turi būti iki 10 taškų ir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turi būti lygiagretus su įspėjimu apie pavojų sveikatai.</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Komercinis prekių ženklas gali užpildyti vieną eilutę.</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Produkto pavadinimas turi užpildyti vieną eilutę ir jį reikia nurodyti tiesiai po prekių ženklu. </w:t>
      </w:r>
    </w:p>
    <w:p w14:paraId="0C76A8F5" w14:textId="1ECC8F87" w:rsidR="00567248" w:rsidRDefault="00D9738B" w:rsidP="00567248">
      <w:pPr>
        <w:spacing w:after="0"/>
        <w:rPr>
          <w:rFonts w:ascii="Times New Roman" w:hAnsi="Times New Roman" w:cs="Times New Roman"/>
          <w:sz w:val="24"/>
          <w:szCs w:val="24"/>
        </w:rPr>
      </w:pPr>
      <w:r>
        <w:rPr>
          <w:rFonts w:ascii="Times New Roman" w:hAnsi="Times New Roman"/>
          <w:b/>
          <w:sz w:val="24"/>
        </w:rPr>
        <w:t>10 straipsnis.</w:t>
      </w:r>
      <w:r>
        <w:rPr>
          <w:rFonts w:ascii="Times New Roman" w:hAnsi="Times New Roman"/>
          <w:sz w:val="24"/>
        </w:rPr>
        <w:t xml:space="preserve"> Ant atskirų pakelių ir išorinės pakuotės turi būti pateikta etiketė su produkto identifikaciniu numeriu, informacija apie skaičių ir turiniu atsižvelgiant į pakuotės turinį. Ant jų gali būti pateikta informacija apie produkto tipą, kuris bus naudojamas su produktu.</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2.</w:t>
      </w:r>
      <w:r>
        <w:rPr>
          <w:rFonts w:ascii="Times New Roman" w:hAnsi="Times New Roman"/>
          <w:sz w:val="24"/>
        </w:rPr>
        <w:t xml:space="preserve"> Ant elektroninių cigarečių ir pildomųjų talpyklų</w:t>
      </w:r>
      <w:r>
        <w:rPr>
          <w:rFonts w:ascii="Times New Roman" w:hAnsi="Times New Roman"/>
          <w:i/>
          <w:sz w:val="24"/>
        </w:rPr>
        <w:t xml:space="preserve"> </w:t>
      </w:r>
      <w:r>
        <w:rPr>
          <w:rFonts w:ascii="Times New Roman" w:hAnsi="Times New Roman"/>
          <w:sz w:val="24"/>
        </w:rPr>
        <w:t>su nikotinu ar be jo, pasižyminčių būdingu aromatu, išorinių pakuočių ir atskirų pakelių vieną kartą gali būti nurodyta:</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„Su tabako skoniu“ arba</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„Su mentolio skoniu“.</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3.</w:t>
      </w:r>
      <w:r>
        <w:rPr>
          <w:rFonts w:ascii="Times New Roman" w:hAnsi="Times New Roman"/>
          <w:sz w:val="24"/>
        </w:rPr>
        <w:t xml:space="preserve"> Pagal 1 ir 2 dalis naudojamas tekstas turi atitikti toliau nurodytus kriterijus:</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tekstą turi sudaryti mažosios raidės a–å, tačiau pirmoji raidė turi būti didžioji, </w:t>
      </w:r>
    </w:p>
    <w:p w14:paraId="05979D4E" w14:textId="77777777" w:rsidR="004009A5" w:rsidRPr="003973E4" w:rsidRDefault="004009A5" w:rsidP="009F36F8">
      <w:pPr>
        <w:numPr>
          <w:ilvl w:val="0"/>
          <w:numId w:val="13"/>
        </w:numPr>
        <w:spacing w:after="0"/>
      </w:pPr>
      <w:r>
        <w:rPr>
          <w:rFonts w:ascii="Times New Roman" w:hAnsi="Times New Roman"/>
          <w:sz w:val="24"/>
        </w:rPr>
        <w:t>tekstą turi sudaryti skaičiai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teksto šriftas turi būti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turi būti matinės „Pantone Cool Gray 2 C“ spalvos,</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šrifto dydis turi būti iki 10 taškų ir</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tekstas turi būti išdėstytas ta pačia kryptimi kaip ir įspėjimas apie pavojų sveikatai.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11 straipsnis.</w:t>
      </w:r>
      <w:r>
        <w:rPr>
          <w:rFonts w:ascii="Times New Roman" w:hAnsi="Times New Roman"/>
          <w:sz w:val="24"/>
        </w:rPr>
        <w:t xml:space="preserve"> Atskiri pakeliai ir kiekviena išorinė pakuotė, kuriuose yra elektroninės cigaretės ir pildomosios talpyklos</w:t>
      </w:r>
      <w:r>
        <w:rPr>
          <w:rFonts w:ascii="Times New Roman" w:hAnsi="Times New Roman"/>
          <w:i/>
          <w:sz w:val="24"/>
        </w:rPr>
        <w:t xml:space="preserve"> </w:t>
      </w:r>
      <w:r>
        <w:rPr>
          <w:rFonts w:ascii="Times New Roman" w:hAnsi="Times New Roman"/>
          <w:sz w:val="24"/>
        </w:rPr>
        <w:t>su nikotinu ar be jo, turi būti paženklinti brūkšniniu kodu su sąlyga, kad:</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jis naudojamas mokėjimo, platinimo ar atsargų kontrolės tikslais,</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lastRenderedPageBreak/>
        <w:t xml:space="preserve">jis yra arba juodos spalvos baltame fone, arba matinės „Pantone Cool Gray 2 C“ spalvos baltame fone,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tai nėra vaizdas, raštas ar simbolis, kuris imituoja ką nors kitą, bet ne brūkšninį kodą, ir</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jis yra pakuotės apačioje arba šone, jei pakuotė yra dėžutės formos.</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12 straipsnis.</w:t>
      </w:r>
      <w:r>
        <w:rPr>
          <w:rFonts w:ascii="Times New Roman" w:hAnsi="Times New Roman"/>
          <w:sz w:val="24"/>
        </w:rPr>
        <w:t xml:space="preserve"> Atskiri elektroninių cigarečių ir pildomųjų talpyklų pakuotės</w:t>
      </w:r>
      <w:r>
        <w:rPr>
          <w:rFonts w:ascii="Times New Roman" w:hAnsi="Times New Roman"/>
          <w:i/>
          <w:sz w:val="24"/>
        </w:rPr>
        <w:t xml:space="preserve"> </w:t>
      </w:r>
      <w:r>
        <w:rPr>
          <w:rFonts w:ascii="Times New Roman" w:hAnsi="Times New Roman"/>
          <w:sz w:val="24"/>
        </w:rPr>
        <w:t>su nikotinu ir be jo pakeliai ir išorinė pakuotė gali būti tvirtinami prie gamybos etiketės, įskaitant partijos numerį, su sąlyga, kad etiketė:</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naudojama siekiant laikytis kitų taikomų taisyklių, įskaitant taisykles dėl sekimo ir mokesčių,</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yra juoda baltame fone arba matinė </w:t>
      </w:r>
      <w:r>
        <w:rPr>
          <w:rStyle w:val="A1"/>
          <w:rFonts w:ascii="Times New Roman" w:hAnsi="Times New Roman"/>
          <w:sz w:val="24"/>
        </w:rPr>
        <w:t>„Pantone Cool Gray 2 C“</w:t>
      </w:r>
      <w:r>
        <w:rPr>
          <w:rFonts w:ascii="Times New Roman" w:hAnsi="Times New Roman"/>
          <w:sz w:val="24"/>
        </w:rPr>
        <w:t xml:space="preserve"> baltame fone,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nėra vaizdas, raštas ar simbolis, imituojantis ką nors, išskyrus gamybos etiketę,</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yra pakuotės apačioje arba kurioje nors jos pusėje ir</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neturi būti laikoma, kad kitaip prieštarauja standartizuoto dizaino reikalavimui, kuris taikomas visiems produktams, kuriuose yra elektroninių cigarečių ir pildomųjų talpyklų</w:t>
      </w:r>
      <w:r>
        <w:rPr>
          <w:rFonts w:ascii="Times New Roman" w:hAnsi="Times New Roman"/>
          <w:i/>
          <w:sz w:val="24"/>
        </w:rPr>
        <w:t xml:space="preserve"> </w:t>
      </w:r>
      <w:r>
        <w:rPr>
          <w:rFonts w:ascii="Times New Roman" w:hAnsi="Times New Roman"/>
          <w:sz w:val="24"/>
        </w:rPr>
        <w:t>su nikotinu ir be jo.</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6 skyrius</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Baudos</w:t>
      </w:r>
    </w:p>
    <w:p w14:paraId="79813513" w14:textId="28AAE9D6"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13 straipsnis. </w:t>
      </w:r>
      <w:r>
        <w:rPr>
          <w:rFonts w:ascii="Times New Roman" w:hAnsi="Times New Roman"/>
          <w:sz w:val="24"/>
        </w:rPr>
        <w:t>Jei pagal kitą įstatymą nereikia skirti didesnės nuobaudos, 2–12 straipsnius pažeidusiam asmeniui, skiriama bauda.</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2.</w:t>
      </w:r>
      <w:r>
        <w:rPr>
          <w:rFonts w:ascii="Times New Roman" w:hAnsi="Times New Roman"/>
          <w:sz w:val="24"/>
        </w:rPr>
        <w:t xml:space="preserve"> (juridiniai asmenys) gali būti patraukiami baudžiamojon atsakomybėn pagal Baudžiamojo kodekso 5 skyriaus nuostatas.</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7 skyrius</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Įsigaliojimas</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14 straipsnis. </w:t>
      </w:r>
      <w:r>
        <w:rPr>
          <w:rFonts w:ascii="Times New Roman" w:hAnsi="Times New Roman"/>
          <w:sz w:val="24"/>
        </w:rPr>
        <w:t>Šis įsakymas įsigalioja 2021 m. spalio 1 d.</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Sveikatos ministerija, 2021 m. balandžio 19 d.</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B634" w14:textId="77777777" w:rsidR="00E87FD6" w:rsidRDefault="00E87FD6" w:rsidP="00E65BF1">
      <w:pPr>
        <w:spacing w:after="0" w:line="240" w:lineRule="auto"/>
      </w:pPr>
      <w:r>
        <w:separator/>
      </w:r>
    </w:p>
  </w:endnote>
  <w:endnote w:type="continuationSeparator" w:id="0">
    <w:p w14:paraId="70A32C31" w14:textId="77777777" w:rsidR="00E87FD6" w:rsidRDefault="00E87FD6" w:rsidP="00E65BF1">
      <w:pPr>
        <w:spacing w:after="0" w:line="240" w:lineRule="auto"/>
      </w:pPr>
      <w:r>
        <w:continuationSeparator/>
      </w:r>
    </w:p>
  </w:endnote>
  <w:endnote w:type="continuationNotice" w:id="1">
    <w:p w14:paraId="2DCAADC6" w14:textId="77777777" w:rsidR="00E87FD6" w:rsidRDefault="00E87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B2C9" w14:textId="77777777" w:rsidR="00E87FD6" w:rsidRDefault="00E87FD6" w:rsidP="00E65BF1">
      <w:pPr>
        <w:spacing w:after="0" w:line="240" w:lineRule="auto"/>
      </w:pPr>
      <w:r>
        <w:separator/>
      </w:r>
    </w:p>
  </w:footnote>
  <w:footnote w:type="continuationSeparator" w:id="0">
    <w:p w14:paraId="7D3CF341" w14:textId="77777777" w:rsidR="00E87FD6" w:rsidRDefault="00E87FD6" w:rsidP="00E65BF1">
      <w:pPr>
        <w:spacing w:after="0" w:line="240" w:lineRule="auto"/>
      </w:pPr>
      <w:r>
        <w:continuationSeparator/>
      </w:r>
    </w:p>
  </w:footnote>
  <w:footnote w:type="continuationNotice" w:id="1">
    <w:p w14:paraId="74AA4D11" w14:textId="77777777" w:rsidR="00E87FD6" w:rsidRDefault="00E87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30B80"/>
    <w:rsid w:val="00E4453D"/>
    <w:rsid w:val="00E50180"/>
    <w:rsid w:val="00E55B32"/>
    <w:rsid w:val="00E605F6"/>
    <w:rsid w:val="00E65BF1"/>
    <w:rsid w:val="00E83B06"/>
    <w:rsid w:val="00E875E5"/>
    <w:rsid w:val="00E878D2"/>
    <w:rsid w:val="00E87FD6"/>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1300</Words>
  <Characters>7736</Characters>
  <Application>Microsoft Office Word</Application>
  <DocSecurity>0</DocSecurity>
  <Lines>154</Lines>
  <Paragraphs>94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2022-01-12T19:00:00Z</dcterms:modified>
</cp:coreProperties>
</file>