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1590" w14:textId="77777777" w:rsidR="00231E43" w:rsidRPr="00231E43" w:rsidRDefault="00231E43" w:rsidP="00231E43">
      <w:pPr>
        <w:spacing w:before="200" w:line="480" w:lineRule="auto"/>
        <w:jc w:val="center"/>
        <w:rPr>
          <w:color w:val="212529"/>
          <w:sz w:val="37"/>
          <w:szCs w:val="37"/>
          <w:rFonts w:ascii="Questa-Regular" w:eastAsia="Times New Roman" w:hAnsi="Questa-Regular" w:cs="Segoe UI"/>
        </w:rPr>
      </w:pPr>
      <w:r>
        <w:rPr>
          <w:color w:val="212529"/>
          <w:sz w:val="28"/>
          <w:rFonts w:ascii="Questa-Regular" w:hAnsi="Questa-Regular"/>
        </w:rPr>
        <w:t xml:space="preserve">Nařízení o regulaci některých průmyslových skleníkových plynů</w:t>
      </w:r>
      <w:bookmarkStart w:id="0" w:name="Henvisning_idadc2bf9e-e2bc-4522-800d-b83"/>
      <w:r w:rsidRPr="00231E43">
        <w:rPr>
          <w:color w:val="212529"/>
          <w:sz w:val="37"/>
          <w:rFonts w:ascii="Questa-Regular" w:eastAsia="Times New Roman" w:hAnsi="Questa-Regular" w:cs="Segoe UI"/>
        </w:rPr>
        <w:fldChar w:fldCharType="begin"/>
      </w:r>
      <w:r w:rsidRPr="00231E43">
        <w:rPr>
          <w:color w:val="212529"/>
          <w:sz w:val="37"/>
          <w:rFonts w:ascii="Questa-Regular" w:eastAsia="Times New Roman" w:hAnsi="Questa-Regular" w:cs="Segoe UI"/>
        </w:rPr>
        <w:instrText xml:space="preserve"> HYPERLINK "https://www.retsinformation.dk/eli/lta/2021/1013" \l "idadc2bf9e-e2bc-4522-800d-b831881a24cf" </w:instrText>
      </w:r>
      <w:r w:rsidRPr="00231E43">
        <w:rPr>
          <w:color w:val="212529"/>
          <w:sz w:val="37"/>
          <w:rFonts w:ascii="Questa-Regular" w:eastAsia="Times New Roman" w:hAnsi="Questa-Regular" w:cs="Segoe UI"/>
        </w:rPr>
        <w:fldChar w:fldCharType="separate"/>
      </w:r>
      <w:r>
        <w:rPr>
          <w:color w:val="176D41"/>
          <w:sz w:val="19"/>
          <w:u w:val="single"/>
          <w:rFonts w:ascii="Questa-Regular" w:hAnsi="Questa-Regular"/>
        </w:rPr>
        <w:t xml:space="preserve">1)</w:t>
      </w:r>
      <w:r w:rsidRPr="00231E43">
        <w:rPr>
          <w:color w:val="212529"/>
          <w:sz w:val="37"/>
          <w:rFonts w:ascii="Questa-Regular" w:eastAsia="Times New Roman" w:hAnsi="Questa-Regular" w:cs="Segoe UI"/>
        </w:rPr>
        <w:fldChar w:fldCharType="end"/>
      </w:r>
      <w:bookmarkEnd w:id="0"/>
    </w:p>
    <w:p w14:paraId="7F0C0F5F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Na základě § 30, § 45 odst. 1 a § 59 odst. 4 zákona o chemických látkách, viz konsolidační zákon č. 115 ze dne 26. ledna 2017, ve znění zákona č. 2214 ze dne 29. prosince 2020:</w:t>
      </w:r>
    </w:p>
    <w:p w14:paraId="0CB6BC75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Oblast působnosti nařízení</w:t>
      </w:r>
    </w:p>
    <w:p w14:paraId="59687B3E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1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rFonts w:ascii="Questa-Regular" w:hAnsi="Questa-Regular"/>
        </w:rPr>
        <w:t xml:space="preserve">Toto nařízení se vztahuje na zcela fluorované uhlovodíky (PFC) a fluorid sírový (</w:t>
      </w:r>
      <w:r>
        <w:rPr>
          <w:color w:val="212529"/>
          <w:sz w:val="23"/>
          <w:rFonts w:ascii="Questa-Regular" w:hAnsi="Questa-Regular"/>
        </w:rPr>
        <w:t xml:space="preserve">SF</w:t>
      </w:r>
      <w:r>
        <w:rPr>
          <w:color w:val="212529"/>
          <w:sz w:val="16"/>
          <w:vertAlign w:val="subscript"/>
          <w:rFonts w:ascii="Questa-Regular" w:hAnsi="Questa-Regular"/>
        </w:rPr>
        <w:t xml:space="preserve">6</w:t>
      </w:r>
      <w:r>
        <w:rPr>
          <w:color w:val="212529"/>
          <w:rFonts w:ascii="Questa-Regular" w:hAnsi="Questa-Regular"/>
        </w:rPr>
        <w:t xml:space="preserve">) a částečně fluorované uhlovodíky (HFC) s výjimkou hydrofluoralkenů (HFO), a to jak na samotné látky, tak na směsi obsahující jednu nebo více těchto látek.</w:t>
      </w:r>
    </w:p>
    <w:p w14:paraId="184CCFD8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Odstavec 2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Toto nařízení se nevztahuje na průmyslové využití skleníkových plynů uvedených v odstavci 1 s výjimkou jejich využití jako ochranného plynu ve slévárnách lehkých kovů a při výrobě pružných pěnových plastů.</w:t>
      </w:r>
      <w:r>
        <w:rPr>
          <w:color w:val="212529"/>
          <w:sz w:val="23"/>
          <w:rFonts w:ascii="Questa-Regular" w:hAnsi="Questa-Regular"/>
        </w:rPr>
        <w:t xml:space="preserve"> </w:t>
      </w:r>
      <w:r>
        <w:rPr>
          <w:color w:val="212529"/>
          <w:sz w:val="23"/>
          <w:rFonts w:ascii="Questa-Regular" w:hAnsi="Questa-Regular"/>
        </w:rPr>
        <w:t xml:space="preserve">V tomto nařízení se „průmyslovým využitím“ rozumí využití ve výrobě, kdy skleníkové plyny nejsou přítomny v konečném výrobku.</w:t>
      </w:r>
    </w:p>
    <w:p w14:paraId="55CE4E89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Odstavec 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Nařízení EU o fluorovaných skleníkových plynech platné kdykoli stanoví minimální úroveň regulace skleníkových plynů uvedených v pododdíle 1.</w:t>
      </w:r>
    </w:p>
    <w:p w14:paraId="66A7B908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Omezení používání atd.</w:t>
      </w:r>
    </w:p>
    <w:p w14:paraId="4B724AE3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2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Je zakázáno dovážet, prodávat a používat nové výrobky obsahující skleníkové plyny uvedené v § 1 odst. 1.</w:t>
      </w:r>
    </w:p>
    <w:p w14:paraId="7AAFBE47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Odstavec 2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Bez ohledu na odstavec 1 jsou povoleny dovoz, prodej a použití nových výrobků, které jsou uvedeny v příloze 1, v případě tamtéž uváděných skleníkových plynů.</w:t>
      </w:r>
    </w:p>
    <w:p w14:paraId="4323A580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3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Je zakázáno dovážet, prodávat a používat nové nebo znovuzískané skleníkové plyny uvedené v § 1 odst. 1.</w:t>
      </w:r>
    </w:p>
    <w:p w14:paraId="4990F525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Odstavec 2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Bez ohledu na odstavec 1 jsou povoleny dovoz, prodej a používání uvedené v příloze 2 v případě tamtéž uváděných skleníkových plynů.</w:t>
      </w:r>
    </w:p>
    <w:p w14:paraId="59195785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Správní ustanovení</w:t>
      </w:r>
    </w:p>
    <w:p w14:paraId="3C3F634E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4.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Dohled nad dodržováním pravidel tohoto nařízení a související kontrolu provádí v souladu s příslušnými ustanoveními agentura pro ochranu životního prostředí.</w:t>
      </w:r>
    </w:p>
    <w:p w14:paraId="66D186F1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Odstavec 2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Ve výjimečných případech je Dánská agentura pro ochranu životního prostředí oprávněna povolit odchylku od pravidel tohoto nařízení.</w:t>
      </w:r>
    </w:p>
    <w:p w14:paraId="0F32C311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Odstavec 3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Odvolání proti rozhodnutím Dánské agentury pro ochranu životního prostředí podle odstavce 2 nelze podat k jinému správnímu orgánu.</w:t>
      </w:r>
    </w:p>
    <w:p w14:paraId="29720BCA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Sankce a nabytí účinnosti</w:t>
      </w:r>
    </w:p>
    <w:p w14:paraId="173B0918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5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Nestanoví-li jiné právní předpisy vyšší sankce, budou uloženy pokuty osobám, které:</w:t>
      </w:r>
    </w:p>
    <w:p w14:paraId="4ED8A6D9" w14:textId="77777777" w:rsidR="00231E43" w:rsidRPr="00231E43" w:rsidRDefault="00231E43" w:rsidP="00231E43">
      <w:pPr>
        <w:spacing w:after="0" w:line="480" w:lineRule="auto"/>
        <w:ind w:left="-17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1) dovážejí, prodávají nebo používají nové výrobky obsahující skleníkové plyny v rozporu s § 2 nebo</w:t>
      </w:r>
    </w:p>
    <w:p w14:paraId="6885B775" w14:textId="77777777" w:rsidR="00231E43" w:rsidRPr="00231E43" w:rsidRDefault="00231E43" w:rsidP="00231E43">
      <w:pPr>
        <w:spacing w:after="0" w:line="480" w:lineRule="auto"/>
        <w:ind w:left="-17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2) dovážejí, prodávají nebo používají skleníkové plyny v rozporu s § 3.</w:t>
      </w:r>
    </w:p>
    <w:p w14:paraId="6CDC0188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Odstavec 2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Sankci lze zpřísnit na trest odnětí svobody v délce trvání až dvou let v případě, že k protiprávnímu jednání došlo úmyslně nebo z hrubé nedbalosti a jestliže toto protiprávní jednání vedlo nebo mělo vést k finančním prospěchu, včetně úspor, samotného pachatele nebo jiné osoby.</w:t>
      </w:r>
    </w:p>
    <w:p w14:paraId="4F33AC2D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Odstavec 3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Subjektům atd.</w:t>
      </w:r>
      <w:r>
        <w:rPr>
          <w:color w:val="212529"/>
          <w:sz w:val="23"/>
          <w:rFonts w:ascii="Questa-Regular" w:hAnsi="Questa-Regular"/>
        </w:rPr>
        <w:t xml:space="preserve"> </w:t>
      </w:r>
      <w:r>
        <w:rPr>
          <w:color w:val="212529"/>
          <w:sz w:val="23"/>
          <w:rFonts w:ascii="Questa-Regular" w:hAnsi="Questa-Regular"/>
        </w:rPr>
        <w:t xml:space="preserve">(právnickým osobám) může vzniknout trestní odpovědnost podle ustanovení obsažených v kapitole 5 trestního zákoníku [Straffeloven].</w:t>
      </w:r>
    </w:p>
    <w:p w14:paraId="0C61183C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6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Toto nařízení nabývá účinnosti dne 1. července 2021.</w:t>
      </w:r>
    </w:p>
    <w:p w14:paraId="03EB8021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Odstavec 2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U tepelných čerpadel s náplněmi od 0,15 kg do 10 kg se dosud platná pravidla použijí do 1. ledna 2022.</w:t>
      </w:r>
    </w:p>
    <w:p w14:paraId="7C9F2CA7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Odstavec 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Zrušuje se nařízení č. 1326 ze dne 19. listopadu 2018 o regulaci některých průmyslových skleníkových plynů.</w:t>
      </w:r>
    </w:p>
    <w:p w14:paraId="01810B7E" w14:textId="77777777" w:rsidR="00231E43" w:rsidRPr="00231E43" w:rsidRDefault="00231E43" w:rsidP="00231E43">
      <w:pPr>
        <w:spacing w:before="120" w:after="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Ministerstvo životního prostředí, 13. května 2021</w:t>
      </w:r>
    </w:p>
    <w:p w14:paraId="4EA287F6" w14:textId="77777777" w:rsidR="00231E43" w:rsidRPr="00231E43" w:rsidRDefault="00231E43" w:rsidP="00231E43">
      <w:pPr>
        <w:spacing w:before="120" w:after="0" w:line="480" w:lineRule="auto"/>
        <w:jc w:val="center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Lea Wermelin</w:t>
      </w:r>
    </w:p>
    <w:p w14:paraId="4C46C222" w14:textId="77777777" w:rsidR="00231E43" w:rsidRPr="00231E43" w:rsidRDefault="00231E43" w:rsidP="00231E43">
      <w:pPr>
        <w:spacing w:after="0" w:line="480" w:lineRule="auto"/>
        <w:jc w:val="right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/Henrik Søren Larsen</w:t>
      </w:r>
    </w:p>
    <w:p w14:paraId="51926885" w14:textId="77777777" w:rsidR="00231E43" w:rsidRPr="00231E43" w:rsidRDefault="00BF61A0" w:rsidP="00231E43">
      <w:pPr>
        <w:spacing w:before="200" w:line="480" w:lineRule="auto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pict w14:anchorId="5E3E9614">
          <v:rect id="_x0000_i1025" style="width:416.3pt;height:0" o:hrpct="0" o:hralign="center" o:hrstd="t" o:hr="t" fillcolor="#a0a0a0" stroked="f"/>
        </w:pict>
      </w:r>
    </w:p>
    <w:p w14:paraId="38755CA3" w14:textId="77777777" w:rsidR="00BF61A0" w:rsidRDefault="00BF61A0">
      <w:pPr>
        <w:rPr>
          <w:b/>
          <w:color w:val="212529"/>
          <w:sz w:val="32"/>
          <w:rFonts w:ascii="Questa-Regular" w:hAnsi="Questa-Regular"/>
        </w:rPr>
      </w:pPr>
      <w:r>
        <w:br w:type="page"/>
      </w:r>
    </w:p>
    <w:p w14:paraId="78C08BCE" w14:textId="17AF3AF4" w:rsidR="00231E43" w:rsidRPr="00231E43" w:rsidRDefault="00231E43" w:rsidP="00231E43">
      <w:pPr>
        <w:spacing w:before="400" w:after="120" w:line="480" w:lineRule="auto"/>
        <w:jc w:val="right"/>
        <w:rPr>
          <w:b/>
          <w:bCs/>
          <w:color w:val="212529"/>
          <w:sz w:val="32"/>
          <w:szCs w:val="32"/>
          <w:rFonts w:ascii="Questa-Regular" w:eastAsia="Times New Roman" w:hAnsi="Questa-Regular" w:cs="Segoe UI"/>
        </w:rPr>
      </w:pPr>
      <w:r>
        <w:rPr>
          <w:b/>
          <w:color w:val="212529"/>
          <w:sz w:val="32"/>
          <w:rFonts w:ascii="Questa-Regular" w:hAnsi="Questa-Regular"/>
        </w:rPr>
        <w:t xml:space="preserve">Příloha 1</w:t>
      </w:r>
    </w:p>
    <w:p w14:paraId="0DC067B5" w14:textId="77777777" w:rsidR="00231E43" w:rsidRPr="00231E43" w:rsidRDefault="00231E43" w:rsidP="00231E43">
      <w:pPr>
        <w:spacing w:after="120" w:line="480" w:lineRule="auto"/>
        <w:jc w:val="center"/>
        <w:rPr>
          <w:b/>
          <w:bCs/>
          <w:color w:val="212529"/>
          <w:sz w:val="28"/>
          <w:szCs w:val="28"/>
          <w:rFonts w:ascii="Questa-Regular" w:eastAsia="Times New Roman" w:hAnsi="Questa-Regular" w:cs="Segoe UI"/>
        </w:rPr>
      </w:pPr>
      <w:r>
        <w:rPr>
          <w:b/>
          <w:color w:val="212529"/>
          <w:sz w:val="28"/>
          <w:rFonts w:ascii="Questa-Regular" w:hAnsi="Questa-Regular"/>
        </w:rPr>
        <w:t xml:space="preserve">Ze zákazu uvedeného v § 2 jsou vyňaty tyto výrobky se stanovenými skleníkovými plyny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31E43" w:rsidRPr="00231E43" w14:paraId="0446F6BF" w14:textId="77777777" w:rsidTr="00231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7837"/>
              <w:gridCol w:w="90"/>
              <w:gridCol w:w="1388"/>
            </w:tblGrid>
            <w:tr w:rsidR="00231E43" w:rsidRPr="00231E43" w14:paraId="4D83A176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5746A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3D20A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194BF5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</w:tr>
            <w:tr w:rsidR="00231E43" w:rsidRPr="00231E43" w14:paraId="11A824A3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D6133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Výrobek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AB2B2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A31D4E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Skleníkový plyn</w:t>
                  </w:r>
                </w:p>
              </w:tc>
            </w:tr>
            <w:tr w:rsidR="00231E43" w:rsidRPr="00231E43" w14:paraId="5B407A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238E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D34B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Vysokonapěťové spínací zařízení (napětí převyšující 1 kV).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FCC2D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CCD627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SF</w:t>
                  </w:r>
                  <w:r>
                    <w:rPr>
                      <w:sz w:val="16"/>
                      <w:vertAlign w:val="subscript"/>
                      <w:rFonts w:ascii="Times New Roman" w:hAnsi="Times New Roman"/>
                    </w:rPr>
                    <w:t xml:space="preserve">6</w:t>
                  </w:r>
                </w:p>
              </w:tc>
            </w:tr>
            <w:tr w:rsidR="00231E43" w:rsidRPr="00231E43" w14:paraId="765A3B9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ADFC0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AAB4E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Tepelná čerpadla s kapacitou do 50 kg, která byla kompletně sestavena při výrobě jako kompaktní jednotky, a to primárně svařováním nebo pájením.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EB786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7804B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13A13AA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AC2E5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7BE6B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Chladicí systémy pro tepelná čerpadla s kapacitou do 50 kg, které byly kompletně sestaveny při výrobě jako kompaktní jednotky, a to primárně svařováním nebo pájením.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4F3CE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E0EAE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5A67DEC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52CC4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312C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t xml:space="preserve">Tepelná čerpadla, na která se nevztahuje bod 2, chladicí zařízení, klimatizační systémy (komfortní chlazení) a odvlhčovače s náplní nejvýše 5 tun ekvivalentu </w:t>
                  </w:r>
                  <w:r>
                    <w:rPr>
                      <w:sz w:val="24"/>
                    </w:rPr>
                    <w:t xml:space="preserve">CO</w:t>
                  </w:r>
                  <w:r>
                    <w:rPr>
                      <w:sz w:val="16"/>
                      <w:vertAlign w:val="subscript"/>
                    </w:rPr>
                    <w:t xml:space="preserve">2 </w:t>
                  </w:r>
                  <w:bookmarkStart w:id="1" w:name="Henvisning_id853ebac0-2be4-4db0-9b53-7d7"/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fldChar w:fldCharType="begin"/>
                  </w:r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instrText xml:space="preserve"> HYPERLINK "https://www.retsinformation.dk/eli/lta/2021/1013" \l "id853ebac0-2be4-4db0-9b53-7d7bc98618c7" </w:instrText>
                  </w:r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fldChar w:fldCharType="separate"/>
                  </w:r>
                  <w:r>
                    <w:rPr>
                      <w:color w:val="176D41"/>
                      <w:sz w:val="19"/>
                      <w:u w:val="single"/>
                      <w:vertAlign w:val="superscript"/>
                      <w:rFonts w:ascii="Times New Roman" w:hAnsi="Times New Roman"/>
                    </w:rPr>
                    <w:t xml:space="preserve">2).</w:t>
                  </w:r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fldChar w:fldCharType="end"/>
                  </w:r>
                  <w:bookmarkEnd w:id="1"/>
                  <w:r>
                    <w:rPr>
                      <w:sz w:val="24"/>
                      <w:rFonts w:ascii="Times New Roman" w:hAnsi="Times New Roman"/>
                    </w:rPr>
                    <w:t xml:space="preserve"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A3965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CA3BE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5C814F3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DA99C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49B86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Chladicí systémy, na které se nevztahuje bod 4, v případě tepelných čerpadel s kapacitou 0,15 kg až 10 kg a které byly kompletně sestaveny při výrobě jako kompaktní jednotky, a to primárně svařováním nebo pájením.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33930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CE81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3E4235C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C8D10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08413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Chladicí boxy na vakcíny.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BB2AA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61428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4A5F58A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15A2A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0DC39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Mobilní chladicí zařízení.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14AF4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9403B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7DC6351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D9AC8E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BD96E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Klimatizační systémy ve vozidlech nebo letadlech.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531B8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53A3F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0F77656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EF7E9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D8020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Nízkoteplotní mrazící zařízení (teplota nižší než –50 °C).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D3AA7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3EF63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2EFB627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79213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FB1E4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Aerosoly používané ve zdravotnictví.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C6778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E3F35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139BE07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FE485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2A709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Laboratorní vybavení.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2E779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ADFBA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Všechny</w:t>
                  </w:r>
                </w:p>
              </w:tc>
            </w:tr>
            <w:tr w:rsidR="00231E43" w:rsidRPr="00231E43" w14:paraId="11B9A73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FE911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11F09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Zkušební zařízení pro zkoušení chladicích zařízení.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4859C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A9F21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4BFDF83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4FAAD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58C74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Automatická regulační zařízení (termostaty, ventily atd.).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E0CC5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0C53F7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Všechny</w:t>
                  </w:r>
                </w:p>
              </w:tc>
            </w:tr>
            <w:tr w:rsidR="00231E43" w:rsidRPr="00231E43" w14:paraId="4634489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27DC0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31AD8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Výrobky pro vojenské použití.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DBB0F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21F80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Všechny</w:t>
                  </w:r>
                </w:p>
              </w:tc>
            </w:tr>
            <w:tr w:rsidR="00231E43" w:rsidRPr="00231E43" w14:paraId="76C162B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D2410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15271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Výrobky pro použití na palubách lodí.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88B79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F8758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Všechny</w:t>
                  </w:r>
                </w:p>
              </w:tc>
            </w:tr>
            <w:tr w:rsidR="00231E43" w:rsidRPr="00231E43" w14:paraId="02FFE83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F4891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3C921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BC9E7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184AF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</w:tr>
          </w:tbl>
          <w:p w14:paraId="2E7CC965" w14:textId="77777777" w:rsidR="00231E43" w:rsidRPr="00231E43" w:rsidRDefault="00231E43" w:rsidP="00231E4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3174B9B5" w14:textId="77777777" w:rsidR="00231E43" w:rsidRDefault="00231E43" w:rsidP="00231E43">
      <w:pPr>
        <w:spacing w:before="40" w:after="40" w:line="480" w:lineRule="auto"/>
        <w:rPr>
          <w:color w:val="212529"/>
          <w:sz w:val="19"/>
          <w:szCs w:val="19"/>
          <w:rFonts w:ascii="Questa-Regular" w:eastAsia="Times New Roman" w:hAnsi="Questa-Regular" w:cs="Segoe UI"/>
        </w:rPr>
      </w:pPr>
      <w:r>
        <w:rPr>
          <w:color w:val="212529"/>
          <w:sz w:val="19"/>
          <w:rFonts w:ascii="Questa-Regular" w:hAnsi="Questa-Regular"/>
        </w:rPr>
        <w:t xml:space="preserve">2) Množství a ekvivalent CO</w:t>
      </w:r>
      <w:r>
        <w:rPr>
          <w:color w:val="212529"/>
          <w:sz w:val="13"/>
          <w:vertAlign w:val="subscript"/>
          <w:rFonts w:ascii="Questa-Regular" w:hAnsi="Questa-Regular"/>
        </w:rPr>
        <w:t xml:space="preserve">2</w:t>
      </w:r>
      <w:r>
        <w:rPr>
          <w:color w:val="212529"/>
          <w:sz w:val="19"/>
          <w:rFonts w:ascii="Questa-Regular" w:hAnsi="Questa-Regular"/>
        </w:rPr>
        <w:t xml:space="preserve"> se stanoví v souladu s pravidly platnými pro označování v souladu s čl. 12 odst. 3 písm. c) nařízení Evropského parlamentu a Rady (ES) č. 517/2014 ze dne 16. dubna 2014 o fluorovaných skleníkových plynech a o zrušení nařízení (ES) č. 842/2006.</w:t>
      </w:r>
    </w:p>
    <w:p w14:paraId="660510B2" w14:textId="77777777" w:rsidR="00231E43" w:rsidRPr="00231E43" w:rsidRDefault="00231E43" w:rsidP="00231E43">
      <w:pPr>
        <w:rPr>
          <w:rFonts w:ascii="Questa-Regular" w:eastAsia="Times New Roman" w:hAnsi="Questa-Regular" w:cs="Segoe UI"/>
          <w:color w:val="212529"/>
          <w:sz w:val="19"/>
          <w:szCs w:val="19"/>
          <w:lang w:eastAsia="da-DK"/>
        </w:rPr>
      </w:pPr>
    </w:p>
    <w:p w14:paraId="6B5E627D" w14:textId="77777777" w:rsidR="00231E43" w:rsidRPr="00231E43" w:rsidRDefault="00BF61A0" w:rsidP="00231E43">
      <w:pPr>
        <w:spacing w:before="200" w:line="480" w:lineRule="auto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pict w14:anchorId="221067F7">
          <v:rect id="_x0000_i1026" style="width:416.3pt;height:0" o:hrpct="0" o:hralign="center" o:hrstd="t" o:hr="t" fillcolor="#a0a0a0" stroked="f"/>
        </w:pict>
      </w:r>
    </w:p>
    <w:p w14:paraId="1EF54FD8" w14:textId="77777777" w:rsidR="00231E43" w:rsidRDefault="00231E43">
      <w:pPr>
        <w:rPr>
          <w:b/>
          <w:bCs/>
          <w:color w:val="212529"/>
          <w:sz w:val="32"/>
          <w:szCs w:val="32"/>
          <w:rFonts w:ascii="Questa-Regular" w:eastAsia="Times New Roman" w:hAnsi="Questa-Regular" w:cs="Segoe UI"/>
        </w:rPr>
      </w:pPr>
      <w:r>
        <w:br w:type="page"/>
      </w:r>
    </w:p>
    <w:p w14:paraId="4404E3D1" w14:textId="77777777" w:rsidR="00231E43" w:rsidRPr="00231E43" w:rsidRDefault="00231E43" w:rsidP="00231E43">
      <w:pPr>
        <w:spacing w:before="400" w:after="120" w:line="480" w:lineRule="auto"/>
        <w:jc w:val="right"/>
        <w:rPr>
          <w:b/>
          <w:bCs/>
          <w:color w:val="212529"/>
          <w:sz w:val="32"/>
          <w:szCs w:val="32"/>
          <w:rFonts w:ascii="Questa-Regular" w:eastAsia="Times New Roman" w:hAnsi="Questa-Regular" w:cs="Segoe UI"/>
        </w:rPr>
      </w:pPr>
      <w:r>
        <w:rPr>
          <w:b/>
          <w:color w:val="212529"/>
          <w:sz w:val="32"/>
          <w:rFonts w:ascii="Questa-Regular" w:hAnsi="Questa-Regular"/>
        </w:rPr>
        <w:t xml:space="preserve">Příloha 2</w:t>
      </w:r>
    </w:p>
    <w:p w14:paraId="0AA4944F" w14:textId="77777777" w:rsidR="00231E43" w:rsidRPr="00231E43" w:rsidRDefault="00231E43" w:rsidP="00231E43">
      <w:pPr>
        <w:spacing w:after="120" w:line="480" w:lineRule="auto"/>
        <w:jc w:val="center"/>
        <w:rPr>
          <w:b/>
          <w:bCs/>
          <w:color w:val="212529"/>
          <w:sz w:val="28"/>
          <w:szCs w:val="28"/>
          <w:rFonts w:ascii="Questa-Regular" w:eastAsia="Times New Roman" w:hAnsi="Questa-Regular" w:cs="Segoe UI"/>
        </w:rPr>
      </w:pPr>
      <w:r>
        <w:rPr>
          <w:b/>
          <w:color w:val="212529"/>
          <w:sz w:val="28"/>
          <w:rFonts w:ascii="Questa-Regular" w:hAnsi="Questa-Regular"/>
        </w:rPr>
        <w:t xml:space="preserve">Ze zákazu uvedeného v § 3 jsou vyňata tato použití stanovených skleníkových plynů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31E43" w:rsidRPr="00231E43" w14:paraId="77600294" w14:textId="77777777" w:rsidTr="00231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7810"/>
              <w:gridCol w:w="1625"/>
            </w:tblGrid>
            <w:tr w:rsidR="00231E43" w:rsidRPr="00231E43" w14:paraId="0591124C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DA43D5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6937D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</w:tr>
            <w:tr w:rsidR="00231E43" w:rsidRPr="00231E43" w14:paraId="6F554F93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77AE8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Použití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E238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Skleníkový plyn</w:t>
                  </w:r>
                </w:p>
              </w:tc>
            </w:tr>
            <w:tr w:rsidR="00231E43" w:rsidRPr="00231E43" w14:paraId="219A691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DAA55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0542C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Servis chladicích zařízení, klimatizací, tepelných čerpadel a odvlhčovačů.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DFE67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3CE9E9D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BE276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F9FC3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Servis klimatizace ve vozidlech nebo letadlech.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4DE8D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547F9B3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D2C2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52E95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Servis vysokonapěťových spínacích zařízení (napětí převyšující 1 kV).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CDC807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SF</w:t>
                  </w:r>
                  <w:r>
                    <w:rPr>
                      <w:sz w:val="16"/>
                      <w:vertAlign w:val="subscript"/>
                      <w:rFonts w:ascii="Times New Roman" w:hAnsi="Times New Roman"/>
                    </w:rPr>
                    <w:t xml:space="preserve">6</w:t>
                  </w:r>
                </w:p>
              </w:tc>
            </w:tr>
            <w:tr w:rsidR="00231E43" w:rsidRPr="00231E43" w14:paraId="0970D6C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71A12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406D2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Servis laboratorního zařízení.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A7263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Všechny</w:t>
                  </w:r>
                </w:p>
              </w:tc>
            </w:tr>
            <w:tr w:rsidR="00231E43" w:rsidRPr="00231E43" w14:paraId="56857F7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ED6EB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BDEA3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Vojenská použití.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CF9B4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Všechny</w:t>
                  </w:r>
                </w:p>
              </w:tc>
            </w:tr>
            <w:tr w:rsidR="00231E43" w:rsidRPr="00231E43" w14:paraId="1424542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789FD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982B15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Spalování na palubě lodí.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B99EC4" w14:textId="77777777" w:rsid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Všechny</w:t>
                  </w:r>
                </w:p>
                <w:p w14:paraId="140CB2C0" w14:textId="77777777" w:rsidR="00231E43" w:rsidRDefault="00231E43" w:rsidP="00231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  <w:p w14:paraId="463238A8" w14:textId="77777777" w:rsidR="00231E43" w:rsidRDefault="00231E43" w:rsidP="00231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  <w:p w14:paraId="0FB454C2" w14:textId="77777777" w:rsidR="00231E43" w:rsidRPr="00231E43" w:rsidRDefault="00231E43" w:rsidP="00231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</w:tc>
            </w:tr>
          </w:tbl>
          <w:p w14:paraId="50BCD5B9" w14:textId="77777777" w:rsidR="00231E43" w:rsidRPr="00231E43" w:rsidRDefault="00231E43" w:rsidP="00231E4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394FE8F1" w14:textId="77777777" w:rsidR="00231E43" w:rsidRPr="00231E43" w:rsidRDefault="00231E43" w:rsidP="00231E43">
      <w:pPr>
        <w:shd w:val="clear" w:color="auto" w:fill="E1ECDF"/>
        <w:spacing w:after="150" w:line="480" w:lineRule="auto"/>
        <w:jc w:val="center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Úřední poznámky</w:t>
      </w:r>
    </w:p>
    <w:bookmarkStart w:id="2" w:name="idadc2bf9e-e2bc-4522-800d-b831881a24cf"/>
    <w:p w14:paraId="49A84516" w14:textId="77777777" w:rsidR="00231E43" w:rsidRPr="00231E43" w:rsidRDefault="00231E43" w:rsidP="00231E43">
      <w:pPr>
        <w:spacing w:before="40" w:after="40" w:line="480" w:lineRule="auto"/>
        <w:rPr>
          <w:color w:val="212529"/>
          <w:sz w:val="19"/>
          <w:szCs w:val="19"/>
          <w:rFonts w:ascii="Questa-Regular" w:eastAsia="Times New Roman" w:hAnsi="Questa-Regular" w:cs="Segoe UI"/>
        </w:rPr>
      </w:pPr>
      <w:r w:rsidRPr="00231E43">
        <w:rPr>
          <w:color w:val="212529"/>
          <w:sz w:val="19"/>
          <w:rFonts w:ascii="Questa-Regular" w:eastAsia="Times New Roman" w:hAnsi="Questa-Regular" w:cs="Segoe UI"/>
        </w:rPr>
        <w:fldChar w:fldCharType="begin"/>
      </w:r>
      <w:r w:rsidRPr="00231E43">
        <w:rPr>
          <w:color w:val="212529"/>
          <w:sz w:val="19"/>
          <w:rFonts w:ascii="Questa-Regular" w:eastAsia="Times New Roman" w:hAnsi="Questa-Regular" w:cs="Segoe UI"/>
        </w:rPr>
        <w:instrText xml:space="preserve"> HYPERLINK "https://www.retsinformation.dk/eli/lta/2021/1013" \l "Reference_idadc2bf9e-e2bc-4522-800d-b831881a24cf" </w:instrText>
      </w:r>
      <w:r w:rsidRPr="00231E43">
        <w:rPr>
          <w:color w:val="212529"/>
          <w:sz w:val="19"/>
          <w:rFonts w:ascii="Questa-Regular" w:eastAsia="Times New Roman" w:hAnsi="Questa-Regular" w:cs="Segoe UI"/>
        </w:rPr>
        <w:fldChar w:fldCharType="separate"/>
      </w:r>
      <w:r>
        <w:rPr>
          <w:color w:val="176D41"/>
          <w:sz w:val="16"/>
          <w:u w:val="single"/>
          <w:vertAlign w:val="superscript"/>
          <w:rFonts w:ascii="Questa-Regular" w:hAnsi="Questa-Regular"/>
        </w:rPr>
        <w:t xml:space="preserve">1)</w:t>
      </w:r>
      <w:r w:rsidRPr="00231E43">
        <w:rPr>
          <w:color w:val="212529"/>
          <w:sz w:val="19"/>
          <w:rFonts w:ascii="Questa-Regular" w:eastAsia="Times New Roman" w:hAnsi="Questa-Regular" w:cs="Segoe UI"/>
        </w:rPr>
        <w:fldChar w:fldCharType="end"/>
      </w:r>
      <w:bookmarkEnd w:id="2"/>
      <w:r>
        <w:rPr>
          <w:color w:val="212529"/>
          <w:sz w:val="19"/>
          <w:rFonts w:ascii="Questa-Regular" w:hAnsi="Questa-Regular"/>
        </w:rPr>
        <w:t xml:space="preserve"> </w:t>
      </w:r>
      <w:r>
        <w:rPr>
          <w:color w:val="212529"/>
          <w:sz w:val="19"/>
          <w:rFonts w:ascii="Questa-Regular" w:hAnsi="Questa-Regular"/>
        </w:rPr>
        <w:t xml:space="preserve">Toto nařízení bylo oznámeno jako návrh v souladu se směrnicí Evropského parlamentu a Rady (EU) 2015/1535 ze dne 9. září 2015 o postupu při poskytování informací v oblasti technických předpisů a předpisů pro služby informační společnosti (kodifikované znění).</w:t>
      </w:r>
    </w:p>
    <w:p w14:paraId="576F272C" w14:textId="77777777" w:rsidR="00D4498B" w:rsidRPr="00231E43" w:rsidRDefault="00D4498B" w:rsidP="00231E43"/>
    <w:sectPr w:rsidR="00D4498B" w:rsidRPr="00231E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43"/>
    <w:rsid w:val="00001FF9"/>
    <w:rsid w:val="00004CA3"/>
    <w:rsid w:val="00004F56"/>
    <w:rsid w:val="000050E3"/>
    <w:rsid w:val="00010027"/>
    <w:rsid w:val="000116E0"/>
    <w:rsid w:val="00011CC6"/>
    <w:rsid w:val="00011D7B"/>
    <w:rsid w:val="0001288F"/>
    <w:rsid w:val="00017938"/>
    <w:rsid w:val="0002112C"/>
    <w:rsid w:val="00021C75"/>
    <w:rsid w:val="0002390A"/>
    <w:rsid w:val="000349BA"/>
    <w:rsid w:val="0004056C"/>
    <w:rsid w:val="000409CD"/>
    <w:rsid w:val="00041BE8"/>
    <w:rsid w:val="00042397"/>
    <w:rsid w:val="00045529"/>
    <w:rsid w:val="000530D7"/>
    <w:rsid w:val="00053F95"/>
    <w:rsid w:val="00064877"/>
    <w:rsid w:val="000669EE"/>
    <w:rsid w:val="0006701B"/>
    <w:rsid w:val="00070C2A"/>
    <w:rsid w:val="0007278F"/>
    <w:rsid w:val="000750FC"/>
    <w:rsid w:val="00075CD0"/>
    <w:rsid w:val="00076FD6"/>
    <w:rsid w:val="00077482"/>
    <w:rsid w:val="00081900"/>
    <w:rsid w:val="000839A9"/>
    <w:rsid w:val="00084100"/>
    <w:rsid w:val="0008465D"/>
    <w:rsid w:val="00084D6F"/>
    <w:rsid w:val="00086451"/>
    <w:rsid w:val="000920F5"/>
    <w:rsid w:val="00092A6F"/>
    <w:rsid w:val="0009426D"/>
    <w:rsid w:val="000946CE"/>
    <w:rsid w:val="00096789"/>
    <w:rsid w:val="00096C74"/>
    <w:rsid w:val="00097E0B"/>
    <w:rsid w:val="000A2A31"/>
    <w:rsid w:val="000A6145"/>
    <w:rsid w:val="000A7658"/>
    <w:rsid w:val="000A7DBC"/>
    <w:rsid w:val="000B419A"/>
    <w:rsid w:val="000B4AA9"/>
    <w:rsid w:val="000B7B4C"/>
    <w:rsid w:val="000C0BA8"/>
    <w:rsid w:val="000C1676"/>
    <w:rsid w:val="000C267C"/>
    <w:rsid w:val="000C3A32"/>
    <w:rsid w:val="000C3C8A"/>
    <w:rsid w:val="000C5428"/>
    <w:rsid w:val="000C6523"/>
    <w:rsid w:val="000D3F27"/>
    <w:rsid w:val="000D55DE"/>
    <w:rsid w:val="000D5802"/>
    <w:rsid w:val="000D6B30"/>
    <w:rsid w:val="000D6B4F"/>
    <w:rsid w:val="000E7BCB"/>
    <w:rsid w:val="000F2C28"/>
    <w:rsid w:val="00101302"/>
    <w:rsid w:val="00101BFB"/>
    <w:rsid w:val="00104ABC"/>
    <w:rsid w:val="00106568"/>
    <w:rsid w:val="001071EE"/>
    <w:rsid w:val="001073E7"/>
    <w:rsid w:val="00107C9E"/>
    <w:rsid w:val="00110279"/>
    <w:rsid w:val="0011066E"/>
    <w:rsid w:val="001112B2"/>
    <w:rsid w:val="001250BE"/>
    <w:rsid w:val="00131428"/>
    <w:rsid w:val="00134B6A"/>
    <w:rsid w:val="00134F81"/>
    <w:rsid w:val="001374D3"/>
    <w:rsid w:val="001413CF"/>
    <w:rsid w:val="00141C4C"/>
    <w:rsid w:val="0014220C"/>
    <w:rsid w:val="00142502"/>
    <w:rsid w:val="00144401"/>
    <w:rsid w:val="00146403"/>
    <w:rsid w:val="00152DCB"/>
    <w:rsid w:val="00153108"/>
    <w:rsid w:val="00157950"/>
    <w:rsid w:val="001732F9"/>
    <w:rsid w:val="00173C1F"/>
    <w:rsid w:val="0017477E"/>
    <w:rsid w:val="001759D0"/>
    <w:rsid w:val="00175E76"/>
    <w:rsid w:val="001761F3"/>
    <w:rsid w:val="00176C92"/>
    <w:rsid w:val="00177803"/>
    <w:rsid w:val="001779D9"/>
    <w:rsid w:val="00180706"/>
    <w:rsid w:val="00182E50"/>
    <w:rsid w:val="00183892"/>
    <w:rsid w:val="00184ACA"/>
    <w:rsid w:val="001856D6"/>
    <w:rsid w:val="0018601E"/>
    <w:rsid w:val="001865E0"/>
    <w:rsid w:val="00187280"/>
    <w:rsid w:val="00193612"/>
    <w:rsid w:val="001A0C49"/>
    <w:rsid w:val="001A1806"/>
    <w:rsid w:val="001A25CE"/>
    <w:rsid w:val="001A2FBE"/>
    <w:rsid w:val="001A4C5D"/>
    <w:rsid w:val="001A57A8"/>
    <w:rsid w:val="001A749A"/>
    <w:rsid w:val="001B066C"/>
    <w:rsid w:val="001B066F"/>
    <w:rsid w:val="001B1DE4"/>
    <w:rsid w:val="001B3C1E"/>
    <w:rsid w:val="001B5E22"/>
    <w:rsid w:val="001C15D6"/>
    <w:rsid w:val="001C490D"/>
    <w:rsid w:val="001D40FC"/>
    <w:rsid w:val="001E0E4F"/>
    <w:rsid w:val="001E1DA8"/>
    <w:rsid w:val="001E2999"/>
    <w:rsid w:val="001E35DD"/>
    <w:rsid w:val="001E4CB3"/>
    <w:rsid w:val="001F4F34"/>
    <w:rsid w:val="001F66A6"/>
    <w:rsid w:val="00200395"/>
    <w:rsid w:val="0020053C"/>
    <w:rsid w:val="00200BB3"/>
    <w:rsid w:val="00203DBB"/>
    <w:rsid w:val="00204526"/>
    <w:rsid w:val="00211CF2"/>
    <w:rsid w:val="00215BFF"/>
    <w:rsid w:val="00216221"/>
    <w:rsid w:val="00221A0A"/>
    <w:rsid w:val="00221AAD"/>
    <w:rsid w:val="0022331B"/>
    <w:rsid w:val="002239F3"/>
    <w:rsid w:val="00225181"/>
    <w:rsid w:val="00226EAF"/>
    <w:rsid w:val="00226ED6"/>
    <w:rsid w:val="00230CA9"/>
    <w:rsid w:val="00231E43"/>
    <w:rsid w:val="0023229E"/>
    <w:rsid w:val="0023434C"/>
    <w:rsid w:val="00236484"/>
    <w:rsid w:val="00237938"/>
    <w:rsid w:val="00242C72"/>
    <w:rsid w:val="00243ED5"/>
    <w:rsid w:val="00250ED7"/>
    <w:rsid w:val="00254CC3"/>
    <w:rsid w:val="00256ADF"/>
    <w:rsid w:val="0026042A"/>
    <w:rsid w:val="002643CC"/>
    <w:rsid w:val="00271D9C"/>
    <w:rsid w:val="00275B9B"/>
    <w:rsid w:val="002761E1"/>
    <w:rsid w:val="002773DB"/>
    <w:rsid w:val="00281BD9"/>
    <w:rsid w:val="00284F77"/>
    <w:rsid w:val="00285B28"/>
    <w:rsid w:val="002919AB"/>
    <w:rsid w:val="00292836"/>
    <w:rsid w:val="00297D93"/>
    <w:rsid w:val="002A0A08"/>
    <w:rsid w:val="002A0E23"/>
    <w:rsid w:val="002A4F06"/>
    <w:rsid w:val="002B146C"/>
    <w:rsid w:val="002B3B17"/>
    <w:rsid w:val="002B58AA"/>
    <w:rsid w:val="002B5AE0"/>
    <w:rsid w:val="002B7137"/>
    <w:rsid w:val="002C08A0"/>
    <w:rsid w:val="002C27AC"/>
    <w:rsid w:val="002C2FBD"/>
    <w:rsid w:val="002C3128"/>
    <w:rsid w:val="002D231A"/>
    <w:rsid w:val="002D4687"/>
    <w:rsid w:val="002E39EC"/>
    <w:rsid w:val="002E5E35"/>
    <w:rsid w:val="002F0710"/>
    <w:rsid w:val="002F1667"/>
    <w:rsid w:val="002F2503"/>
    <w:rsid w:val="002F3688"/>
    <w:rsid w:val="002F3A85"/>
    <w:rsid w:val="002F44AA"/>
    <w:rsid w:val="002F5DE3"/>
    <w:rsid w:val="002F79B2"/>
    <w:rsid w:val="0030044E"/>
    <w:rsid w:val="0030235F"/>
    <w:rsid w:val="003027B2"/>
    <w:rsid w:val="00303FD0"/>
    <w:rsid w:val="00307DE5"/>
    <w:rsid w:val="00310E9C"/>
    <w:rsid w:val="003113D7"/>
    <w:rsid w:val="00312A32"/>
    <w:rsid w:val="00312FED"/>
    <w:rsid w:val="00314E39"/>
    <w:rsid w:val="00317A31"/>
    <w:rsid w:val="00320147"/>
    <w:rsid w:val="00324899"/>
    <w:rsid w:val="0032564C"/>
    <w:rsid w:val="00331E85"/>
    <w:rsid w:val="00332889"/>
    <w:rsid w:val="00335644"/>
    <w:rsid w:val="00335CCE"/>
    <w:rsid w:val="00337E6C"/>
    <w:rsid w:val="00341110"/>
    <w:rsid w:val="00345275"/>
    <w:rsid w:val="00346395"/>
    <w:rsid w:val="0034737D"/>
    <w:rsid w:val="00350E3F"/>
    <w:rsid w:val="0035375F"/>
    <w:rsid w:val="00360D74"/>
    <w:rsid w:val="0036284D"/>
    <w:rsid w:val="003628A8"/>
    <w:rsid w:val="00362AE9"/>
    <w:rsid w:val="00365182"/>
    <w:rsid w:val="0037236A"/>
    <w:rsid w:val="00372DBD"/>
    <w:rsid w:val="00380312"/>
    <w:rsid w:val="003821B7"/>
    <w:rsid w:val="0038353E"/>
    <w:rsid w:val="00387885"/>
    <w:rsid w:val="003900BB"/>
    <w:rsid w:val="00390C92"/>
    <w:rsid w:val="00392DBE"/>
    <w:rsid w:val="003A2ADB"/>
    <w:rsid w:val="003A68CA"/>
    <w:rsid w:val="003B2671"/>
    <w:rsid w:val="003B7469"/>
    <w:rsid w:val="003B7472"/>
    <w:rsid w:val="003B7741"/>
    <w:rsid w:val="003C0C99"/>
    <w:rsid w:val="003C0DE0"/>
    <w:rsid w:val="003C3222"/>
    <w:rsid w:val="003C4DE7"/>
    <w:rsid w:val="003C6F08"/>
    <w:rsid w:val="003C6FC3"/>
    <w:rsid w:val="003D227B"/>
    <w:rsid w:val="003D3FD8"/>
    <w:rsid w:val="003E040E"/>
    <w:rsid w:val="003E057B"/>
    <w:rsid w:val="003E3989"/>
    <w:rsid w:val="003E5285"/>
    <w:rsid w:val="003E773D"/>
    <w:rsid w:val="003F184D"/>
    <w:rsid w:val="003F2E61"/>
    <w:rsid w:val="003F4B8E"/>
    <w:rsid w:val="003F4FD3"/>
    <w:rsid w:val="003F6E10"/>
    <w:rsid w:val="003F7034"/>
    <w:rsid w:val="00403497"/>
    <w:rsid w:val="00403F4C"/>
    <w:rsid w:val="00404723"/>
    <w:rsid w:val="00404A06"/>
    <w:rsid w:val="00406206"/>
    <w:rsid w:val="00411FAE"/>
    <w:rsid w:val="004157D3"/>
    <w:rsid w:val="00417D06"/>
    <w:rsid w:val="0042221A"/>
    <w:rsid w:val="00422900"/>
    <w:rsid w:val="00424F91"/>
    <w:rsid w:val="004319F3"/>
    <w:rsid w:val="00431DBD"/>
    <w:rsid w:val="004335D9"/>
    <w:rsid w:val="00434533"/>
    <w:rsid w:val="00434C66"/>
    <w:rsid w:val="00441FDB"/>
    <w:rsid w:val="00445757"/>
    <w:rsid w:val="00446CA7"/>
    <w:rsid w:val="0044739C"/>
    <w:rsid w:val="00447CEB"/>
    <w:rsid w:val="00450912"/>
    <w:rsid w:val="00451588"/>
    <w:rsid w:val="00452A12"/>
    <w:rsid w:val="00452D53"/>
    <w:rsid w:val="00453AE9"/>
    <w:rsid w:val="004545C0"/>
    <w:rsid w:val="00454A79"/>
    <w:rsid w:val="00455378"/>
    <w:rsid w:val="00457409"/>
    <w:rsid w:val="00460C39"/>
    <w:rsid w:val="004616C4"/>
    <w:rsid w:val="004633E2"/>
    <w:rsid w:val="00463F37"/>
    <w:rsid w:val="00474E12"/>
    <w:rsid w:val="00477E61"/>
    <w:rsid w:val="00481598"/>
    <w:rsid w:val="00481870"/>
    <w:rsid w:val="00482FDD"/>
    <w:rsid w:val="00482FE6"/>
    <w:rsid w:val="0048329E"/>
    <w:rsid w:val="0048449D"/>
    <w:rsid w:val="004844EC"/>
    <w:rsid w:val="00490864"/>
    <w:rsid w:val="00491C6B"/>
    <w:rsid w:val="004934BD"/>
    <w:rsid w:val="00496C3F"/>
    <w:rsid w:val="00496D31"/>
    <w:rsid w:val="00496ECD"/>
    <w:rsid w:val="00497EBA"/>
    <w:rsid w:val="004A0792"/>
    <w:rsid w:val="004A2D0B"/>
    <w:rsid w:val="004A6536"/>
    <w:rsid w:val="004B13CE"/>
    <w:rsid w:val="004B5B91"/>
    <w:rsid w:val="004B6698"/>
    <w:rsid w:val="004C22D3"/>
    <w:rsid w:val="004C430A"/>
    <w:rsid w:val="004C534C"/>
    <w:rsid w:val="004D0A28"/>
    <w:rsid w:val="004D2ED5"/>
    <w:rsid w:val="004D56F0"/>
    <w:rsid w:val="004E063D"/>
    <w:rsid w:val="004E22FC"/>
    <w:rsid w:val="004E7CB5"/>
    <w:rsid w:val="004F2C97"/>
    <w:rsid w:val="004F3E7E"/>
    <w:rsid w:val="004F4B44"/>
    <w:rsid w:val="004F5133"/>
    <w:rsid w:val="004F6338"/>
    <w:rsid w:val="004F658D"/>
    <w:rsid w:val="0050203E"/>
    <w:rsid w:val="0050680D"/>
    <w:rsid w:val="00507E52"/>
    <w:rsid w:val="00511D64"/>
    <w:rsid w:val="00512C94"/>
    <w:rsid w:val="005131CD"/>
    <w:rsid w:val="005215EC"/>
    <w:rsid w:val="005223FC"/>
    <w:rsid w:val="005236D0"/>
    <w:rsid w:val="0052579F"/>
    <w:rsid w:val="00527116"/>
    <w:rsid w:val="00527EFD"/>
    <w:rsid w:val="0053028C"/>
    <w:rsid w:val="00530E96"/>
    <w:rsid w:val="005338B2"/>
    <w:rsid w:val="00533EFE"/>
    <w:rsid w:val="0053783F"/>
    <w:rsid w:val="00540C0A"/>
    <w:rsid w:val="00540C1A"/>
    <w:rsid w:val="00540E05"/>
    <w:rsid w:val="00541FB0"/>
    <w:rsid w:val="005424EB"/>
    <w:rsid w:val="00551E3C"/>
    <w:rsid w:val="0055722C"/>
    <w:rsid w:val="00557A10"/>
    <w:rsid w:val="00563097"/>
    <w:rsid w:val="0056449A"/>
    <w:rsid w:val="00564817"/>
    <w:rsid w:val="00574246"/>
    <w:rsid w:val="00577AF4"/>
    <w:rsid w:val="00577B32"/>
    <w:rsid w:val="00580E7A"/>
    <w:rsid w:val="00580FDD"/>
    <w:rsid w:val="00581DC9"/>
    <w:rsid w:val="005822D9"/>
    <w:rsid w:val="005822F0"/>
    <w:rsid w:val="00584AAE"/>
    <w:rsid w:val="005874D9"/>
    <w:rsid w:val="00591053"/>
    <w:rsid w:val="0059303C"/>
    <w:rsid w:val="00594A5E"/>
    <w:rsid w:val="00595691"/>
    <w:rsid w:val="00596D69"/>
    <w:rsid w:val="00597EF4"/>
    <w:rsid w:val="005A746A"/>
    <w:rsid w:val="005A75D8"/>
    <w:rsid w:val="005B0A54"/>
    <w:rsid w:val="005B0B61"/>
    <w:rsid w:val="005C09A0"/>
    <w:rsid w:val="005C137C"/>
    <w:rsid w:val="005C63C3"/>
    <w:rsid w:val="005C760C"/>
    <w:rsid w:val="005C7DFF"/>
    <w:rsid w:val="005D0D15"/>
    <w:rsid w:val="005D17E5"/>
    <w:rsid w:val="005D30D9"/>
    <w:rsid w:val="005D3BDB"/>
    <w:rsid w:val="005E17D6"/>
    <w:rsid w:val="005E1BC9"/>
    <w:rsid w:val="005E4079"/>
    <w:rsid w:val="005F218B"/>
    <w:rsid w:val="005F3302"/>
    <w:rsid w:val="005F621D"/>
    <w:rsid w:val="00600701"/>
    <w:rsid w:val="00603266"/>
    <w:rsid w:val="0060432F"/>
    <w:rsid w:val="00604630"/>
    <w:rsid w:val="0060538B"/>
    <w:rsid w:val="006058B5"/>
    <w:rsid w:val="0060755F"/>
    <w:rsid w:val="00610AF8"/>
    <w:rsid w:val="006172AE"/>
    <w:rsid w:val="006176A2"/>
    <w:rsid w:val="00617883"/>
    <w:rsid w:val="0062732E"/>
    <w:rsid w:val="006316DF"/>
    <w:rsid w:val="006323D4"/>
    <w:rsid w:val="006435D7"/>
    <w:rsid w:val="00645B61"/>
    <w:rsid w:val="0064606F"/>
    <w:rsid w:val="0065032E"/>
    <w:rsid w:val="006512D6"/>
    <w:rsid w:val="006527F2"/>
    <w:rsid w:val="0065284E"/>
    <w:rsid w:val="00655A54"/>
    <w:rsid w:val="00655AEA"/>
    <w:rsid w:val="00656E14"/>
    <w:rsid w:val="00657B95"/>
    <w:rsid w:val="00660C1B"/>
    <w:rsid w:val="00661A10"/>
    <w:rsid w:val="00663C27"/>
    <w:rsid w:val="00664091"/>
    <w:rsid w:val="006649C5"/>
    <w:rsid w:val="006653C4"/>
    <w:rsid w:val="00666431"/>
    <w:rsid w:val="00674472"/>
    <w:rsid w:val="0067539B"/>
    <w:rsid w:val="00676407"/>
    <w:rsid w:val="006909C4"/>
    <w:rsid w:val="00691328"/>
    <w:rsid w:val="0069728B"/>
    <w:rsid w:val="006A1650"/>
    <w:rsid w:val="006A3C97"/>
    <w:rsid w:val="006A41FA"/>
    <w:rsid w:val="006A4F56"/>
    <w:rsid w:val="006A6C2A"/>
    <w:rsid w:val="006A6C9F"/>
    <w:rsid w:val="006B0D5B"/>
    <w:rsid w:val="006B0E43"/>
    <w:rsid w:val="006B113E"/>
    <w:rsid w:val="006B1547"/>
    <w:rsid w:val="006B21A0"/>
    <w:rsid w:val="006B74B8"/>
    <w:rsid w:val="006B7DAE"/>
    <w:rsid w:val="006C02BB"/>
    <w:rsid w:val="006D1296"/>
    <w:rsid w:val="006D1C4C"/>
    <w:rsid w:val="006D662B"/>
    <w:rsid w:val="006D6F8A"/>
    <w:rsid w:val="006D769C"/>
    <w:rsid w:val="006E08ED"/>
    <w:rsid w:val="006E0C9E"/>
    <w:rsid w:val="006E1330"/>
    <w:rsid w:val="006E35A8"/>
    <w:rsid w:val="006E4881"/>
    <w:rsid w:val="006E7E02"/>
    <w:rsid w:val="006F0C95"/>
    <w:rsid w:val="006F1924"/>
    <w:rsid w:val="00701536"/>
    <w:rsid w:val="00701686"/>
    <w:rsid w:val="007035C1"/>
    <w:rsid w:val="007037E2"/>
    <w:rsid w:val="0070394C"/>
    <w:rsid w:val="00707ECC"/>
    <w:rsid w:val="00714E10"/>
    <w:rsid w:val="00715CA0"/>
    <w:rsid w:val="0071682D"/>
    <w:rsid w:val="00716DED"/>
    <w:rsid w:val="007179AA"/>
    <w:rsid w:val="00717D38"/>
    <w:rsid w:val="00720708"/>
    <w:rsid w:val="007220F9"/>
    <w:rsid w:val="0072235A"/>
    <w:rsid w:val="00723596"/>
    <w:rsid w:val="0072389D"/>
    <w:rsid w:val="00723AB3"/>
    <w:rsid w:val="00727158"/>
    <w:rsid w:val="00730341"/>
    <w:rsid w:val="00730417"/>
    <w:rsid w:val="0073632A"/>
    <w:rsid w:val="0073654C"/>
    <w:rsid w:val="00741098"/>
    <w:rsid w:val="007426F8"/>
    <w:rsid w:val="007440E1"/>
    <w:rsid w:val="0075163A"/>
    <w:rsid w:val="007523DB"/>
    <w:rsid w:val="00754029"/>
    <w:rsid w:val="00754102"/>
    <w:rsid w:val="007564C4"/>
    <w:rsid w:val="007571A7"/>
    <w:rsid w:val="007619BB"/>
    <w:rsid w:val="00761C21"/>
    <w:rsid w:val="00765F0F"/>
    <w:rsid w:val="007708AA"/>
    <w:rsid w:val="00772656"/>
    <w:rsid w:val="00775F77"/>
    <w:rsid w:val="00776070"/>
    <w:rsid w:val="00783A21"/>
    <w:rsid w:val="0078613B"/>
    <w:rsid w:val="00787729"/>
    <w:rsid w:val="00790739"/>
    <w:rsid w:val="00790A61"/>
    <w:rsid w:val="00791007"/>
    <w:rsid w:val="007916EB"/>
    <w:rsid w:val="00794DF4"/>
    <w:rsid w:val="007A1E33"/>
    <w:rsid w:val="007A363A"/>
    <w:rsid w:val="007A48F0"/>
    <w:rsid w:val="007A5023"/>
    <w:rsid w:val="007B003E"/>
    <w:rsid w:val="007B17F2"/>
    <w:rsid w:val="007B28A9"/>
    <w:rsid w:val="007B35AF"/>
    <w:rsid w:val="007B6DB5"/>
    <w:rsid w:val="007B7D74"/>
    <w:rsid w:val="007C1F43"/>
    <w:rsid w:val="007C4A7A"/>
    <w:rsid w:val="007C51A0"/>
    <w:rsid w:val="007C5545"/>
    <w:rsid w:val="007C584A"/>
    <w:rsid w:val="007C6CD4"/>
    <w:rsid w:val="007C7583"/>
    <w:rsid w:val="007D152F"/>
    <w:rsid w:val="007D1998"/>
    <w:rsid w:val="007D5E24"/>
    <w:rsid w:val="007D5FA7"/>
    <w:rsid w:val="007E1C30"/>
    <w:rsid w:val="007E2BFB"/>
    <w:rsid w:val="007E5528"/>
    <w:rsid w:val="007F51C7"/>
    <w:rsid w:val="007F6358"/>
    <w:rsid w:val="008006B6"/>
    <w:rsid w:val="008009F3"/>
    <w:rsid w:val="00801649"/>
    <w:rsid w:val="0080312C"/>
    <w:rsid w:val="00805E47"/>
    <w:rsid w:val="00806962"/>
    <w:rsid w:val="00807C86"/>
    <w:rsid w:val="00810DD4"/>
    <w:rsid w:val="00815AA2"/>
    <w:rsid w:val="00815C2C"/>
    <w:rsid w:val="00816410"/>
    <w:rsid w:val="0081771B"/>
    <w:rsid w:val="00820E0A"/>
    <w:rsid w:val="00824878"/>
    <w:rsid w:val="00834412"/>
    <w:rsid w:val="00835098"/>
    <w:rsid w:val="00840025"/>
    <w:rsid w:val="00842D5B"/>
    <w:rsid w:val="0084434F"/>
    <w:rsid w:val="008451C0"/>
    <w:rsid w:val="008456AB"/>
    <w:rsid w:val="008507BE"/>
    <w:rsid w:val="00851835"/>
    <w:rsid w:val="00851950"/>
    <w:rsid w:val="00853A1F"/>
    <w:rsid w:val="008551AC"/>
    <w:rsid w:val="00857231"/>
    <w:rsid w:val="0086026E"/>
    <w:rsid w:val="00861269"/>
    <w:rsid w:val="0086177E"/>
    <w:rsid w:val="008674EA"/>
    <w:rsid w:val="00871111"/>
    <w:rsid w:val="00871A85"/>
    <w:rsid w:val="00872A06"/>
    <w:rsid w:val="0087346A"/>
    <w:rsid w:val="008813E8"/>
    <w:rsid w:val="008820EF"/>
    <w:rsid w:val="00882880"/>
    <w:rsid w:val="0088619C"/>
    <w:rsid w:val="00886520"/>
    <w:rsid w:val="00887C0C"/>
    <w:rsid w:val="00887FE0"/>
    <w:rsid w:val="00890A0C"/>
    <w:rsid w:val="00890A28"/>
    <w:rsid w:val="00890FA5"/>
    <w:rsid w:val="00893061"/>
    <w:rsid w:val="008936A2"/>
    <w:rsid w:val="0089416B"/>
    <w:rsid w:val="00894C94"/>
    <w:rsid w:val="00896873"/>
    <w:rsid w:val="008A7526"/>
    <w:rsid w:val="008B12B9"/>
    <w:rsid w:val="008B44E7"/>
    <w:rsid w:val="008C04CD"/>
    <w:rsid w:val="008C36E1"/>
    <w:rsid w:val="008C5368"/>
    <w:rsid w:val="008C5688"/>
    <w:rsid w:val="008D0346"/>
    <w:rsid w:val="008D04B9"/>
    <w:rsid w:val="008D2C6F"/>
    <w:rsid w:val="008D48AA"/>
    <w:rsid w:val="008D4B57"/>
    <w:rsid w:val="008D6678"/>
    <w:rsid w:val="008D6F12"/>
    <w:rsid w:val="008E0B2C"/>
    <w:rsid w:val="008E4841"/>
    <w:rsid w:val="008E577B"/>
    <w:rsid w:val="008F1776"/>
    <w:rsid w:val="008F1CD4"/>
    <w:rsid w:val="008F2B41"/>
    <w:rsid w:val="008F69A1"/>
    <w:rsid w:val="009000E7"/>
    <w:rsid w:val="00901675"/>
    <w:rsid w:val="009048F2"/>
    <w:rsid w:val="0090799B"/>
    <w:rsid w:val="00907F71"/>
    <w:rsid w:val="00907FD3"/>
    <w:rsid w:val="009102FE"/>
    <w:rsid w:val="0091070F"/>
    <w:rsid w:val="00910A69"/>
    <w:rsid w:val="00913DAA"/>
    <w:rsid w:val="0092136E"/>
    <w:rsid w:val="00922618"/>
    <w:rsid w:val="009239EB"/>
    <w:rsid w:val="009258A4"/>
    <w:rsid w:val="00926B59"/>
    <w:rsid w:val="00927CA2"/>
    <w:rsid w:val="0093159C"/>
    <w:rsid w:val="00932660"/>
    <w:rsid w:val="00934B6D"/>
    <w:rsid w:val="0094122D"/>
    <w:rsid w:val="00944C7F"/>
    <w:rsid w:val="00947F0E"/>
    <w:rsid w:val="00953462"/>
    <w:rsid w:val="00953D79"/>
    <w:rsid w:val="00956D72"/>
    <w:rsid w:val="009574AC"/>
    <w:rsid w:val="009574C9"/>
    <w:rsid w:val="0095773E"/>
    <w:rsid w:val="00957A0F"/>
    <w:rsid w:val="00960BD2"/>
    <w:rsid w:val="00960FB1"/>
    <w:rsid w:val="00964242"/>
    <w:rsid w:val="009663B9"/>
    <w:rsid w:val="009672BA"/>
    <w:rsid w:val="009734A5"/>
    <w:rsid w:val="00973EB7"/>
    <w:rsid w:val="00981261"/>
    <w:rsid w:val="009816A5"/>
    <w:rsid w:val="00983588"/>
    <w:rsid w:val="0098601B"/>
    <w:rsid w:val="0098603A"/>
    <w:rsid w:val="00987EC8"/>
    <w:rsid w:val="009924D0"/>
    <w:rsid w:val="009928FB"/>
    <w:rsid w:val="00997B5E"/>
    <w:rsid w:val="009A28A0"/>
    <w:rsid w:val="009A28EB"/>
    <w:rsid w:val="009A74B3"/>
    <w:rsid w:val="009B0FC3"/>
    <w:rsid w:val="009B3C0E"/>
    <w:rsid w:val="009B65EB"/>
    <w:rsid w:val="009C0D43"/>
    <w:rsid w:val="009C3E1B"/>
    <w:rsid w:val="009C49C9"/>
    <w:rsid w:val="009C65BD"/>
    <w:rsid w:val="009D0692"/>
    <w:rsid w:val="009D0F68"/>
    <w:rsid w:val="009D5FA8"/>
    <w:rsid w:val="009D696A"/>
    <w:rsid w:val="009E0F6B"/>
    <w:rsid w:val="009E4396"/>
    <w:rsid w:val="009F2534"/>
    <w:rsid w:val="009F32D2"/>
    <w:rsid w:val="009F425F"/>
    <w:rsid w:val="009F5008"/>
    <w:rsid w:val="009F6294"/>
    <w:rsid w:val="009F6A3D"/>
    <w:rsid w:val="009F7B93"/>
    <w:rsid w:val="00A01059"/>
    <w:rsid w:val="00A02779"/>
    <w:rsid w:val="00A029A5"/>
    <w:rsid w:val="00A05B20"/>
    <w:rsid w:val="00A0751E"/>
    <w:rsid w:val="00A115DB"/>
    <w:rsid w:val="00A15FEE"/>
    <w:rsid w:val="00A2088E"/>
    <w:rsid w:val="00A20CBF"/>
    <w:rsid w:val="00A2126D"/>
    <w:rsid w:val="00A25691"/>
    <w:rsid w:val="00A27775"/>
    <w:rsid w:val="00A3647F"/>
    <w:rsid w:val="00A37C08"/>
    <w:rsid w:val="00A37ED0"/>
    <w:rsid w:val="00A41313"/>
    <w:rsid w:val="00A4139C"/>
    <w:rsid w:val="00A432C5"/>
    <w:rsid w:val="00A43A1F"/>
    <w:rsid w:val="00A43D9E"/>
    <w:rsid w:val="00A45B49"/>
    <w:rsid w:val="00A50808"/>
    <w:rsid w:val="00A52E19"/>
    <w:rsid w:val="00A54E31"/>
    <w:rsid w:val="00A5603A"/>
    <w:rsid w:val="00A57A84"/>
    <w:rsid w:val="00A60916"/>
    <w:rsid w:val="00A6180F"/>
    <w:rsid w:val="00A640A7"/>
    <w:rsid w:val="00A7042A"/>
    <w:rsid w:val="00A71131"/>
    <w:rsid w:val="00A73373"/>
    <w:rsid w:val="00A747E8"/>
    <w:rsid w:val="00A75B6C"/>
    <w:rsid w:val="00A8189A"/>
    <w:rsid w:val="00A848AD"/>
    <w:rsid w:val="00A864CF"/>
    <w:rsid w:val="00A93888"/>
    <w:rsid w:val="00A93A0E"/>
    <w:rsid w:val="00A9415E"/>
    <w:rsid w:val="00A9712A"/>
    <w:rsid w:val="00AA096C"/>
    <w:rsid w:val="00AA113C"/>
    <w:rsid w:val="00AA3B2F"/>
    <w:rsid w:val="00AA4FFF"/>
    <w:rsid w:val="00AB1BCC"/>
    <w:rsid w:val="00AB5D2F"/>
    <w:rsid w:val="00AC07AE"/>
    <w:rsid w:val="00AC169D"/>
    <w:rsid w:val="00AC3866"/>
    <w:rsid w:val="00AC3AA2"/>
    <w:rsid w:val="00AC47E5"/>
    <w:rsid w:val="00AC49E9"/>
    <w:rsid w:val="00AC4EBA"/>
    <w:rsid w:val="00AC569B"/>
    <w:rsid w:val="00AD336B"/>
    <w:rsid w:val="00AD35AD"/>
    <w:rsid w:val="00AD7626"/>
    <w:rsid w:val="00AD7773"/>
    <w:rsid w:val="00AD7933"/>
    <w:rsid w:val="00AD7DF4"/>
    <w:rsid w:val="00AE0738"/>
    <w:rsid w:val="00AE27D8"/>
    <w:rsid w:val="00AE2E52"/>
    <w:rsid w:val="00AE315A"/>
    <w:rsid w:val="00AE3239"/>
    <w:rsid w:val="00AE3756"/>
    <w:rsid w:val="00AE6649"/>
    <w:rsid w:val="00AF15B1"/>
    <w:rsid w:val="00AF394D"/>
    <w:rsid w:val="00B07A31"/>
    <w:rsid w:val="00B1008B"/>
    <w:rsid w:val="00B12DC2"/>
    <w:rsid w:val="00B13C1C"/>
    <w:rsid w:val="00B15490"/>
    <w:rsid w:val="00B2065A"/>
    <w:rsid w:val="00B2154A"/>
    <w:rsid w:val="00B21722"/>
    <w:rsid w:val="00B22E5F"/>
    <w:rsid w:val="00B267AA"/>
    <w:rsid w:val="00B33026"/>
    <w:rsid w:val="00B346A4"/>
    <w:rsid w:val="00B35027"/>
    <w:rsid w:val="00B37235"/>
    <w:rsid w:val="00B37B21"/>
    <w:rsid w:val="00B4012B"/>
    <w:rsid w:val="00B4090E"/>
    <w:rsid w:val="00B40F49"/>
    <w:rsid w:val="00B425D5"/>
    <w:rsid w:val="00B44094"/>
    <w:rsid w:val="00B4660C"/>
    <w:rsid w:val="00B50050"/>
    <w:rsid w:val="00B54E5E"/>
    <w:rsid w:val="00B55901"/>
    <w:rsid w:val="00B6256F"/>
    <w:rsid w:val="00B64E27"/>
    <w:rsid w:val="00B66495"/>
    <w:rsid w:val="00B6753A"/>
    <w:rsid w:val="00B7025E"/>
    <w:rsid w:val="00B77BAA"/>
    <w:rsid w:val="00B8080A"/>
    <w:rsid w:val="00B81C1B"/>
    <w:rsid w:val="00B82990"/>
    <w:rsid w:val="00B8623A"/>
    <w:rsid w:val="00B95703"/>
    <w:rsid w:val="00B95D34"/>
    <w:rsid w:val="00BA0552"/>
    <w:rsid w:val="00BA10D3"/>
    <w:rsid w:val="00BA2475"/>
    <w:rsid w:val="00BB17FE"/>
    <w:rsid w:val="00BB226D"/>
    <w:rsid w:val="00BB3690"/>
    <w:rsid w:val="00BB4879"/>
    <w:rsid w:val="00BB499F"/>
    <w:rsid w:val="00BB7807"/>
    <w:rsid w:val="00BC147A"/>
    <w:rsid w:val="00BC60BA"/>
    <w:rsid w:val="00BD081D"/>
    <w:rsid w:val="00BD19E8"/>
    <w:rsid w:val="00BD715F"/>
    <w:rsid w:val="00BE1F84"/>
    <w:rsid w:val="00BE7129"/>
    <w:rsid w:val="00BE7A7C"/>
    <w:rsid w:val="00BF198C"/>
    <w:rsid w:val="00BF251B"/>
    <w:rsid w:val="00BF3061"/>
    <w:rsid w:val="00BF3555"/>
    <w:rsid w:val="00BF4D60"/>
    <w:rsid w:val="00BF50A8"/>
    <w:rsid w:val="00BF61A0"/>
    <w:rsid w:val="00C01C14"/>
    <w:rsid w:val="00C057D6"/>
    <w:rsid w:val="00C05E0F"/>
    <w:rsid w:val="00C10047"/>
    <w:rsid w:val="00C13F0B"/>
    <w:rsid w:val="00C15ABE"/>
    <w:rsid w:val="00C2142E"/>
    <w:rsid w:val="00C218A8"/>
    <w:rsid w:val="00C21BD9"/>
    <w:rsid w:val="00C21E33"/>
    <w:rsid w:val="00C226BD"/>
    <w:rsid w:val="00C22C7E"/>
    <w:rsid w:val="00C25859"/>
    <w:rsid w:val="00C25B9B"/>
    <w:rsid w:val="00C26A00"/>
    <w:rsid w:val="00C306B4"/>
    <w:rsid w:val="00C3311F"/>
    <w:rsid w:val="00C33B32"/>
    <w:rsid w:val="00C344CA"/>
    <w:rsid w:val="00C37AD0"/>
    <w:rsid w:val="00C405B5"/>
    <w:rsid w:val="00C40A4F"/>
    <w:rsid w:val="00C40F0B"/>
    <w:rsid w:val="00C42082"/>
    <w:rsid w:val="00C442B7"/>
    <w:rsid w:val="00C44ED7"/>
    <w:rsid w:val="00C478D9"/>
    <w:rsid w:val="00C47F46"/>
    <w:rsid w:val="00C519F7"/>
    <w:rsid w:val="00C54916"/>
    <w:rsid w:val="00C55E78"/>
    <w:rsid w:val="00C60D49"/>
    <w:rsid w:val="00C660FD"/>
    <w:rsid w:val="00C709A7"/>
    <w:rsid w:val="00C755ED"/>
    <w:rsid w:val="00C7623D"/>
    <w:rsid w:val="00C77859"/>
    <w:rsid w:val="00C77ED1"/>
    <w:rsid w:val="00C8246D"/>
    <w:rsid w:val="00C86A6B"/>
    <w:rsid w:val="00C91F10"/>
    <w:rsid w:val="00C92527"/>
    <w:rsid w:val="00CA0215"/>
    <w:rsid w:val="00CA3CEE"/>
    <w:rsid w:val="00CA4397"/>
    <w:rsid w:val="00CA464F"/>
    <w:rsid w:val="00CA6282"/>
    <w:rsid w:val="00CA6C8F"/>
    <w:rsid w:val="00CA7719"/>
    <w:rsid w:val="00CA7A7A"/>
    <w:rsid w:val="00CB45B4"/>
    <w:rsid w:val="00CB68A2"/>
    <w:rsid w:val="00CB6AD9"/>
    <w:rsid w:val="00CB743F"/>
    <w:rsid w:val="00CC1BDA"/>
    <w:rsid w:val="00CC2351"/>
    <w:rsid w:val="00CC7EC1"/>
    <w:rsid w:val="00CD24AA"/>
    <w:rsid w:val="00CE20F2"/>
    <w:rsid w:val="00CE2DAD"/>
    <w:rsid w:val="00CE742E"/>
    <w:rsid w:val="00CE7F99"/>
    <w:rsid w:val="00CF3115"/>
    <w:rsid w:val="00CF3CA0"/>
    <w:rsid w:val="00CF3FC2"/>
    <w:rsid w:val="00CF48DE"/>
    <w:rsid w:val="00D061BE"/>
    <w:rsid w:val="00D076AB"/>
    <w:rsid w:val="00D11D6B"/>
    <w:rsid w:val="00D13886"/>
    <w:rsid w:val="00D209D8"/>
    <w:rsid w:val="00D21CBB"/>
    <w:rsid w:val="00D2761C"/>
    <w:rsid w:val="00D3036D"/>
    <w:rsid w:val="00D304F1"/>
    <w:rsid w:val="00D3489C"/>
    <w:rsid w:val="00D37B9E"/>
    <w:rsid w:val="00D40207"/>
    <w:rsid w:val="00D44213"/>
    <w:rsid w:val="00D4498B"/>
    <w:rsid w:val="00D557FB"/>
    <w:rsid w:val="00D569A6"/>
    <w:rsid w:val="00D56FB7"/>
    <w:rsid w:val="00D57F0C"/>
    <w:rsid w:val="00D6039A"/>
    <w:rsid w:val="00D6119D"/>
    <w:rsid w:val="00D629FC"/>
    <w:rsid w:val="00D67158"/>
    <w:rsid w:val="00D7043E"/>
    <w:rsid w:val="00D70A93"/>
    <w:rsid w:val="00D72960"/>
    <w:rsid w:val="00D740D1"/>
    <w:rsid w:val="00D75BDE"/>
    <w:rsid w:val="00D76A77"/>
    <w:rsid w:val="00D773D1"/>
    <w:rsid w:val="00D807DC"/>
    <w:rsid w:val="00D82385"/>
    <w:rsid w:val="00D82B36"/>
    <w:rsid w:val="00D83C0E"/>
    <w:rsid w:val="00D8437A"/>
    <w:rsid w:val="00D86E13"/>
    <w:rsid w:val="00D87663"/>
    <w:rsid w:val="00D8775B"/>
    <w:rsid w:val="00D94BA1"/>
    <w:rsid w:val="00D94CB1"/>
    <w:rsid w:val="00DA02B5"/>
    <w:rsid w:val="00DA1D12"/>
    <w:rsid w:val="00DA3ACC"/>
    <w:rsid w:val="00DA58AF"/>
    <w:rsid w:val="00DB23B0"/>
    <w:rsid w:val="00DB32FA"/>
    <w:rsid w:val="00DB5965"/>
    <w:rsid w:val="00DB6BB5"/>
    <w:rsid w:val="00DC0699"/>
    <w:rsid w:val="00DC1BD8"/>
    <w:rsid w:val="00DC7304"/>
    <w:rsid w:val="00DD21D2"/>
    <w:rsid w:val="00DD2840"/>
    <w:rsid w:val="00DD4790"/>
    <w:rsid w:val="00DD5299"/>
    <w:rsid w:val="00DD5DA8"/>
    <w:rsid w:val="00DE016E"/>
    <w:rsid w:val="00DE0EC7"/>
    <w:rsid w:val="00DE1B1D"/>
    <w:rsid w:val="00DE27C8"/>
    <w:rsid w:val="00DE2DDD"/>
    <w:rsid w:val="00DE31A0"/>
    <w:rsid w:val="00DE6E90"/>
    <w:rsid w:val="00DF7467"/>
    <w:rsid w:val="00E05592"/>
    <w:rsid w:val="00E06795"/>
    <w:rsid w:val="00E13850"/>
    <w:rsid w:val="00E14F12"/>
    <w:rsid w:val="00E1592A"/>
    <w:rsid w:val="00E16931"/>
    <w:rsid w:val="00E214EA"/>
    <w:rsid w:val="00E2197B"/>
    <w:rsid w:val="00E269A8"/>
    <w:rsid w:val="00E27AF0"/>
    <w:rsid w:val="00E27C3A"/>
    <w:rsid w:val="00E3001B"/>
    <w:rsid w:val="00E30997"/>
    <w:rsid w:val="00E34CFC"/>
    <w:rsid w:val="00E352F9"/>
    <w:rsid w:val="00E36C8F"/>
    <w:rsid w:val="00E40340"/>
    <w:rsid w:val="00E4176E"/>
    <w:rsid w:val="00E42442"/>
    <w:rsid w:val="00E4471E"/>
    <w:rsid w:val="00E44CA8"/>
    <w:rsid w:val="00E46C90"/>
    <w:rsid w:val="00E50D36"/>
    <w:rsid w:val="00E5536A"/>
    <w:rsid w:val="00E60056"/>
    <w:rsid w:val="00E63A3A"/>
    <w:rsid w:val="00E63FFB"/>
    <w:rsid w:val="00E65135"/>
    <w:rsid w:val="00E66B90"/>
    <w:rsid w:val="00E66F4B"/>
    <w:rsid w:val="00E67081"/>
    <w:rsid w:val="00E721CA"/>
    <w:rsid w:val="00E726A4"/>
    <w:rsid w:val="00E7531D"/>
    <w:rsid w:val="00E75655"/>
    <w:rsid w:val="00E769E7"/>
    <w:rsid w:val="00E813DA"/>
    <w:rsid w:val="00E827A2"/>
    <w:rsid w:val="00E82C7A"/>
    <w:rsid w:val="00E845EF"/>
    <w:rsid w:val="00E90D71"/>
    <w:rsid w:val="00E911C4"/>
    <w:rsid w:val="00EA2953"/>
    <w:rsid w:val="00EA6435"/>
    <w:rsid w:val="00EA71BC"/>
    <w:rsid w:val="00EB2CDB"/>
    <w:rsid w:val="00EB6FCB"/>
    <w:rsid w:val="00EC181B"/>
    <w:rsid w:val="00EC203E"/>
    <w:rsid w:val="00EC5891"/>
    <w:rsid w:val="00EC7887"/>
    <w:rsid w:val="00ED3256"/>
    <w:rsid w:val="00ED5915"/>
    <w:rsid w:val="00ED6910"/>
    <w:rsid w:val="00ED7C05"/>
    <w:rsid w:val="00ED7F54"/>
    <w:rsid w:val="00EE5CA0"/>
    <w:rsid w:val="00EE6265"/>
    <w:rsid w:val="00EE6896"/>
    <w:rsid w:val="00EE6FB6"/>
    <w:rsid w:val="00EF1017"/>
    <w:rsid w:val="00EF3B06"/>
    <w:rsid w:val="00EF4BEF"/>
    <w:rsid w:val="00EF5E8F"/>
    <w:rsid w:val="00EF7357"/>
    <w:rsid w:val="00EF7CED"/>
    <w:rsid w:val="00F00D83"/>
    <w:rsid w:val="00F06C51"/>
    <w:rsid w:val="00F12AE1"/>
    <w:rsid w:val="00F13088"/>
    <w:rsid w:val="00F1407B"/>
    <w:rsid w:val="00F27FBC"/>
    <w:rsid w:val="00F311E5"/>
    <w:rsid w:val="00F329A0"/>
    <w:rsid w:val="00F342F2"/>
    <w:rsid w:val="00F34CBD"/>
    <w:rsid w:val="00F418D2"/>
    <w:rsid w:val="00F456F5"/>
    <w:rsid w:val="00F5120A"/>
    <w:rsid w:val="00F56DFF"/>
    <w:rsid w:val="00F57481"/>
    <w:rsid w:val="00F5752C"/>
    <w:rsid w:val="00F57ED1"/>
    <w:rsid w:val="00F62C88"/>
    <w:rsid w:val="00F6344E"/>
    <w:rsid w:val="00F637F0"/>
    <w:rsid w:val="00F6511D"/>
    <w:rsid w:val="00F66267"/>
    <w:rsid w:val="00F67E2A"/>
    <w:rsid w:val="00F70845"/>
    <w:rsid w:val="00F7412E"/>
    <w:rsid w:val="00F74F0C"/>
    <w:rsid w:val="00F7620D"/>
    <w:rsid w:val="00F7719F"/>
    <w:rsid w:val="00F80340"/>
    <w:rsid w:val="00F82695"/>
    <w:rsid w:val="00F85247"/>
    <w:rsid w:val="00F9024E"/>
    <w:rsid w:val="00F93DDE"/>
    <w:rsid w:val="00F9461D"/>
    <w:rsid w:val="00F959D5"/>
    <w:rsid w:val="00FA00C8"/>
    <w:rsid w:val="00FA0E38"/>
    <w:rsid w:val="00FA256E"/>
    <w:rsid w:val="00FA3B3C"/>
    <w:rsid w:val="00FA4C58"/>
    <w:rsid w:val="00FA55AD"/>
    <w:rsid w:val="00FA783D"/>
    <w:rsid w:val="00FA7D6A"/>
    <w:rsid w:val="00FB1274"/>
    <w:rsid w:val="00FB176D"/>
    <w:rsid w:val="00FB272A"/>
    <w:rsid w:val="00FB3794"/>
    <w:rsid w:val="00FB41AB"/>
    <w:rsid w:val="00FB52B2"/>
    <w:rsid w:val="00FB5354"/>
    <w:rsid w:val="00FC1A5E"/>
    <w:rsid w:val="00FC4DC7"/>
    <w:rsid w:val="00FC5C8A"/>
    <w:rsid w:val="00FD0D28"/>
    <w:rsid w:val="00FD2AEF"/>
    <w:rsid w:val="00FD2DFF"/>
    <w:rsid w:val="00FD4070"/>
    <w:rsid w:val="00FD59FC"/>
    <w:rsid w:val="00FD6D5D"/>
    <w:rsid w:val="00FD7C16"/>
    <w:rsid w:val="00FE01FE"/>
    <w:rsid w:val="00FE0A88"/>
    <w:rsid w:val="00FE3643"/>
    <w:rsid w:val="00FE44A6"/>
    <w:rsid w:val="00FE5336"/>
    <w:rsid w:val="00FE75D8"/>
    <w:rsid w:val="00FF191A"/>
    <w:rsid w:val="00FF2A02"/>
    <w:rsid w:val="00FF5A32"/>
    <w:rsid w:val="00FF6A65"/>
    <w:rsid w:val="00FF72F7"/>
    <w:rsid w:val="00FF7767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FFF17A"/>
  <w15:chartTrackingRefBased/>
  <w15:docId w15:val="{BB037DFF-675A-4584-90D6-1642F469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el2">
    <w:name w:val="titel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semiHidden/>
    <w:unhideWhenUsed/>
    <w:rsid w:val="00231E43"/>
    <w:rPr>
      <w:color w:val="0000FF"/>
      <w:u w:val="single"/>
    </w:rPr>
  </w:style>
  <w:style w:type="paragraph" w:customStyle="1" w:styleId="indledning2">
    <w:name w:val="indledning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gruppeoverskrift">
    <w:name w:val="paragrafgruppeoverskrift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DefaultParagraphFont"/>
    <w:rsid w:val="00231E43"/>
  </w:style>
  <w:style w:type="paragraph" w:customStyle="1" w:styleId="paragraf">
    <w:name w:val="paragraf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DefaultParagraphFont"/>
    <w:rsid w:val="00231E43"/>
  </w:style>
  <w:style w:type="character" w:customStyle="1" w:styleId="subscript">
    <w:name w:val="subscript"/>
    <w:basedOn w:val="DefaultParagraphFont"/>
    <w:rsid w:val="00231E43"/>
  </w:style>
  <w:style w:type="paragraph" w:customStyle="1" w:styleId="stk2">
    <w:name w:val="stk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DefaultParagraphFont"/>
    <w:rsid w:val="00231E43"/>
  </w:style>
  <w:style w:type="paragraph" w:customStyle="1" w:styleId="liste1">
    <w:name w:val="liste1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DefaultParagraphFont"/>
    <w:rsid w:val="00231E43"/>
  </w:style>
  <w:style w:type="paragraph" w:customStyle="1" w:styleId="givet">
    <w:name w:val="givet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">
    <w:name w:val="bilag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tekst">
    <w:name w:val="bilagtekst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bold">
    <w:name w:val="bold"/>
    <w:basedOn w:val="DefaultParagraphFont"/>
    <w:rsid w:val="00231E43"/>
  </w:style>
  <w:style w:type="paragraph" w:customStyle="1" w:styleId="fodnote">
    <w:name w:val="fodnote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4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4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6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2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7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5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02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12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1976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060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14751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9423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07309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453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9823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4210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76127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582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8546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0671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94842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204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5407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5411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86794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0176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5184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7566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30563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00791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145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88992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88310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58374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0089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82560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1311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6248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71739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55520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68803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312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270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58915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417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7941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6782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41225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8774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36572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65384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9277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7094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0308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4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997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9655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0792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499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8241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7207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6619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6130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9111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3139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0075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7924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622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8583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26919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15772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6555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3532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65091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0330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6319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909</Words>
  <Characters>5183</Characters>
  <Application>Microsoft Office Word</Application>
  <DocSecurity>0</DocSecurity>
  <Lines>43</Lines>
  <Paragraphs>12</Paragraphs>
  <ScaleCrop>false</ScaleCrop>
  <Company>Statens It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Marie Baad Jensen</dc:creator>
  <cp:keywords/>
  <dc:description/>
  <cp:lastModifiedBy>Dimitris Dimitriadis</cp:lastModifiedBy>
  <cp:revision>2</cp:revision>
  <dcterms:created xsi:type="dcterms:W3CDTF">2021-06-30T11:09:00Z</dcterms:created>
  <dcterms:modified xsi:type="dcterms:W3CDTF">2021-08-12T10:28:00Z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