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09EA1E0A"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SL- ------ 20200804 --- --- FINAL </w:t>
      </w:r>
    </w:p>
    <w:p w14:paraId="224AC7A4" w14:textId="77777777" w:rsidR="00243319" w:rsidRPr="00FB11F1" w:rsidRDefault="00243319" w:rsidP="00243319">
      <w:pPr>
        <w:pStyle w:val="LLMinisterionAsetus"/>
      </w:pPr>
      <w:r>
        <w:t>7/19</w:t>
      </w:r>
    </w:p>
    <w:p w14:paraId="14175602" w14:textId="77777777" w:rsidR="006A1A37" w:rsidRDefault="006A1A37" w:rsidP="00550738">
      <w:pPr>
        <w:pStyle w:val="LLMinisterionAsetus"/>
      </w:pPr>
      <w:r>
        <w:t>Uredba Ministrstva za okolje</w:t>
      </w:r>
    </w:p>
    <w:p w14:paraId="4EBBBE25" w14:textId="243DA883" w:rsidR="00716A6B" w:rsidRPr="003E26AD" w:rsidRDefault="008D4D36" w:rsidP="00550738">
      <w:pPr>
        <w:pStyle w:val="LLNormaali"/>
        <w:jc w:val="center"/>
        <w:rPr>
          <w:b/>
        </w:rPr>
      </w:pPr>
      <w:r>
        <w:rPr>
          <w:b/>
        </w:rPr>
        <w:t>o tipski odobritvi vodovodnih priključkov, ki se uporabljajo za vodovodne napeljave znotraj stavb</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S sklepom Ministrstva za okolje se v skladu z oddelkom 6(3), oddelkom 9(2) in oddelkom 10(3) Zakona o tipski odobritvi nekaterih gradbenih proizvodov (954/2012) določa naslednje:</w:t>
      </w:r>
    </w:p>
    <w:p w14:paraId="1005B5A2" w14:textId="77777777" w:rsidR="006A1A37" w:rsidRDefault="006A1A37" w:rsidP="00550738">
      <w:pPr>
        <w:pStyle w:val="LLPykala"/>
        <w:keepNext/>
        <w:keepLines/>
        <w:spacing w:before="240" w:after="240"/>
      </w:pPr>
      <w:r>
        <w:t>Oddelek 1</w:t>
      </w:r>
    </w:p>
    <w:p w14:paraId="4615D2A1" w14:textId="526C32F6" w:rsidR="006A1A37" w:rsidRDefault="006A1A37" w:rsidP="00550738">
      <w:pPr>
        <w:pStyle w:val="LLPykalanOtsikko"/>
        <w:keepNext/>
        <w:keepLines/>
        <w:spacing w:after="240"/>
      </w:pPr>
      <w:r>
        <w:t>Področje uporabe</w:t>
      </w:r>
    </w:p>
    <w:p w14:paraId="206086D2" w14:textId="6F2CD699" w:rsidR="00501DF5" w:rsidRDefault="002D7E58" w:rsidP="00CC2462">
      <w:pPr>
        <w:pStyle w:val="LLJohtolauseKappaleet"/>
      </w:pPr>
      <w:r>
        <w:t>Ta uredba se nanaša na zahteve za tipsko odobritev vodovodnih priključkov, ki se uporabljajo za prenos pitne vode in gospodinjske tople vode v stavbah in nepremičninah.</w:t>
      </w:r>
    </w:p>
    <w:p w14:paraId="06E4F34E" w14:textId="77777777" w:rsidR="006A1A37" w:rsidRDefault="006A1A37" w:rsidP="00550738">
      <w:pPr>
        <w:pStyle w:val="LLPykala"/>
        <w:keepNext/>
        <w:keepLines/>
        <w:spacing w:before="240" w:after="240"/>
      </w:pPr>
      <w:r>
        <w:t>Oddelek 2</w:t>
      </w:r>
    </w:p>
    <w:p w14:paraId="1856AE09" w14:textId="77777777" w:rsidR="006A1A37" w:rsidRDefault="006A1A37" w:rsidP="00550738">
      <w:pPr>
        <w:pStyle w:val="LLPykalanOtsikko"/>
        <w:keepNext/>
        <w:keepLines/>
        <w:spacing w:after="240"/>
      </w:pPr>
      <w:r>
        <w:t>Opredelitev pojmov</w:t>
      </w:r>
    </w:p>
    <w:p w14:paraId="1DF8779F" w14:textId="3B5661B8" w:rsidR="00AD3350" w:rsidRDefault="00AD3350" w:rsidP="00CC2462">
      <w:pPr>
        <w:pStyle w:val="LLJohtolauseKappaleet"/>
        <w:keepNext/>
        <w:keepLines/>
      </w:pPr>
      <w:r>
        <w:t>Za namene te uredbe:</w:t>
      </w:r>
    </w:p>
    <w:p w14:paraId="505F59AC" w14:textId="29B69DF8" w:rsidR="00A85386" w:rsidRPr="0008438B" w:rsidRDefault="00501DF5" w:rsidP="00CC2462">
      <w:pPr>
        <w:pStyle w:val="LLJohtolauseKappaleet"/>
      </w:pPr>
      <w:r>
        <w:rPr>
          <w:i/>
        </w:rPr>
        <w:t>(1) Regulacijski ventil vodovodnega priključka</w:t>
      </w:r>
      <w:r>
        <w:t xml:space="preserve"> pomeni kombinacijo zapiralnega elementa, pogonskega mehanizma in aktivatorja. Zapiralni element omogoča oziroma preprečuje pretok vode skozi vodovodni priključek. Zapiralni element upravlja aktivator s pomočjo pogonskega mehanizma. Zapiralni element se lahko upravlja ročno ali elektronsko.</w:t>
      </w:r>
    </w:p>
    <w:p w14:paraId="7500037B" w14:textId="190A78B2" w:rsidR="00D72775" w:rsidRDefault="00501DF5" w:rsidP="00CC2462">
      <w:pPr>
        <w:pStyle w:val="LLJohtolauseKappaleet"/>
      </w:pPr>
      <w:r>
        <w:rPr>
          <w:i/>
        </w:rPr>
        <w:t>(2) Elektronski vodovodni priključek</w:t>
      </w:r>
      <w:r>
        <w:t xml:space="preserve"> pomeni pipo z elektronsko upravljanim regulacijskim ventilom.</w:t>
      </w:r>
    </w:p>
    <w:p w14:paraId="3CD39F74" w14:textId="77777777" w:rsidR="006A1A37" w:rsidRPr="00CF6EB7" w:rsidRDefault="006A1A37" w:rsidP="00550738">
      <w:pPr>
        <w:pStyle w:val="LLPykala"/>
        <w:keepNext/>
        <w:keepLines/>
        <w:spacing w:before="240" w:after="240"/>
      </w:pPr>
      <w:r>
        <w:t>Oddelek 3</w:t>
      </w:r>
    </w:p>
    <w:p w14:paraId="1D98F46B" w14:textId="41C504BA" w:rsidR="002D7E58" w:rsidRPr="002D7E58" w:rsidRDefault="00AD3350" w:rsidP="00550738">
      <w:pPr>
        <w:pStyle w:val="LLPykalanOtsikko"/>
        <w:keepNext/>
        <w:keepLines/>
        <w:spacing w:after="240"/>
        <w:rPr>
          <w:i w:val="0"/>
        </w:rPr>
      </w:pPr>
      <w:r>
        <w:t>Izjava o skladnosti</w:t>
      </w:r>
    </w:p>
    <w:p w14:paraId="0FE56718" w14:textId="19BF72C6" w:rsidR="002D7E58" w:rsidRDefault="002D7E58" w:rsidP="00CC2462">
      <w:pPr>
        <w:pStyle w:val="LLJohtolauseKappaleet"/>
      </w:pPr>
      <w:r>
        <w:t>Tipska odobritev dokazuje, da vodovodni priključki izpolnjujejo veljavne bistvene tehnične zahteve iz oddelka 117 c Zakona o rabi zemljišč in gradnji (132/1999), kakor je bil spremenjen z Zakonom 958/2012 , in zahteve, določene na njegovi podlagi.</w:t>
      </w:r>
    </w:p>
    <w:p w14:paraId="171CD7AA" w14:textId="60A2D65E" w:rsidR="006A1A37" w:rsidRDefault="006A1A37" w:rsidP="00550738">
      <w:pPr>
        <w:pStyle w:val="LLPykala"/>
        <w:keepNext/>
        <w:keepLines/>
        <w:spacing w:before="240" w:after="240"/>
      </w:pPr>
      <w:r>
        <w:t>Oddelek 4</w:t>
      </w:r>
    </w:p>
    <w:p w14:paraId="488A5D70" w14:textId="77777777" w:rsidR="002D7E58" w:rsidRPr="002D7E58" w:rsidRDefault="002D7E58" w:rsidP="00550738">
      <w:pPr>
        <w:pStyle w:val="LLPykalanOtsikko"/>
        <w:keepNext/>
        <w:keepLines/>
        <w:spacing w:after="240"/>
        <w:rPr>
          <w:i w:val="0"/>
        </w:rPr>
      </w:pPr>
      <w:r>
        <w:t>Primernost za prenos pitne vode</w:t>
      </w:r>
    </w:p>
    <w:p w14:paraId="7F2F72DE" w14:textId="1BE2D60C" w:rsidR="00A536E0" w:rsidRPr="00CC2462" w:rsidRDefault="00244ED7" w:rsidP="00CC2462">
      <w:pPr>
        <w:pStyle w:val="LLJohtolauseKappaleet"/>
      </w:pPr>
      <w:r>
        <w:t xml:space="preserve">Akreditiran preskusni laboratorij preskusi specifikacije o materialu vodovodnih priključkov. </w:t>
      </w:r>
    </w:p>
    <w:p w14:paraId="157BE83C" w14:textId="59209D09" w:rsidR="00B41701" w:rsidRPr="00CC2462" w:rsidRDefault="00B41701" w:rsidP="00CC2462">
      <w:pPr>
        <w:pStyle w:val="LLJohtolauseKappaleet"/>
      </w:pPr>
      <w:r>
        <w:t xml:space="preserve">Akreditiran preskusni laboratorij preskusi vsebnost svinca, ki se izluži v preskusno vodo iz konstrukcijskega materiala vodovodnega priključka, s 26-tedenskim </w:t>
      </w:r>
      <w:proofErr w:type="spellStart"/>
      <w:r>
        <w:t>izluževalnim</w:t>
      </w:r>
      <w:proofErr w:type="spellEnd"/>
      <w:r>
        <w:t xml:space="preserve"> preskusom, ali pa se izluževanje svinca in kadmija iz vodovodnih priključkov preskusi v desetdnevnem preskusnem obdobju v skladu s Prilogo 1.</w:t>
      </w:r>
    </w:p>
    <w:p w14:paraId="23689952" w14:textId="77777777" w:rsidR="006A1A37" w:rsidRDefault="006A1A37" w:rsidP="00550738">
      <w:pPr>
        <w:pStyle w:val="LLPykala"/>
        <w:keepNext/>
        <w:keepLines/>
        <w:spacing w:before="240" w:after="240"/>
      </w:pPr>
      <w:r>
        <w:lastRenderedPageBreak/>
        <w:t>Oddelek 5</w:t>
      </w:r>
    </w:p>
    <w:p w14:paraId="7ECEA213" w14:textId="4DC1AD9A" w:rsidR="002D7E58" w:rsidRPr="000F06E3" w:rsidRDefault="00740D24" w:rsidP="00550738">
      <w:pPr>
        <w:pStyle w:val="LLPykalanOtsikko"/>
        <w:keepNext/>
        <w:keepLines/>
        <w:spacing w:after="240"/>
        <w:rPr>
          <w:i w:val="0"/>
        </w:rPr>
      </w:pPr>
      <w:r>
        <w:t xml:space="preserve">Kemijska sestava in odpornost kovinskih delov proti koroziji </w:t>
      </w:r>
    </w:p>
    <w:p w14:paraId="1B1D62B3" w14:textId="3F7F303B" w:rsidR="00B41701" w:rsidRDefault="00B41701" w:rsidP="00CC2462">
      <w:pPr>
        <w:pStyle w:val="LLJohtolauseKappaleet"/>
      </w:pPr>
      <w:r>
        <w:t>Akreditiran preskusni laboratorij analizira kemijsko sestavo vodovodnih priključkov. Sestava mora ustrezati sestavi, ki jo je navedel proizvajalec.</w:t>
      </w:r>
    </w:p>
    <w:p w14:paraId="0D6A18CF" w14:textId="01D9E64D" w:rsidR="00B41701" w:rsidRDefault="00B41701" w:rsidP="00CC2462">
      <w:pPr>
        <w:pStyle w:val="LLJohtolauseKappaleet"/>
      </w:pPr>
      <w:r>
        <w:t xml:space="preserve">Akreditiran preskusni laboratorij izmeri odpornost vodovodnega priključka na </w:t>
      </w:r>
      <w:proofErr w:type="spellStart"/>
      <w:r>
        <w:t>razcinkanje</w:t>
      </w:r>
      <w:proofErr w:type="spellEnd"/>
      <w:r>
        <w:t>, če je vsebnost cinka v sestavi vodovodnega priključka več kot 15-odstotna.</w:t>
      </w:r>
    </w:p>
    <w:p w14:paraId="64904D08" w14:textId="77777777" w:rsidR="003A4E6A" w:rsidRPr="007C4179" w:rsidRDefault="00B72F51" w:rsidP="00550738">
      <w:pPr>
        <w:pStyle w:val="LLPykala"/>
        <w:keepNext/>
        <w:keepLines/>
        <w:spacing w:before="240" w:after="240"/>
      </w:pPr>
      <w:r>
        <w:t>Oddelek 6</w:t>
      </w:r>
    </w:p>
    <w:p w14:paraId="0EE80EAA" w14:textId="77777777" w:rsidR="003A4E6A" w:rsidRPr="007E7C2D" w:rsidRDefault="00A54D43" w:rsidP="00550738">
      <w:pPr>
        <w:pStyle w:val="LLPykalanOtsikko"/>
        <w:keepNext/>
        <w:keepLines/>
        <w:spacing w:after="240"/>
        <w:rPr>
          <w:i w:val="0"/>
        </w:rPr>
      </w:pPr>
      <w:r>
        <w:t>Zunanja površina</w:t>
      </w:r>
    </w:p>
    <w:p w14:paraId="18B0D269" w14:textId="7FCC9FC4" w:rsidR="00C15999" w:rsidRDefault="00E46BEE" w:rsidP="00CC2462">
      <w:pPr>
        <w:pStyle w:val="LLJohtolauseKappaleet"/>
      </w:pPr>
      <w:r>
        <w:t xml:space="preserve">Akreditiran preskusni laboratorij vizualno pregleda zunanjo površino vodovodnih priključkov. </w:t>
      </w:r>
    </w:p>
    <w:p w14:paraId="191BE3E5" w14:textId="1994090E" w:rsidR="009E4F60" w:rsidRDefault="009E4F60" w:rsidP="00CC2462">
      <w:pPr>
        <w:pStyle w:val="LLJohtolauseKappaleet"/>
      </w:pPr>
      <w:r>
        <w:t>Akreditiran preskusni laboratorij preveri rezultate meritev površinske temperature regulacijskega ventila vodovodnega priključka, ki jo navede proizvajalec.</w:t>
      </w:r>
    </w:p>
    <w:p w14:paraId="1E18D876" w14:textId="77777777" w:rsidR="00A54D43" w:rsidRPr="007C4179" w:rsidRDefault="00A54D43" w:rsidP="00550738">
      <w:pPr>
        <w:pStyle w:val="LLPykala"/>
        <w:keepNext/>
        <w:keepLines/>
        <w:spacing w:before="240" w:after="240"/>
      </w:pPr>
      <w:r>
        <w:t>Oddelek 7</w:t>
      </w:r>
    </w:p>
    <w:p w14:paraId="3A34F58B" w14:textId="77777777" w:rsidR="00A54D43" w:rsidRPr="006E6A64" w:rsidRDefault="00A54D43" w:rsidP="00550738">
      <w:pPr>
        <w:pStyle w:val="LLPykalanOtsikko"/>
        <w:keepNext/>
        <w:keepLines/>
        <w:spacing w:after="240"/>
        <w:rPr>
          <w:i w:val="0"/>
        </w:rPr>
      </w:pPr>
      <w:r>
        <w:t>Namestitev in delovanje</w:t>
      </w:r>
    </w:p>
    <w:p w14:paraId="5303EEBC" w14:textId="2B8D9374" w:rsidR="00C15999" w:rsidRDefault="003C71ED" w:rsidP="00CC2462">
      <w:pPr>
        <w:pStyle w:val="LLJohtolauseKappaleet"/>
      </w:pPr>
      <w:r>
        <w:t>Akreditiran preskusni laboratorij pregleda namestitev in delovanje vodovodnih priključkov. Vodovodni priključki se namestijo v skladu s proizvajalčevimi navodili za namestitev. Vodovodni priključki delujejo v skladu z navodili proizvajalca. Delovanje elektronske pipe se preveri vsaj dvakrat.</w:t>
      </w:r>
    </w:p>
    <w:p w14:paraId="0787F8ED" w14:textId="77777777" w:rsidR="00ED6D8C" w:rsidRPr="00C574E0" w:rsidRDefault="00ED6D8C" w:rsidP="00550738">
      <w:pPr>
        <w:pStyle w:val="LLPykala"/>
        <w:keepNext/>
        <w:keepLines/>
        <w:spacing w:before="240" w:after="240"/>
      </w:pPr>
      <w:r>
        <w:t>Oddelek 8</w:t>
      </w:r>
    </w:p>
    <w:p w14:paraId="06655B7E" w14:textId="77777777" w:rsidR="00ED6D8C" w:rsidRPr="00C574E0" w:rsidRDefault="00ED6D8C" w:rsidP="00550738">
      <w:pPr>
        <w:pStyle w:val="LLPykalanOtsikko"/>
        <w:keepNext/>
        <w:keepLines/>
        <w:spacing w:after="240"/>
      </w:pPr>
      <w:r>
        <w:t>Elektronske pipe</w:t>
      </w:r>
    </w:p>
    <w:p w14:paraId="79739782" w14:textId="380F9E5A" w:rsidR="00ED6D8C" w:rsidRPr="00C15999" w:rsidRDefault="00131B1F" w:rsidP="00CC2462">
      <w:pPr>
        <w:pStyle w:val="LLJohtolauseKappaleet"/>
      </w:pPr>
      <w:r>
        <w:t xml:space="preserve">Akreditiran preskusni laboratorij pregleda elektronske enote elektronske pipe. V elektronski pipi se pregleda raven zaščite elektronske enote, ki jo navede proizvajalec. </w:t>
      </w:r>
    </w:p>
    <w:p w14:paraId="628852E8" w14:textId="75A18946" w:rsidR="00CC3D71" w:rsidRPr="00CC2462" w:rsidRDefault="00ED6D8C" w:rsidP="00CC2462">
      <w:pPr>
        <w:pStyle w:val="LLJohtolauseKappaleet"/>
      </w:pPr>
      <w:r>
        <w:t>V okviru pregleda pipe, ki je priključena na električno omrežje, se zagotovi, da se dovod vode v primeru izpada električne energije prekine.</w:t>
      </w:r>
    </w:p>
    <w:p w14:paraId="22E171B7" w14:textId="29ACB360" w:rsidR="003B65C9" w:rsidRPr="00CC2462" w:rsidRDefault="00ED6D8C" w:rsidP="00CC2462">
      <w:pPr>
        <w:pStyle w:val="LLJohtolauseKappaleet"/>
      </w:pPr>
      <w:r>
        <w:t>V okviru pregleda baterijske pipe se zagotovi, da pipa ostane zaprta, če napetost baterije pade pod delovno omejitev. Preskus se izvede z zamenjavo baterije z napajanjem, ki omogoča nastavitev izhodne napetosti.</w:t>
      </w:r>
    </w:p>
    <w:p w14:paraId="307ADAA9" w14:textId="77777777" w:rsidR="006A1A37" w:rsidRDefault="00ED6D8C" w:rsidP="00550738">
      <w:pPr>
        <w:pStyle w:val="LLPykala"/>
        <w:keepNext/>
        <w:keepLines/>
        <w:spacing w:before="240" w:after="240"/>
      </w:pPr>
      <w:r>
        <w:t>Oddelek 9</w:t>
      </w:r>
    </w:p>
    <w:p w14:paraId="742359D6" w14:textId="77777777" w:rsidR="002D7E58" w:rsidRPr="002D7E58" w:rsidRDefault="00A55B06" w:rsidP="00550738">
      <w:pPr>
        <w:pStyle w:val="LLPykalanOtsikko"/>
        <w:keepNext/>
        <w:keepLines/>
        <w:spacing w:after="240"/>
        <w:rPr>
          <w:i w:val="0"/>
        </w:rPr>
      </w:pPr>
      <w:r>
        <w:t>Dimenzije</w:t>
      </w:r>
    </w:p>
    <w:p w14:paraId="520DBAA4" w14:textId="4D9F2959" w:rsidR="00B72F51" w:rsidRDefault="00BD2739" w:rsidP="00550738">
      <w:pPr>
        <w:pStyle w:val="LLNormaali"/>
        <w:ind w:firstLine="170"/>
        <w:jc w:val="both"/>
      </w:pPr>
      <w:r>
        <w:t xml:space="preserve">Akreditiran preskusni laboratorij pregleda strukturne in priključne dimenzije vodovodnih priključkov. </w:t>
      </w:r>
    </w:p>
    <w:p w14:paraId="594A7112" w14:textId="77777777" w:rsidR="006A1A37" w:rsidRDefault="00ED6D8C" w:rsidP="00550738">
      <w:pPr>
        <w:pStyle w:val="LLPykala"/>
        <w:keepNext/>
        <w:keepLines/>
        <w:spacing w:before="240" w:after="240"/>
      </w:pPr>
      <w:r>
        <w:t>Oddelek 10</w:t>
      </w:r>
    </w:p>
    <w:p w14:paraId="17E0A179" w14:textId="77777777" w:rsidR="002D7E58" w:rsidRPr="002D7E58" w:rsidRDefault="002D7E58" w:rsidP="00550738">
      <w:pPr>
        <w:pStyle w:val="LLPykalanOtsikko"/>
        <w:keepNext/>
        <w:keepLines/>
        <w:spacing w:after="240"/>
        <w:rPr>
          <w:i w:val="0"/>
        </w:rPr>
      </w:pPr>
      <w:r>
        <w:t>Neprepustnost</w:t>
      </w:r>
    </w:p>
    <w:p w14:paraId="61ADC219" w14:textId="563C70EC" w:rsidR="00C15999" w:rsidRDefault="00BD2739" w:rsidP="00CC2462">
      <w:pPr>
        <w:pStyle w:val="LLJohtolauseKappaleet"/>
      </w:pPr>
      <w:r>
        <w:t xml:space="preserve">Akreditiran preskusni laboratorij preskusi vodovodne priključke glede uhajanj. Neprepustnost se preskusi z uporabo hladne vode s temperaturo 25 ± 5 °C, kot je prikazano v preglednici 1. Vodovodni priključek je med preskusom zatesnjen. </w:t>
      </w:r>
      <w:proofErr w:type="spellStart"/>
      <w:r>
        <w:t>Preusmernik</w:t>
      </w:r>
      <w:proofErr w:type="spellEnd"/>
      <w:r>
        <w:t xml:space="preserve"> deluje v skladu s predvideno uporabo, uporabljena vodna pot pa med drugo potjo pretoka ne sme puščati. Vodovodni priključki ne smejo imeti navzkrižnega toka.</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lastRenderedPageBreak/>
        <w:t>Preglednica 1. Preskusi neprepustnosti vodovodnega priključka.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51"/>
        <w:gridCol w:w="2741"/>
        <w:gridCol w:w="794"/>
        <w:gridCol w:w="1554"/>
        <w:gridCol w:w="896"/>
        <w:gridCol w:w="900"/>
      </w:tblGrid>
      <w:tr w:rsidR="00070D75" w:rsidRPr="0065423A" w14:paraId="06B332D2" w14:textId="77777777" w:rsidTr="007D6756">
        <w:trPr>
          <w:cantSplit/>
        </w:trPr>
        <w:tc>
          <w:tcPr>
            <w:tcW w:w="2542"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Preskusna enota</w:t>
            </w:r>
          </w:p>
        </w:tc>
        <w:tc>
          <w:tcPr>
            <w:tcW w:w="408"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Zapiralni element</w:t>
            </w:r>
          </w:p>
        </w:tc>
        <w:tc>
          <w:tcPr>
            <w:tcW w:w="946"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Izhodna odprtina</w:t>
            </w:r>
          </w:p>
        </w:tc>
        <w:tc>
          <w:tcPr>
            <w:tcW w:w="551"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Tlak</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v barih</w:t>
            </w:r>
          </w:p>
        </w:tc>
        <w:tc>
          <w:tcPr>
            <w:tcW w:w="553"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Preskusni čas</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v sekundah</w:t>
            </w:r>
          </w:p>
        </w:tc>
      </w:tr>
      <w:tr w:rsidR="006F107B" w:rsidRPr="0065423A" w14:paraId="6E016CDD" w14:textId="77777777" w:rsidTr="007D6756">
        <w:trPr>
          <w:cantSplit/>
        </w:trPr>
        <w:tc>
          <w:tcPr>
            <w:tcW w:w="884"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Regulacijski ventil in ogrodje</w:t>
            </w:r>
          </w:p>
        </w:tc>
        <w:tc>
          <w:tcPr>
            <w:tcW w:w="1658"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poti pretoka do zapiralnega elementa</w:t>
            </w:r>
          </w:p>
        </w:tc>
        <w:tc>
          <w:tcPr>
            <w:tcW w:w="408"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zaprt</w:t>
            </w:r>
          </w:p>
        </w:tc>
        <w:tc>
          <w:tcPr>
            <w:tcW w:w="946"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odprt</w:t>
            </w:r>
          </w:p>
        </w:tc>
        <w:tc>
          <w:tcPr>
            <w:tcW w:w="551"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 ± 0,5</w:t>
            </w:r>
          </w:p>
        </w:tc>
        <w:tc>
          <w:tcPr>
            <w:tcW w:w="553"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 ± 5</w:t>
            </w:r>
          </w:p>
        </w:tc>
      </w:tr>
      <w:tr w:rsidR="006F107B" w:rsidRPr="0065423A" w14:paraId="693E0DE8" w14:textId="77777777" w:rsidTr="007D6756">
        <w:trPr>
          <w:cantSplit/>
        </w:trPr>
        <w:tc>
          <w:tcPr>
            <w:tcW w:w="884"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58"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poti pretoka po zapiralnem elementu</w:t>
            </w:r>
          </w:p>
        </w:tc>
        <w:tc>
          <w:tcPr>
            <w:tcW w:w="408"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odprt</w:t>
            </w:r>
          </w:p>
        </w:tc>
        <w:tc>
          <w:tcPr>
            <w:tcW w:w="946"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zaprt</w:t>
            </w:r>
          </w:p>
        </w:tc>
        <w:tc>
          <w:tcPr>
            <w:tcW w:w="551"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 ± 0,2 </w:t>
            </w:r>
          </w:p>
        </w:tc>
        <w:tc>
          <w:tcPr>
            <w:tcW w:w="553"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7D6756">
        <w:trPr>
          <w:cantSplit/>
        </w:trPr>
        <w:tc>
          <w:tcPr>
            <w:tcW w:w="884"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58"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408"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odprt</w:t>
            </w:r>
          </w:p>
        </w:tc>
        <w:tc>
          <w:tcPr>
            <w:tcW w:w="946"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zaprt</w:t>
            </w:r>
          </w:p>
        </w:tc>
        <w:tc>
          <w:tcPr>
            <w:tcW w:w="551"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3"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7D6756">
        <w:trPr>
          <w:cantSplit/>
        </w:trPr>
        <w:tc>
          <w:tcPr>
            <w:tcW w:w="884"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Preusmernik</w:t>
            </w:r>
            <w:proofErr w:type="spellEnd"/>
            <w:r>
              <w:rPr>
                <w:rFonts w:ascii="Times New Roman" w:hAnsi="Times New Roman"/>
                <w:color w:val="000000"/>
                <w:sz w:val="20"/>
              </w:rPr>
              <w:t>, ročna ponastavitev</w:t>
            </w:r>
          </w:p>
        </w:tc>
        <w:tc>
          <w:tcPr>
            <w:tcW w:w="2066"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 xml:space="preserve">zapiralni element odprt, </w:t>
            </w:r>
            <w:proofErr w:type="spellStart"/>
            <w:r>
              <w:rPr>
                <w:rFonts w:ascii="Times New Roman" w:hAnsi="Times New Roman"/>
                <w:color w:val="000000"/>
                <w:sz w:val="20"/>
              </w:rPr>
              <w:t>preusmernik</w:t>
            </w:r>
            <w:proofErr w:type="spellEnd"/>
            <w:r>
              <w:rPr>
                <w:rFonts w:ascii="Times New Roman" w:hAnsi="Times New Roman"/>
                <w:color w:val="000000"/>
                <w:sz w:val="20"/>
              </w:rPr>
              <w:t xml:space="preserve"> v položaju kadi</w:t>
            </w:r>
          </w:p>
        </w:tc>
        <w:tc>
          <w:tcPr>
            <w:tcW w:w="946"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zaprt/ S: odprt</w:t>
            </w:r>
          </w:p>
        </w:tc>
        <w:tc>
          <w:tcPr>
            <w:tcW w:w="551"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 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3"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7D6756">
        <w:trPr>
          <w:cantSplit/>
        </w:trPr>
        <w:tc>
          <w:tcPr>
            <w:tcW w:w="884"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zapiralni element odprt, </w:t>
            </w:r>
            <w:proofErr w:type="spellStart"/>
            <w:r>
              <w:rPr>
                <w:rFonts w:ascii="Times New Roman" w:hAnsi="Times New Roman"/>
                <w:color w:val="000000"/>
                <w:sz w:val="20"/>
              </w:rPr>
              <w:t>preusmernik</w:t>
            </w:r>
            <w:proofErr w:type="spellEnd"/>
            <w:r>
              <w:rPr>
                <w:rFonts w:ascii="Times New Roman" w:hAnsi="Times New Roman"/>
                <w:color w:val="000000"/>
                <w:sz w:val="20"/>
              </w:rPr>
              <w:t xml:space="preserve"> v položaju prhe</w:t>
            </w:r>
          </w:p>
        </w:tc>
        <w:tc>
          <w:tcPr>
            <w:tcW w:w="946"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zaprt/A: odprt</w:t>
            </w:r>
          </w:p>
        </w:tc>
        <w:tc>
          <w:tcPr>
            <w:tcW w:w="551"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3"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7D6756">
        <w:trPr>
          <w:cantSplit/>
        </w:trPr>
        <w:tc>
          <w:tcPr>
            <w:tcW w:w="884"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Preusmernik</w:t>
            </w:r>
            <w:proofErr w:type="spellEnd"/>
            <w:r>
              <w:rPr>
                <w:rFonts w:ascii="Times New Roman" w:hAnsi="Times New Roman"/>
                <w:color w:val="000000"/>
                <w:sz w:val="20"/>
              </w:rPr>
              <w:t>, samodejna ponastavitev</w:t>
            </w: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zapiralni element odprt, </w:t>
            </w:r>
            <w:proofErr w:type="spellStart"/>
            <w:r>
              <w:rPr>
                <w:rFonts w:ascii="Times New Roman" w:hAnsi="Times New Roman"/>
                <w:color w:val="000000"/>
                <w:sz w:val="20"/>
              </w:rPr>
              <w:t>preusmernik</w:t>
            </w:r>
            <w:proofErr w:type="spellEnd"/>
            <w:r>
              <w:rPr>
                <w:rFonts w:ascii="Times New Roman" w:hAnsi="Times New Roman"/>
                <w:color w:val="000000"/>
                <w:sz w:val="20"/>
              </w:rPr>
              <w:t xml:space="preserve"> v položaju kadi</w:t>
            </w:r>
          </w:p>
        </w:tc>
        <w:tc>
          <w:tcPr>
            <w:tcW w:w="946"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oba odprta</w:t>
            </w:r>
          </w:p>
        </w:tc>
        <w:tc>
          <w:tcPr>
            <w:tcW w:w="551"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 ± 0,2</w:t>
            </w:r>
          </w:p>
        </w:tc>
        <w:tc>
          <w:tcPr>
            <w:tcW w:w="553"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7D6756">
        <w:trPr>
          <w:cantSplit/>
        </w:trPr>
        <w:tc>
          <w:tcPr>
            <w:tcW w:w="884"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zapiralni element odprt, </w:t>
            </w:r>
            <w:proofErr w:type="spellStart"/>
            <w:r>
              <w:rPr>
                <w:rFonts w:ascii="Times New Roman" w:hAnsi="Times New Roman"/>
                <w:color w:val="000000"/>
                <w:sz w:val="20"/>
              </w:rPr>
              <w:t>preusmernik</w:t>
            </w:r>
            <w:proofErr w:type="spellEnd"/>
            <w:r>
              <w:rPr>
                <w:rFonts w:ascii="Times New Roman" w:hAnsi="Times New Roman"/>
                <w:color w:val="000000"/>
                <w:sz w:val="20"/>
              </w:rPr>
              <w:t xml:space="preserve"> v položaju prhe</w:t>
            </w:r>
          </w:p>
        </w:tc>
        <w:tc>
          <w:tcPr>
            <w:tcW w:w="946"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 ± 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3"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7D6756">
        <w:trPr>
          <w:cantSplit/>
        </w:trPr>
        <w:tc>
          <w:tcPr>
            <w:tcW w:w="884"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zapiralni element zaprt</w:t>
            </w:r>
          </w:p>
        </w:tc>
        <w:tc>
          <w:tcPr>
            <w:tcW w:w="946"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3"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7D6756">
        <w:trPr>
          <w:cantSplit/>
        </w:trPr>
        <w:tc>
          <w:tcPr>
            <w:tcW w:w="884"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 xml:space="preserve">zapiralni element odprt, </w:t>
            </w:r>
            <w:proofErr w:type="spellStart"/>
            <w:r>
              <w:rPr>
                <w:rFonts w:ascii="Times New Roman" w:hAnsi="Times New Roman"/>
                <w:color w:val="000000"/>
                <w:sz w:val="20"/>
              </w:rPr>
              <w:t>preusmernik</w:t>
            </w:r>
            <w:proofErr w:type="spellEnd"/>
            <w:r>
              <w:rPr>
                <w:rFonts w:ascii="Times New Roman" w:hAnsi="Times New Roman"/>
                <w:color w:val="000000"/>
                <w:sz w:val="20"/>
              </w:rPr>
              <w:t xml:space="preserve"> v položaju kadi</w:t>
            </w:r>
          </w:p>
        </w:tc>
        <w:tc>
          <w:tcPr>
            <w:tcW w:w="946"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3"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7D6756">
        <w:trPr>
          <w:cantSplit/>
        </w:trPr>
        <w:tc>
          <w:tcPr>
            <w:tcW w:w="884"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Regulacijski ventil</w:t>
            </w:r>
          </w:p>
        </w:tc>
        <w:tc>
          <w:tcPr>
            <w:tcW w:w="1658"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navzkrižni pretok med vhodnimi priključki</w:t>
            </w:r>
          </w:p>
        </w:tc>
        <w:tc>
          <w:tcPr>
            <w:tcW w:w="408"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zaprt</w:t>
            </w:r>
          </w:p>
        </w:tc>
        <w:tc>
          <w:tcPr>
            <w:tcW w:w="946"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odprt</w:t>
            </w:r>
          </w:p>
        </w:tc>
        <w:tc>
          <w:tcPr>
            <w:tcW w:w="551"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 ± 0,2</w:t>
            </w:r>
          </w:p>
        </w:tc>
        <w:tc>
          <w:tcPr>
            <w:tcW w:w="553"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kad, S = prha</w:t>
      </w:r>
    </w:p>
    <w:p w14:paraId="0623CC3A" w14:textId="4FC658A7" w:rsidR="002D7E58" w:rsidRDefault="00ED6D8C" w:rsidP="00550738">
      <w:pPr>
        <w:pStyle w:val="LLPykala"/>
        <w:keepNext/>
        <w:keepLines/>
        <w:spacing w:before="240" w:after="240"/>
      </w:pPr>
      <w:r>
        <w:t>Oddelek 11</w:t>
      </w:r>
    </w:p>
    <w:p w14:paraId="265E863E" w14:textId="77777777" w:rsidR="006D5BA9" w:rsidRPr="006D5BA9" w:rsidRDefault="006D5BA9" w:rsidP="00550738">
      <w:pPr>
        <w:pStyle w:val="LLPykalanOtsikko"/>
        <w:keepNext/>
        <w:keepLines/>
        <w:spacing w:after="240"/>
        <w:rPr>
          <w:i w:val="0"/>
        </w:rPr>
      </w:pPr>
      <w:r>
        <w:t>Tlačna trdnost</w:t>
      </w:r>
    </w:p>
    <w:p w14:paraId="1350C2B5" w14:textId="5C61C4DD" w:rsidR="006D5BA9" w:rsidRDefault="00C62FA4" w:rsidP="00CC2462">
      <w:pPr>
        <w:pStyle w:val="LLJohtolauseKappaleet"/>
      </w:pPr>
      <w:r>
        <w:t>Akreditiran preskusni laboratorij preskusi tlačno trdnost vodovodnih priključkov. Tlačni preskus se izvede z uporabo hladne vode s temperaturo 25 ± 5 °C, kot je prikazano v preglednici 2. Pri preskusu se ne smejo pojaviti trajne deformacije ali poškodbe vodovodnih priključkov.</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Preglednica 2. Tlačni preskus vodovodnih priključkov</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Preskusna enota</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Zapiralni element</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Odtok</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Tlak</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v barih</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Preskusni čas</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v sekundah</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Poti pretoka do zapiralnega elementa</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zaprt</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odprt</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 ± 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 ± 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Poti pretoka po zapiralnem elementu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odprt</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odprt</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 ± 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 ± 5</w:t>
            </w:r>
          </w:p>
        </w:tc>
      </w:tr>
    </w:tbl>
    <w:p w14:paraId="3BF35B64" w14:textId="77777777" w:rsidR="004671DD" w:rsidRDefault="00F162EC" w:rsidP="00550738">
      <w:pPr>
        <w:pStyle w:val="LLPykala"/>
        <w:keepNext/>
        <w:keepLines/>
        <w:spacing w:before="240" w:after="240"/>
      </w:pPr>
      <w:r>
        <w:t>Oddelek 12</w:t>
      </w:r>
    </w:p>
    <w:p w14:paraId="0205EB8A" w14:textId="4421EA39" w:rsidR="004671DD" w:rsidRDefault="009A1BF1" w:rsidP="00550738">
      <w:pPr>
        <w:pStyle w:val="LLPykalanOtsikko"/>
        <w:keepNext/>
        <w:keepLines/>
        <w:spacing w:after="240"/>
        <w:rPr>
          <w:i w:val="0"/>
        </w:rPr>
      </w:pPr>
      <w:r>
        <w:t>Standardna stopnja pretoka</w:t>
      </w:r>
    </w:p>
    <w:p w14:paraId="7FB957B1" w14:textId="568C8F98" w:rsidR="00C15999" w:rsidRPr="00CC2462" w:rsidRDefault="00F0784A" w:rsidP="00CC2462">
      <w:pPr>
        <w:pStyle w:val="LLJohtolauseKappaleet"/>
      </w:pPr>
      <w:r>
        <w:t>Akreditiran preskusni laboratorij preskusi standardno stopnjo pretoka v vodovodnih priključkih. Standardna stopnja pretoka se pregleda z uporabo preskusne opreme pod tlakom vode 3,0/+0,2 barov. Med preskusom je regulacijski ventil vodovodnega priključka popolnoma odprt. Pri vodovodnem priključku mešalnega tipa se standardna stopnja pretoka izmeri pri različnih temperaturah vode, kot sledi: hladna voda 10–15 °C, 34 °C, 38 °C, 44 °C in vroča voda 60–65 °C.</w:t>
      </w:r>
    </w:p>
    <w:p w14:paraId="4E5B34B1" w14:textId="77777777" w:rsidR="00D72775" w:rsidRDefault="00F162EC" w:rsidP="00550738">
      <w:pPr>
        <w:pStyle w:val="LLPykala"/>
        <w:keepNext/>
        <w:keepLines/>
        <w:spacing w:before="240" w:after="240"/>
      </w:pPr>
      <w:r>
        <w:lastRenderedPageBreak/>
        <w:t>Oddelek 13</w:t>
      </w:r>
    </w:p>
    <w:p w14:paraId="1C015992" w14:textId="77777777" w:rsidR="00D72775" w:rsidRDefault="00D72775" w:rsidP="00550738">
      <w:pPr>
        <w:pStyle w:val="LLPykalanOtsikko"/>
        <w:keepNext/>
        <w:keepLines/>
        <w:spacing w:after="240"/>
        <w:rPr>
          <w:i w:val="0"/>
        </w:rPr>
      </w:pPr>
      <w:r>
        <w:t>Nadzorne funkcije</w:t>
      </w:r>
    </w:p>
    <w:p w14:paraId="7AD605C2" w14:textId="2DEF9D5A" w:rsidR="00800AEA" w:rsidRPr="00CC2462" w:rsidRDefault="003F3666" w:rsidP="00CC2462">
      <w:pPr>
        <w:pStyle w:val="LLJohtolauseKappaleet"/>
      </w:pPr>
      <w:r>
        <w:t>Akreditiran preskusni laboratorij preskusi nadzorne funkcije vodovodnih priključkov mešalnega tipa. Preskus se izvede z uporabo preskusne opreme za vodovodne priključke pod tlakom vode 3,0/+0,2 barov Med preskušanjem se izvedejo preskusi iz preglednice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Preglednica 3. Preskušanje nadzornih funkcij vodovodnih priključkov.</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Preskus</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Zahteva</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Ročni mešalnik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Pipe za prho, </w:t>
            </w:r>
            <w:proofErr w:type="spellStart"/>
            <w:r>
              <w:rPr>
                <w:rFonts w:ascii="Times New Roman" w:hAnsi="Times New Roman"/>
                <w:sz w:val="20"/>
              </w:rPr>
              <w:t>Gv</w:t>
            </w:r>
            <w:proofErr w:type="spellEnd"/>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Druge pipe, </w:t>
            </w:r>
            <w:proofErr w:type="spellStart"/>
            <w:r>
              <w:rPr>
                <w:rFonts w:ascii="Times New Roman" w:hAnsi="Times New Roman"/>
                <w:sz w:val="20"/>
              </w:rPr>
              <w:t>Gv</w:t>
            </w:r>
            <w:proofErr w:type="spellEnd"/>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Temperatura mešane vode T</w:t>
            </w:r>
            <w:r>
              <w:rPr>
                <w:rFonts w:ascii="Times New Roman" w:hAnsi="Times New Roman"/>
                <w:sz w:val="20"/>
                <w:vertAlign w:val="subscript"/>
              </w:rPr>
              <w:t>s</w:t>
            </w:r>
            <w:r>
              <w:rPr>
                <w:rFonts w:ascii="Times New Roman" w:hAnsi="Times New Roman"/>
                <w:sz w:val="20"/>
              </w:rPr>
              <w:t>, nadzor občutljivosti med (T</w:t>
            </w:r>
            <w:r>
              <w:rPr>
                <w:rFonts w:ascii="Times New Roman" w:hAnsi="Times New Roman"/>
                <w:sz w:val="20"/>
                <w:vertAlign w:val="subscript"/>
              </w:rPr>
              <w:t>m</w:t>
            </w:r>
            <w:r>
              <w:rPr>
                <w:rFonts w:ascii="Times New Roman" w:hAnsi="Times New Roman"/>
                <w:sz w:val="20"/>
              </w:rPr>
              <w:t xml:space="preserve"> – 4) in (T</w:t>
            </w:r>
            <w:r>
              <w:rPr>
                <w:rFonts w:ascii="Times New Roman" w:hAnsi="Times New Roman"/>
                <w:sz w:val="20"/>
                <w:vertAlign w:val="subscript"/>
              </w:rPr>
              <w:t>m</w:t>
            </w:r>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ali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ali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Termostatska pipa</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Kuhinjske pipe</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Druge pipe</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Nadzor občutljivosti med 34 °C in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Na začetku preskusov velja: 1–3, T</w:t>
            </w:r>
            <w:r>
              <w:rPr>
                <w:rFonts w:ascii="Times New Roman" w:hAnsi="Times New Roman"/>
                <w:sz w:val="20"/>
                <w:vertAlign w:val="subscript"/>
              </w:rPr>
              <w:t>s</w:t>
            </w:r>
            <w:r>
              <w:rPr>
                <w:rFonts w:ascii="Times New Roman" w:hAnsi="Times New Roman"/>
                <w:sz w:val="20"/>
              </w:rPr>
              <w:t xml:space="preserve"> = 38 ± 1 °C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Varnost v primeru prekinitve oskrbe s hladno vodo, količina vode</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Temperaturna stabilnost pri spremembi tlaka hladne vode</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Sprememba tlaka: 3 bar -&gt; 2 bar, 15 s -&gt; 3 bar, 60 s -&gt; 2 bar, 15 s -&gt; 3 bar,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Največje odstopanje T</w:t>
            </w:r>
            <w:r>
              <w:rPr>
                <w:rFonts w:ascii="Times New Roman" w:hAnsi="Times New Roman"/>
                <w:sz w:val="20"/>
                <w:vertAlign w:val="subscript"/>
              </w:rPr>
              <w:t>s</w:t>
            </w:r>
            <w:r>
              <w:rPr>
                <w:rFonts w:ascii="Times New Roman" w:hAnsi="Times New Roman"/>
                <w:sz w:val="20"/>
              </w:rPr>
              <w:t xml:space="preserve"> je 2 K po 20 s in po ponastavitvi. Poleg tega je največje odstopanje T</w:t>
            </w:r>
            <w:r>
              <w:rPr>
                <w:rFonts w:ascii="Times New Roman" w:hAnsi="Times New Roman"/>
                <w:sz w:val="20"/>
                <w:vertAlign w:val="subscript"/>
              </w:rPr>
              <w:t>s</w:t>
            </w:r>
            <w:r>
              <w:rPr>
                <w:rFonts w:ascii="Times New Roman" w:hAnsi="Times New Roman"/>
                <w:sz w:val="20"/>
              </w:rPr>
              <w:t xml:space="preserve"> 3 K po 1 s za elemente, ki niso izhodne armature kadi.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Temperaturna stabilnost pri spremembi tlaka tople vode</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Temperaturna sprememba: topla voda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B59981A"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je temperatura mešane vode;</w:t>
            </w:r>
          </w:p>
          <w:p w14:paraId="2B0702C0" w14:textId="1853365F"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je povprečna temperatura hladne in tople vode;</w:t>
            </w:r>
          </w:p>
          <w:p w14:paraId="470148BB" w14:textId="0464B290" w:rsidR="009C10E4" w:rsidRPr="00CC2462" w:rsidRDefault="00872D80" w:rsidP="002148BB">
            <w:pPr>
              <w:suppressAutoHyphens/>
              <w:rPr>
                <w:rFonts w:ascii="Times New Roman" w:hAnsi="Times New Roman"/>
                <w:sz w:val="20"/>
                <w:szCs w:val="20"/>
              </w:rPr>
            </w:pPr>
            <w:proofErr w:type="spellStart"/>
            <w:r>
              <w:rPr>
                <w:rFonts w:ascii="Times New Roman" w:hAnsi="Times New Roman"/>
                <w:sz w:val="20"/>
              </w:rPr>
              <w:t>Gv</w:t>
            </w:r>
            <w:proofErr w:type="spellEnd"/>
            <w:r>
              <w:rPr>
                <w:rFonts w:ascii="Times New Roman" w:hAnsi="Times New Roman"/>
                <w:sz w:val="20"/>
              </w:rPr>
              <w:t xml:space="preserve">    je premik konca aktivacijske ročice ročnega mešalnika ali sprememba kota vrtenja;</w:t>
            </w:r>
          </w:p>
          <w:p w14:paraId="73CE4E08" w14:textId="472D031F" w:rsidR="00872D80" w:rsidRPr="00CC2462" w:rsidRDefault="00EB7D9A" w:rsidP="002148BB">
            <w:pPr>
              <w:suppressAutoHyphens/>
              <w:rPr>
                <w:rFonts w:ascii="Times New Roman" w:hAnsi="Times New Roman"/>
                <w:sz w:val="20"/>
                <w:szCs w:val="20"/>
              </w:rPr>
            </w:pPr>
            <w:r>
              <w:rPr>
                <w:rFonts w:ascii="Times New Roman" w:hAnsi="Times New Roman"/>
                <w:sz w:val="20"/>
              </w:rPr>
              <w:t>r       je razdalja med koncem aktivacijske ročice in centralno osjo ročnega mešalnika.</w:t>
            </w:r>
          </w:p>
        </w:tc>
      </w:tr>
    </w:tbl>
    <w:p w14:paraId="1CBD340A" w14:textId="77777777" w:rsidR="002D7E58" w:rsidRDefault="002D7E58" w:rsidP="00550738">
      <w:pPr>
        <w:pStyle w:val="LLPykala"/>
        <w:keepNext/>
        <w:keepLines/>
        <w:spacing w:before="240" w:after="240"/>
      </w:pPr>
      <w:r>
        <w:t>Oddelek 14</w:t>
      </w:r>
    </w:p>
    <w:p w14:paraId="21823708" w14:textId="77777777" w:rsidR="006D5BA9" w:rsidRPr="006D5BA9" w:rsidRDefault="00BF7638" w:rsidP="00550738">
      <w:pPr>
        <w:pStyle w:val="LLPykalanOtsikko"/>
        <w:keepNext/>
        <w:keepLines/>
        <w:spacing w:after="240"/>
        <w:rPr>
          <w:i w:val="0"/>
        </w:rPr>
      </w:pPr>
      <w:r>
        <w:t>Vzdržljivost</w:t>
      </w:r>
    </w:p>
    <w:p w14:paraId="1B85E7C1" w14:textId="5582000C" w:rsidR="006D5BA9" w:rsidRPr="00CC2462" w:rsidRDefault="00F10C4F" w:rsidP="00CC2462">
      <w:pPr>
        <w:pStyle w:val="LLJohtolauseKappaleet"/>
      </w:pPr>
      <w:r>
        <w:t>Akreditiran preskusni laboratorij preskusi vzdržljivost ročnega mešalnika vodovodnega priključka. Preskus se izvede z uporabo preskusne opreme, pri čemer se pretok vode večkrat odpre in zapre z ventilom. Ročni regulacijski ventil se zapre s kotno hitrostjo 60 ± 5 stopinj na sekundo. Zaprti in odprti položaj se ohranita 5 ± 0,5 sekund. Število delovnih ciklov in preskusni pogoji med preskusom vzdržljivosti so prikazani v preglednici 4.</w:t>
      </w:r>
    </w:p>
    <w:p w14:paraId="4CF46FC8" w14:textId="11733792" w:rsidR="00AD41D1" w:rsidRDefault="00AD41D1" w:rsidP="00CC2462">
      <w:pPr>
        <w:pStyle w:val="LLJohtolauseKappaleet"/>
      </w:pPr>
      <w:r>
        <w:t>Po preskusu vzdržljivosti se vodovodni priključki zatesnijo, če se preskusijo v skladu z oddelkom 10 te uredbe.</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Preglednica 4. Preskusni pogoji za preskus vzdržljivost in število delovnih ciklov.</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Preskusna enota</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Temperatura vode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(hladna/topla)</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Tlak in stopnja pretoka</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Število ciklov</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Regulacijski ventil, navojni</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val="restart"/>
          </w:tcPr>
          <w:p w14:paraId="3190EA97" w14:textId="1BEBF85D" w:rsidR="00F16AAE" w:rsidRDefault="00F16AAE" w:rsidP="002148BB">
            <w:pPr>
              <w:suppressAutoHyphens/>
              <w:rPr>
                <w:rFonts w:ascii="Times New Roman" w:hAnsi="Times New Roman"/>
                <w:sz w:val="20"/>
                <w:szCs w:val="20"/>
              </w:rPr>
            </w:pPr>
            <w:r>
              <w:rPr>
                <w:rFonts w:ascii="Times New Roman" w:hAnsi="Times New Roman"/>
                <w:sz w:val="20"/>
              </w:rPr>
              <w:t>4 ± 0,5 bar</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 ± 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Regulacijski ventil, ročni mešalnik</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Regulacijski ventil, termostatska pipa</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proofErr w:type="spellStart"/>
            <w:r>
              <w:rPr>
                <w:rFonts w:ascii="Times New Roman" w:hAnsi="Times New Roman"/>
                <w:sz w:val="20"/>
              </w:rPr>
              <w:t>Preusmernik</w:t>
            </w:r>
            <w:proofErr w:type="spellEnd"/>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Dulec, obrat</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Ventil pralnega stroja</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lastRenderedPageBreak/>
              <w:t>Elektronski vodovodni priključek, zaporna pipa</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Elektronski vodovodni priključek, mešalnik</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46A3B7F7"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Ročni mešalniki: pravokotna ali trikotna pot, vključno s 3 odprtimi/zaprtimi cikli, trajanje pretoka 5 ± 0,5 s</w:t>
            </w:r>
          </w:p>
        </w:tc>
      </w:tr>
    </w:tbl>
    <w:p w14:paraId="0D197F72" w14:textId="27225D5E" w:rsidR="002D7E58" w:rsidRDefault="002D7E58" w:rsidP="00550738">
      <w:pPr>
        <w:pStyle w:val="LLPykala"/>
        <w:keepNext/>
        <w:keepLines/>
        <w:spacing w:before="240" w:after="240"/>
      </w:pPr>
      <w:r>
        <w:t>Oddelek 15</w:t>
      </w:r>
    </w:p>
    <w:p w14:paraId="263AE2D3" w14:textId="77777777" w:rsidR="006D5BA9" w:rsidRDefault="00212378" w:rsidP="00550738">
      <w:pPr>
        <w:pStyle w:val="LLPykalanOtsikko"/>
        <w:keepNext/>
        <w:keepLines/>
        <w:spacing w:after="240"/>
        <w:rPr>
          <w:i w:val="0"/>
        </w:rPr>
      </w:pPr>
      <w:r>
        <w:t xml:space="preserve">Torzijska trdnost pogonskega mehanizma </w:t>
      </w:r>
    </w:p>
    <w:p w14:paraId="3C1C8B26" w14:textId="54909F56" w:rsidR="005D05AE" w:rsidRDefault="00EE2532" w:rsidP="00CC2462">
      <w:pPr>
        <w:pStyle w:val="LLJohtolauseKappaleet"/>
      </w:pPr>
      <w:r>
        <w:t>Akreditiran preskusni laboratorij preskusi torzijsko trdnost pogonskega mehanizma vodovodnega priključka. Ta preskus se izvede, kot je prikazano v preglednici 5. Pri preskusu se ne smejo pojaviti trajne deformacije ali poškodbe vodovodnih priključkov. Vodovodni priključek mora biti po preskusu neprepusten. Termostatske pipe morajo izpolnjevati zahteve za nadzorne funkcije.</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Preglednica 5. Torzijska trdnost pogonskega mehanizma</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Preskusna enota</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Navor</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Preskusni čas</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Regulacijski ventil: smer zapiranja/odpiranja</w:t>
            </w:r>
          </w:p>
        </w:tc>
        <w:tc>
          <w:tcPr>
            <w:tcW w:w="1107" w:type="pct"/>
            <w:tcBorders>
              <w:top w:val="single" w:sz="6" w:space="0" w:color="auto"/>
              <w:bottom w:val="single" w:sz="6" w:space="0" w:color="auto"/>
            </w:tcBorders>
          </w:tcPr>
          <w:p w14:paraId="7CD2659B" w14:textId="11D550B5"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 ± 0,2 </w:t>
            </w:r>
            <w:proofErr w:type="spellStart"/>
            <w:r>
              <w:rPr>
                <w:rFonts w:ascii="Times New Roman" w:hAnsi="Times New Roman"/>
                <w:color w:val="000000"/>
                <w:sz w:val="20"/>
              </w:rPr>
              <w:t>Nm</w:t>
            </w:r>
            <w:proofErr w:type="spellEnd"/>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navor 300–315 s</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čas pospeševanja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Ročica za nadzor temperature termostatske pipe</w:t>
            </w:r>
          </w:p>
        </w:tc>
        <w:tc>
          <w:tcPr>
            <w:tcW w:w="1107" w:type="pct"/>
            <w:tcBorders>
              <w:top w:val="single" w:sz="6" w:space="0" w:color="auto"/>
              <w:bottom w:val="single" w:sz="6" w:space="0" w:color="auto"/>
            </w:tcBorders>
          </w:tcPr>
          <w:p w14:paraId="326A3837" w14:textId="3F85D84A"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(3+0/–0,15) </w:t>
            </w:r>
            <w:proofErr w:type="spellStart"/>
            <w:r>
              <w:rPr>
                <w:rFonts w:ascii="Times New Roman" w:hAnsi="Times New Roman"/>
                <w:color w:val="000000"/>
                <w:sz w:val="20"/>
              </w:rPr>
              <w:t>Nm</w:t>
            </w:r>
            <w:proofErr w:type="spellEnd"/>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Oddelek 16</w:t>
      </w:r>
    </w:p>
    <w:p w14:paraId="68FD2CFC" w14:textId="77777777" w:rsidR="006D5BA9" w:rsidRPr="006D5BA9" w:rsidRDefault="007A4CC9" w:rsidP="00550738">
      <w:pPr>
        <w:pStyle w:val="LLPykalanOtsikko"/>
        <w:keepNext/>
        <w:keepLines/>
        <w:spacing w:after="240"/>
        <w:rPr>
          <w:i w:val="0"/>
        </w:rPr>
      </w:pPr>
      <w:r>
        <w:t>Preprečevanje povratnega toka</w:t>
      </w:r>
    </w:p>
    <w:p w14:paraId="3015D8DF" w14:textId="4E6FBFC9" w:rsidR="004E5E93" w:rsidRDefault="00EE2532" w:rsidP="00CC2462">
      <w:pPr>
        <w:pStyle w:val="LLJohtolauseKappaleet"/>
      </w:pPr>
      <w:r>
        <w:t xml:space="preserve">Akreditiran preskusni laboratorij pregleda zaščito vodovodnih priključkov pred povratnim tokom. </w:t>
      </w:r>
    </w:p>
    <w:p w14:paraId="66EF51BC" w14:textId="77777777" w:rsidR="002D7E58" w:rsidRDefault="002D7E58" w:rsidP="00550738">
      <w:pPr>
        <w:pStyle w:val="LLPykala"/>
        <w:keepNext/>
        <w:keepLines/>
        <w:spacing w:before="240" w:after="240"/>
      </w:pPr>
      <w:r>
        <w:t>Oddelek 17</w:t>
      </w:r>
    </w:p>
    <w:p w14:paraId="061F9874" w14:textId="3C8CCB76" w:rsidR="006D5BA9" w:rsidRPr="006D5BA9" w:rsidRDefault="006D5BA9" w:rsidP="00550738">
      <w:pPr>
        <w:pStyle w:val="LLPykalanOtsikko"/>
        <w:keepNext/>
        <w:keepLines/>
        <w:spacing w:after="240"/>
        <w:rPr>
          <w:i w:val="0"/>
        </w:rPr>
      </w:pPr>
      <w:r>
        <w:t>Raven hrupa</w:t>
      </w:r>
    </w:p>
    <w:p w14:paraId="052856FC" w14:textId="5A913DDC" w:rsidR="002D7E58" w:rsidRPr="00CC2462" w:rsidRDefault="000752ED" w:rsidP="00CC2462">
      <w:pPr>
        <w:pStyle w:val="LLJohtolauseKappaleet"/>
      </w:pPr>
      <w:r>
        <w:t>Akreditiran preskusni laboratorij izmeri raven hrupa v vodovodnih priključkih. Za merjenje ravni hrupa se lahko zamenljiva enota v vodovodnem priključku nadomesti s pretočnim uporom. Ta stopnja pretoka se izbere tako, da ustreza zamenjani enoti in je izpolnjena zahteva za stopnjo pretoka v skladu s predvideno uporabo vodovodnih priključkov.</w:t>
      </w:r>
    </w:p>
    <w:p w14:paraId="12705B3F" w14:textId="118714F4" w:rsidR="008D4D36" w:rsidRDefault="00021660" w:rsidP="00CC2462">
      <w:pPr>
        <w:pStyle w:val="LLJohtolauseKappaleet"/>
      </w:pPr>
      <w:r>
        <w:t xml:space="preserve">Stopnja hrupa vodovodnih priključkov in ustrezna stopnja pretoka se izmerita pod tlakom vode 0,1, 0,3 in 0,5 </w:t>
      </w:r>
      <w:proofErr w:type="spellStart"/>
      <w:r>
        <w:t>MPa</w:t>
      </w:r>
      <w:proofErr w:type="spellEnd"/>
      <w:r>
        <w:t xml:space="preserve">. Pri merjenju se tlak 0,3 </w:t>
      </w:r>
      <w:proofErr w:type="spellStart"/>
      <w:r>
        <w:t>MPa</w:t>
      </w:r>
      <w:proofErr w:type="spellEnd"/>
      <w:r>
        <w:t>, ki določa skupino hrupa vodovodnega priključka, uporablja za določitev najvišje ravni hrupa pipe z vrtenjem aktivacijskih ročic. Skupina ravni hrupa se določi na podlagi merjenja treh vzorcev.</w:t>
      </w:r>
    </w:p>
    <w:p w14:paraId="6A17592E" w14:textId="77777777" w:rsidR="002D7E58" w:rsidRDefault="002D7E58" w:rsidP="00550738">
      <w:pPr>
        <w:pStyle w:val="LLPykala"/>
        <w:keepNext/>
        <w:keepLines/>
        <w:spacing w:before="240" w:after="240"/>
      </w:pPr>
      <w:r>
        <w:t>Oddelek 18</w:t>
      </w:r>
    </w:p>
    <w:p w14:paraId="1CC527A2" w14:textId="77777777" w:rsidR="006D5BA9" w:rsidRPr="006D5BA9" w:rsidRDefault="006D5BA9" w:rsidP="00550738">
      <w:pPr>
        <w:pStyle w:val="LLPykalanOtsikko"/>
        <w:keepNext/>
        <w:keepLines/>
        <w:spacing w:after="240"/>
        <w:rPr>
          <w:i w:val="0"/>
        </w:rPr>
      </w:pPr>
      <w:r>
        <w:t>Oznake</w:t>
      </w:r>
    </w:p>
    <w:p w14:paraId="0BB2C61D" w14:textId="54E81564" w:rsidR="008D4D36" w:rsidRPr="00CC2462" w:rsidRDefault="00C90E99" w:rsidP="00CC2462">
      <w:pPr>
        <w:pStyle w:val="LLJohtolauseKappaleet"/>
      </w:pPr>
      <w:r>
        <w:t xml:space="preserve">Akreditiran preskusni laboratorij pregleda oznake vodovodnih priključkov. </w:t>
      </w:r>
    </w:p>
    <w:p w14:paraId="1C0EA578" w14:textId="77777777" w:rsidR="002D7E58" w:rsidRDefault="002D7E58" w:rsidP="00550738">
      <w:pPr>
        <w:pStyle w:val="LLPykala"/>
        <w:keepNext/>
        <w:keepLines/>
        <w:spacing w:before="240" w:after="240"/>
      </w:pPr>
      <w:r>
        <w:t>Oddelek 19</w:t>
      </w:r>
    </w:p>
    <w:p w14:paraId="78EEAA68" w14:textId="77777777" w:rsidR="006D5BA9" w:rsidRPr="006D5BA9" w:rsidRDefault="006D5BA9" w:rsidP="00550738">
      <w:pPr>
        <w:pStyle w:val="LLPykalanOtsikko"/>
        <w:keepNext/>
        <w:keepLines/>
        <w:spacing w:after="240"/>
        <w:rPr>
          <w:i w:val="0"/>
        </w:rPr>
      </w:pPr>
      <w:r>
        <w:t>Preskus tipa</w:t>
      </w:r>
    </w:p>
    <w:p w14:paraId="770C525C" w14:textId="7A3B5397" w:rsidR="0008438B" w:rsidRDefault="00CA2483" w:rsidP="00CC2462">
      <w:pPr>
        <w:pStyle w:val="LLJohtolauseKappaleet"/>
      </w:pPr>
      <w:r>
        <w:t>Akreditiran preskusni laboratorij preskusi tip vodovodnih priključkov za namen tipske odobritve v skladu z obsegom preskusa iz preglednice 2.1.</w:t>
      </w:r>
    </w:p>
    <w:p w14:paraId="284AB8C0" w14:textId="5102BB65" w:rsidR="008D4D36" w:rsidRDefault="006D5BA9" w:rsidP="00CC2462">
      <w:pPr>
        <w:pStyle w:val="LLJohtolauseKappaleet"/>
      </w:pPr>
      <w:r>
        <w:lastRenderedPageBreak/>
        <w:t>Za preskus tipa proizvajalec poleg vzorcev zagotovi tudi načrte proizvoda, vključno s seznamom delov in specifikacijami o surovinah, specifikacije o materialih ter certifikate in navodila za namestitev.</w:t>
      </w:r>
    </w:p>
    <w:p w14:paraId="6375D8A5" w14:textId="77777777" w:rsidR="002D7E58" w:rsidRDefault="00ED6D8C" w:rsidP="00550738">
      <w:pPr>
        <w:pStyle w:val="LLPykala"/>
        <w:keepNext/>
        <w:keepLines/>
        <w:spacing w:before="240" w:after="240"/>
      </w:pPr>
      <w:r>
        <w:t>Oddelek 20</w:t>
      </w:r>
    </w:p>
    <w:p w14:paraId="3B052F86" w14:textId="5205DB07" w:rsidR="006D5BA9" w:rsidRPr="006D5BA9" w:rsidRDefault="006D5BA9" w:rsidP="00550738">
      <w:pPr>
        <w:pStyle w:val="LLPykalanOtsikko"/>
        <w:keepNext/>
        <w:keepLines/>
        <w:spacing w:after="240"/>
        <w:rPr>
          <w:i w:val="0"/>
        </w:rPr>
      </w:pPr>
      <w:r>
        <w:t>Nadzor kakovosti v zvezi s tipsko odobritvijo</w:t>
      </w:r>
    </w:p>
    <w:p w14:paraId="166038B4" w14:textId="2826FDFB" w:rsidR="007A2E38" w:rsidRPr="002148BB" w:rsidRDefault="00E22470" w:rsidP="00CC2462">
      <w:pPr>
        <w:pStyle w:val="LLJohtolauseKappaleet"/>
      </w:pPr>
      <w:r>
        <w:t>Certifikacijski organ za nadzor kakovosti zagotovi, da vodovodni priključki izpolnjujejo zahteve za odobritev tipa in pogoje, določene v sklepu o odobritvi tipa.</w:t>
      </w:r>
    </w:p>
    <w:p w14:paraId="4F451703" w14:textId="4F588639" w:rsidR="008D4D36" w:rsidRDefault="006D5BA9" w:rsidP="00CC2462">
      <w:pPr>
        <w:pStyle w:val="LLJohtolauseKappaleet"/>
      </w:pPr>
      <w:r>
        <w:t>Certifikacijski organ za nadzor kakovosti izvaja začetne preglede proizvodnega obrata, stalno spremljanje notranjega nadzora kakovosti in preskušanje naključnih vzorcev proizvodov vsaj enkrat letno ali pogosteje, če proizvodi ne izpolnjujejo zahtev za tipsko odobritev. Obseg preskušanja naključnih vzorcev je prikazan v preglednici 2.2 iz Priloge 2.</w:t>
      </w:r>
    </w:p>
    <w:p w14:paraId="1FE215D5" w14:textId="7AEA3C6E" w:rsidR="008D4D36" w:rsidRDefault="00DF3012" w:rsidP="00CC2462">
      <w:pPr>
        <w:pStyle w:val="LLJohtolauseKappaleet"/>
      </w:pPr>
      <w:r>
        <w:t>Notranji nadzor kakovosti proizvodnje, ki ga izvaja proizvajalec, zajema vsaj preverjanja in preskuse iz preglednice 3.1 Priloge 3.</w:t>
      </w:r>
    </w:p>
    <w:p w14:paraId="0662A94F" w14:textId="77777777" w:rsidR="006A1A37" w:rsidRDefault="00ED6D8C" w:rsidP="00550738">
      <w:pPr>
        <w:pStyle w:val="LLPykala"/>
        <w:keepNext/>
        <w:keepLines/>
        <w:spacing w:before="240" w:after="240"/>
      </w:pPr>
      <w:r>
        <w:t>Oddelek 21</w:t>
      </w:r>
    </w:p>
    <w:p w14:paraId="1205E823" w14:textId="77777777" w:rsidR="006A1A37" w:rsidRDefault="006A1A37" w:rsidP="00550738">
      <w:pPr>
        <w:pStyle w:val="LLPykalanOtsikko"/>
        <w:keepNext/>
        <w:keepLines/>
        <w:spacing w:after="240"/>
      </w:pPr>
      <w:r>
        <w:t>Začetek veljavnosti</w:t>
      </w:r>
    </w:p>
    <w:p w14:paraId="07A72F2E" w14:textId="0CC772FE" w:rsidR="005320F8" w:rsidRDefault="006A1A37" w:rsidP="00550738">
      <w:pPr>
        <w:pStyle w:val="LLKappalejako"/>
      </w:pPr>
      <w:r>
        <w:t>Ta uredba začne veljati 1. januarja 2020.</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5A932129" w:rsidR="008D4D36" w:rsidRDefault="006A1A37" w:rsidP="00550738">
      <w:pPr>
        <w:pStyle w:val="LLPaivays"/>
      </w:pPr>
      <w:r>
        <w:t>Helsinki, 11. april 2019</w:t>
      </w:r>
    </w:p>
    <w:p w14:paraId="5088DC75" w14:textId="1930FD8A" w:rsidR="006A1A37" w:rsidRDefault="006A1A37" w:rsidP="00550738">
      <w:pPr>
        <w:pStyle w:val="LLPaivays"/>
      </w:pPr>
    </w:p>
    <w:p w14:paraId="2D7E651F" w14:textId="58CF5746" w:rsidR="006A1A37" w:rsidRDefault="00A37429" w:rsidP="002148BB">
      <w:pPr>
        <w:pStyle w:val="LLMinisterinAllekirjoitus"/>
        <w:keepNext/>
        <w:keepLines/>
      </w:pPr>
      <w:r>
        <w:t xml:space="preserve">Minister za okolje, energetiko in stanovanjska vprašanja </w:t>
      </w:r>
      <w:proofErr w:type="spellStart"/>
      <w:r>
        <w:t>Kimmo</w:t>
      </w:r>
      <w:proofErr w:type="spellEnd"/>
      <w:r>
        <w:t xml:space="preserve"> </w:t>
      </w:r>
      <w:proofErr w:type="spellStart"/>
      <w:r>
        <w:t>Tiilikainen</w:t>
      </w:r>
      <w:proofErr w:type="spellEnd"/>
    </w:p>
    <w:p w14:paraId="25EECFB6" w14:textId="77777777" w:rsidR="008D4D36" w:rsidRPr="008D4D36" w:rsidRDefault="008D4D36" w:rsidP="002148BB">
      <w:pPr>
        <w:pStyle w:val="LLNormaali"/>
        <w:keepNext/>
        <w:keepLines/>
      </w:pPr>
    </w:p>
    <w:p w14:paraId="54B4EBFD" w14:textId="7A54ACC5" w:rsidR="001E4DE2" w:rsidRDefault="008D4D36" w:rsidP="002148BB">
      <w:pPr>
        <w:pStyle w:val="LLMinisterinAllekirjoitus"/>
      </w:pPr>
      <w:r>
        <w:t xml:space="preserve">Višji specialist Tomi </w:t>
      </w:r>
      <w:proofErr w:type="spellStart"/>
      <w:r>
        <w:t>Marjamäki</w:t>
      </w:r>
      <w:proofErr w:type="spellEnd"/>
    </w:p>
    <w:p w14:paraId="3BCE37A8" w14:textId="046EEDAC" w:rsidR="006D5BA9" w:rsidRPr="00AE64BC" w:rsidRDefault="00A56177" w:rsidP="00AE64BC">
      <w:pPr>
        <w:keepNext/>
        <w:keepLines/>
        <w:pageBreakBefore/>
        <w:spacing w:before="240" w:after="60"/>
        <w:jc w:val="right"/>
        <w:outlineLvl w:val="0"/>
        <w:rPr>
          <w:rFonts w:ascii="Times New Roman" w:eastAsia="Times New Roman" w:hAnsi="Times New Roman"/>
          <w:bCs/>
          <w:i/>
          <w:iCs/>
          <w:noProof/>
          <w:kern w:val="28"/>
          <w:sz w:val="24"/>
          <w:szCs w:val="24"/>
        </w:rPr>
      </w:pPr>
      <w:r w:rsidRPr="00AE64BC">
        <w:rPr>
          <w:rFonts w:ascii="Times New Roman" w:hAnsi="Times New Roman"/>
          <w:i/>
          <w:iCs/>
          <w:sz w:val="24"/>
        </w:rPr>
        <w:lastRenderedPageBreak/>
        <w:t>Priloga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Sproščanje težkih kovin – preskusna metoda</w:t>
      </w: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Preskusi se sproščanje težkih kovin (kadmija in svinca) iz medeninastih delov vodovodnih priključkov, ki prihajajo v stik z vodo. Preskus se opravi na neuporabljenem vodovodnem priključku v 10-dnevnem preskusnem obdobju.</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Preskusna raztopina</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Preskusna raztopina (sintetična pitna voda) se pripravi tako, da se na liter destilirane in/ali </w:t>
      </w:r>
      <w:proofErr w:type="spellStart"/>
      <w:r>
        <w:rPr>
          <w:rFonts w:ascii="Times New Roman" w:hAnsi="Times New Roman"/>
          <w:snapToGrid w:val="0"/>
          <w:sz w:val="20"/>
        </w:rPr>
        <w:t>deionizirane</w:t>
      </w:r>
      <w:proofErr w:type="spellEnd"/>
      <w:r>
        <w:rPr>
          <w:rFonts w:ascii="Times New Roman" w:hAnsi="Times New Roman"/>
          <w:snapToGrid w:val="0"/>
          <w:sz w:val="20"/>
        </w:rPr>
        <w:t xml:space="preserve"> vode odtehta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in 50 mg CaCO</w:t>
      </w:r>
      <w:r>
        <w:rPr>
          <w:rFonts w:ascii="Times New Roman" w:hAnsi="Times New Roman"/>
          <w:snapToGrid w:val="0"/>
          <w:sz w:val="20"/>
          <w:vertAlign w:val="subscript"/>
        </w:rPr>
        <w:t>3</w:t>
      </w:r>
      <w:r>
        <w:rPr>
          <w:rFonts w:ascii="Times New Roman" w:hAnsi="Times New Roman"/>
          <w:snapToGrid w:val="0"/>
          <w:sz w:val="20"/>
        </w:rPr>
        <w:t xml:space="preserve"> (pri čemer so vse spojine tehnično čiste). Raztopina se premeša in vanjo se dodajajo mehurčki CO</w:t>
      </w:r>
      <w:r>
        <w:rPr>
          <w:rFonts w:ascii="Times New Roman" w:hAnsi="Times New Roman"/>
          <w:snapToGrid w:val="0"/>
          <w:sz w:val="20"/>
          <w:vertAlign w:val="subscript"/>
        </w:rPr>
        <w:t>2</w:t>
      </w:r>
      <w:r>
        <w:rPr>
          <w:rFonts w:ascii="Times New Roman" w:hAnsi="Times New Roman"/>
          <w:snapToGrid w:val="0"/>
          <w:sz w:val="20"/>
        </w:rPr>
        <w:t>, dokler se ves CaCO</w:t>
      </w:r>
      <w:r>
        <w:rPr>
          <w:rFonts w:ascii="Times New Roman" w:hAnsi="Times New Roman"/>
          <w:snapToGrid w:val="0"/>
          <w:sz w:val="20"/>
          <w:vertAlign w:val="subscript"/>
        </w:rPr>
        <w:t>3</w:t>
      </w:r>
      <w:r>
        <w:rPr>
          <w:rFonts w:ascii="Times New Roman" w:hAnsi="Times New Roman"/>
          <w:snapToGrid w:val="0"/>
          <w:sz w:val="20"/>
        </w:rPr>
        <w:t xml:space="preserve"> ne raztopi. Nato se raztopini med mešanjem dodajajo zračni mehurčki, dokler pH-vrednost ne doseže 7,0 ± 0,1. Ker se CaCO</w:t>
      </w:r>
      <w:r>
        <w:rPr>
          <w:rFonts w:ascii="Times New Roman" w:hAnsi="Times New Roman"/>
          <w:snapToGrid w:val="0"/>
          <w:sz w:val="20"/>
          <w:vertAlign w:val="subscript"/>
        </w:rPr>
        <w:t>3</w:t>
      </w:r>
      <w:r>
        <w:rPr>
          <w:rFonts w:ascii="Times New Roman" w:hAnsi="Times New Roman"/>
          <w:snapToGrid w:val="0"/>
          <w:sz w:val="20"/>
        </w:rPr>
        <w:t xml:space="preserve"> raztaplja zelo počasi, se zagotovi, da se pred dodatkom zračnih mehurčkov raztopi ves CaCO</w:t>
      </w:r>
      <w:r>
        <w:rPr>
          <w:rFonts w:ascii="Times New Roman" w:hAnsi="Times New Roman"/>
          <w:snapToGrid w:val="0"/>
          <w:sz w:val="20"/>
          <w:vertAlign w:val="subscript"/>
        </w:rPr>
        <w:t>3</w:t>
      </w:r>
      <w:r>
        <w:rPr>
          <w:rFonts w:ascii="Times New Roman" w:hAnsi="Times New Roman"/>
          <w:snapToGrid w:val="0"/>
          <w:sz w:val="20"/>
        </w:rPr>
        <w:t>, sicer se raztopina ne bo stabilizirala.</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Preskusna raztopina se lahko pripravi tudi tako, da se na liter destilirane in/ali </w:t>
      </w:r>
      <w:proofErr w:type="spellStart"/>
      <w:r>
        <w:rPr>
          <w:rFonts w:ascii="Times New Roman" w:hAnsi="Times New Roman"/>
          <w:snapToGrid w:val="0"/>
          <w:sz w:val="20"/>
        </w:rPr>
        <w:t>deionizirane</w:t>
      </w:r>
      <w:proofErr w:type="spellEnd"/>
      <w:r>
        <w:rPr>
          <w:rFonts w:ascii="Times New Roman" w:hAnsi="Times New Roman"/>
          <w:snapToGrid w:val="0"/>
          <w:sz w:val="20"/>
        </w:rPr>
        <w:t xml:space="preserve"> vode odtehta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in 37 mg Ca(OH)</w:t>
      </w:r>
      <w:r>
        <w:rPr>
          <w:rFonts w:ascii="Times New Roman" w:hAnsi="Times New Roman"/>
          <w:snapToGrid w:val="0"/>
          <w:sz w:val="20"/>
          <w:vertAlign w:val="subscript"/>
        </w:rPr>
        <w:t>2</w:t>
      </w:r>
      <w:r>
        <w:rPr>
          <w:rFonts w:ascii="Times New Roman" w:hAnsi="Times New Roman"/>
          <w:snapToGrid w:val="0"/>
          <w:sz w:val="20"/>
        </w:rPr>
        <w:t xml:space="preserve"> (pri čemer so vse sestavine tehnično čiste). Raztopina se meša, dokler se Ca(OH)</w:t>
      </w:r>
      <w:r>
        <w:rPr>
          <w:rFonts w:ascii="Times New Roman" w:hAnsi="Times New Roman"/>
          <w:snapToGrid w:val="0"/>
          <w:sz w:val="20"/>
          <w:vertAlign w:val="subscript"/>
        </w:rPr>
        <w:t>2</w:t>
      </w:r>
      <w:r>
        <w:rPr>
          <w:rFonts w:ascii="Times New Roman" w:hAnsi="Times New Roman"/>
          <w:snapToGrid w:val="0"/>
          <w:sz w:val="20"/>
        </w:rPr>
        <w:t xml:space="preserve"> skoraj povsem ne raztopi, in vanjo se dodajajo mehurčki CO</w:t>
      </w:r>
      <w:r>
        <w:rPr>
          <w:rFonts w:ascii="Times New Roman" w:hAnsi="Times New Roman"/>
          <w:snapToGrid w:val="0"/>
          <w:sz w:val="20"/>
          <w:vertAlign w:val="subscript"/>
        </w:rPr>
        <w:t>2</w:t>
      </w:r>
      <w:r>
        <w:rPr>
          <w:rFonts w:ascii="Times New Roman" w:hAnsi="Times New Roman"/>
          <w:snapToGrid w:val="0"/>
          <w:sz w:val="20"/>
        </w:rPr>
        <w:t>, dokler pH-vrednost ne pade pod 5. Nato se raztopini med mešanjem dodajajo zračni mehurčki, dokler se pH-vrednost ne poveča na 7,0 ± 0,1. S to metodo priprave se soli lažje raztopijo.</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Sintetična pitna voda se pripravi tik pred vsako zamenjavo vode ali pa se zagotovi, da je raztopina bistra in da njena pH-vrednost znaša 7,0 ± 0,1 vsaj pri zamenjavi vode 4., 8. in 9. dne. Pri zamenjavi vode 8. in 9. dne se iz raztopine odvzame slepi vzorec.</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Oprema za analizo</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Atomski absorpcijski spektrometer, opremljen z grafitno pečico, ali drug dovolj občutljiv merilnik. Zaznavna meja pri merjenju mora biti vsaj 0,1 </w:t>
      </w:r>
      <w:r>
        <w:rPr>
          <w:rFonts w:ascii="Times New Roman" w:hAnsi="Times New Roman"/>
          <w:snapToGrid w:val="0"/>
          <w:sz w:val="20"/>
        </w:rPr>
        <w:sym w:font="Symbol" w:char="F06D"/>
      </w:r>
      <w:r>
        <w:rPr>
          <w:rFonts w:ascii="Times New Roman" w:hAnsi="Times New Roman"/>
          <w:snapToGrid w:val="0"/>
          <w:sz w:val="20"/>
        </w:rPr>
        <w:t>g/l za svinec (</w:t>
      </w:r>
      <w:proofErr w:type="spellStart"/>
      <w:r>
        <w:rPr>
          <w:rFonts w:ascii="Times New Roman" w:hAnsi="Times New Roman"/>
          <w:snapToGrid w:val="0"/>
          <w:sz w:val="20"/>
        </w:rPr>
        <w:t>Pb</w:t>
      </w:r>
      <w:proofErr w:type="spellEnd"/>
      <w:r>
        <w:rPr>
          <w:rFonts w:ascii="Times New Roman" w:hAnsi="Times New Roman"/>
          <w:snapToGrid w:val="0"/>
          <w:sz w:val="20"/>
        </w:rPr>
        <w:t>) in 0,02 </w:t>
      </w:r>
      <w:r>
        <w:rPr>
          <w:rFonts w:ascii="Times New Roman" w:hAnsi="Times New Roman"/>
          <w:snapToGrid w:val="0"/>
          <w:sz w:val="20"/>
        </w:rPr>
        <w:sym w:font="Symbol" w:char="F06D"/>
      </w:r>
      <w:r>
        <w:rPr>
          <w:rFonts w:ascii="Times New Roman" w:hAnsi="Times New Roman"/>
          <w:snapToGrid w:val="0"/>
          <w:sz w:val="20"/>
        </w:rPr>
        <w:t>g/l za kadmij (</w:t>
      </w:r>
      <w:proofErr w:type="spellStart"/>
      <w:r>
        <w:rPr>
          <w:rFonts w:ascii="Times New Roman" w:hAnsi="Times New Roman"/>
          <w:snapToGrid w:val="0"/>
          <w:sz w:val="20"/>
        </w:rPr>
        <w:t>Cd</w:t>
      </w:r>
      <w:proofErr w:type="spellEnd"/>
      <w:r>
        <w:rPr>
          <w:rFonts w:ascii="Times New Roman" w:hAnsi="Times New Roman"/>
          <w:snapToGrid w:val="0"/>
          <w:sz w:val="20"/>
        </w:rPr>
        <w:t>).</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Preskusna metoda</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Deli vzorca, ki prihajajo v stik s pitno vodo, se razmastijo s čistim etanolom. Nato se skozi vzorec spusti voda iz pipe za eno uro pri standardni stopnji pretoka vodovodnega priključka.</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V pretočnih odprtinah vzorca se uporabijo čepi, izdelani iz brezbarvnega polietilena ali prevlečeni s polietilenskim filmom. Čepi so lahko iz drugih materialov, če se v njih ne raztaplja kadmij ali svinec. Vzorec se nato takoj spere s sintetično pitno vodo tako, da se napolni do polovice, in stresa pol minute, po čemer se voda odlije. Takoj za tem se vzorec napolni s sintetično pitno vodo, da se iz vzorca odstrani ves zrak, pretočne odprtine pa se zatesnijo.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Sintetična pitna voda ostane v vzorcu 1 dan, po čemer se izprazni, količina vode se izmeri in vzorec se ponovno napolni. Sintetična pitna voda v vzorcu se zamenja po 1., 2., 3., 4., 7., 8. in 9. dnevu. Količino izpraznjene vode iz vzorca se preveri, da se zagotovi, da ostaja na konstantni ravni (± 10 %).</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Kadmij in svinec se analizirata po 8. in 9. dnevu od zamenjave vzorca vode (9. in 10. dan preskusnega obdobja). V rezultatih (</w:t>
      </w:r>
      <w:r>
        <w:rPr>
          <w:rFonts w:ascii="Times New Roman" w:hAnsi="Times New Roman"/>
          <w:snapToGrid w:val="0"/>
          <w:sz w:val="20"/>
        </w:rPr>
        <w:sym w:font="Symbol" w:char="F06D"/>
      </w:r>
      <w:r>
        <w:rPr>
          <w:rFonts w:ascii="Times New Roman" w:hAnsi="Times New Roman"/>
          <w:snapToGrid w:val="0"/>
          <w:sz w:val="20"/>
        </w:rPr>
        <w:t>g/l) se navedejo izmerjene koncentracije, od katerih se odštejejo ustrezne koncentracije iz slepega vzorca. Poleg tega se navedeta skupna vsebnost kadmija in svinca (</w:t>
      </w:r>
      <w:r>
        <w:rPr>
          <w:rFonts w:ascii="Times New Roman" w:hAnsi="Times New Roman"/>
          <w:snapToGrid w:val="0"/>
          <w:sz w:val="20"/>
        </w:rPr>
        <w:sym w:font="Symbol" w:char="F06D"/>
      </w:r>
      <w:r>
        <w:rPr>
          <w:rFonts w:ascii="Times New Roman" w:hAnsi="Times New Roman"/>
          <w:snapToGrid w:val="0"/>
          <w:sz w:val="20"/>
        </w:rPr>
        <w:t>g), izračunana iz koncentracij in količine vode v vzorcu, ter količina vode v litrih.</w:t>
      </w:r>
    </w:p>
    <w:p w14:paraId="2C0A86BD" w14:textId="6DE40F23" w:rsidR="006D5BA9" w:rsidRPr="00AE64BC" w:rsidRDefault="006D5BA9" w:rsidP="00AE64BC">
      <w:pPr>
        <w:keepNext/>
        <w:keepLines/>
        <w:pageBreakBefore/>
        <w:spacing w:before="240" w:after="60"/>
        <w:jc w:val="right"/>
        <w:outlineLvl w:val="0"/>
        <w:rPr>
          <w:rFonts w:ascii="Times New Roman" w:hAnsi="Times New Roman"/>
          <w:i/>
          <w:iCs/>
          <w:sz w:val="24"/>
        </w:rPr>
      </w:pPr>
      <w:r w:rsidRPr="00AE64BC">
        <w:rPr>
          <w:rFonts w:ascii="Times New Roman" w:hAnsi="Times New Roman"/>
          <w:i/>
          <w:iCs/>
          <w:sz w:val="24"/>
        </w:rPr>
        <w:lastRenderedPageBreak/>
        <w:t>Priloga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Preskus za tipsko odobritev vodovodnih priključkov in zunanji nadzor kakovosti</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Pr="007D6756" w:rsidRDefault="006D5BA9" w:rsidP="002148BB">
      <w:pPr>
        <w:keepNext/>
        <w:keepLines/>
        <w:tabs>
          <w:tab w:val="left" w:pos="1276"/>
        </w:tabs>
        <w:spacing w:after="180"/>
        <w:rPr>
          <w:rFonts w:ascii="Times New Roman" w:eastAsia="Times New Roman" w:hAnsi="Times New Roman"/>
          <w:szCs w:val="24"/>
        </w:rPr>
      </w:pPr>
      <w:r>
        <w:rPr>
          <w:rFonts w:ascii="Times New Roman" w:hAnsi="Times New Roman"/>
        </w:rPr>
        <w:t>Preglednica 2.1. Lastnosti, ki jih je treba preskusiti v preskusih za tipsko odobritev vodovodnih priključkov, in obseg preskušanja</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Lastnost, ki jo je treba preskusiti</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Obseg preskušanja</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enota/proizvod</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Materiali, lastnosti</w:t>
            </w:r>
          </w:p>
          <w:p w14:paraId="7DE71C32" w14:textId="77777777" w:rsidR="00C13C32" w:rsidRPr="00C13C32" w:rsidRDefault="00C13C32" w:rsidP="002148BB">
            <w:pPr>
              <w:rPr>
                <w:rFonts w:ascii="Times New Roman" w:hAnsi="Times New Roman"/>
              </w:rPr>
            </w:pPr>
            <w:r>
              <w:rPr>
                <w:rFonts w:ascii="Times New Roman" w:hAnsi="Times New Roman"/>
              </w:rPr>
              <w:t>Sproščanje težkih kovin</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enkrat/surovino/vrsto pipe</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Dimenzije</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Neprepustnost</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Tlačna trdnost</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Tehnične značilnosti pretoka</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Torzijska trdnost aktivacijskih ročic</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Abrazijska odpornost</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Akustika</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Default="00C13C32" w:rsidP="00550738">
      <w:pPr>
        <w:rPr>
          <w:rFonts w:ascii="Times New Roman" w:hAnsi="Times New Roman"/>
          <w:i/>
        </w:rPr>
      </w:pPr>
    </w:p>
    <w:p w14:paraId="24827DFE" w14:textId="77777777" w:rsidR="00442B19" w:rsidRPr="00C13C32" w:rsidRDefault="00442B19" w:rsidP="00550738">
      <w:pPr>
        <w:rPr>
          <w:rFonts w:ascii="Times New Roman" w:hAnsi="Times New Roman"/>
          <w:i/>
        </w:rPr>
      </w:pPr>
    </w:p>
    <w:p w14:paraId="68847E25" w14:textId="7BE2B03D" w:rsidR="00C13C32" w:rsidRPr="007D6756" w:rsidRDefault="00C13C32" w:rsidP="002148BB">
      <w:pPr>
        <w:keepNext/>
        <w:keepLines/>
        <w:tabs>
          <w:tab w:val="left" w:pos="1276"/>
        </w:tabs>
        <w:spacing w:after="180"/>
        <w:rPr>
          <w:rFonts w:ascii="Times New Roman" w:eastAsia="Times New Roman" w:hAnsi="Times New Roman"/>
          <w:szCs w:val="24"/>
        </w:rPr>
      </w:pPr>
      <w:r>
        <w:rPr>
          <w:rFonts w:ascii="Times New Roman" w:hAnsi="Times New Roman"/>
        </w:rPr>
        <w:t>Preglednica 2.2. Preskusi in pregledi v okviru zunanjega nadzora kakovosti vodovodnih priključkov ter njihov najmanjši obseg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Preskušanje</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Obseg preskušanja</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Vizualni pregled</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enkrat/proizvod</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Neprepustnost</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enkrat/leto/družino proizvodov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Tlačna trdnost</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enkrat/leto/družino proizvodov</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Akustika</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enkrat/leto</w:t>
            </w:r>
          </w:p>
        </w:tc>
      </w:tr>
    </w:tbl>
    <w:p w14:paraId="1097ED65" w14:textId="42CA2906" w:rsidR="00DF3012" w:rsidRPr="00AE64BC" w:rsidRDefault="00DF3012" w:rsidP="00AE64BC">
      <w:pPr>
        <w:keepNext/>
        <w:keepLines/>
        <w:pageBreakBefore/>
        <w:spacing w:before="240" w:after="60"/>
        <w:jc w:val="right"/>
        <w:outlineLvl w:val="0"/>
        <w:rPr>
          <w:rFonts w:ascii="Times New Roman" w:hAnsi="Times New Roman"/>
          <w:i/>
          <w:iCs/>
          <w:sz w:val="24"/>
        </w:rPr>
      </w:pPr>
      <w:bookmarkStart w:id="0" w:name="_GoBack"/>
      <w:r w:rsidRPr="00AE64BC">
        <w:rPr>
          <w:rFonts w:ascii="Times New Roman" w:hAnsi="Times New Roman"/>
          <w:i/>
          <w:iCs/>
          <w:sz w:val="24"/>
        </w:rPr>
        <w:lastRenderedPageBreak/>
        <w:t>Priloga 3</w:t>
      </w:r>
    </w:p>
    <w:bookmarkEnd w:id="0"/>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Preskusi proizvajalčevega notranjega nadzora kakovosti</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7D6756" w:rsidRDefault="00DF3012" w:rsidP="002148BB">
      <w:pPr>
        <w:pStyle w:val="LLNormaali"/>
        <w:keepNext/>
        <w:keepLines/>
      </w:pPr>
      <w:r>
        <w:t>Preglednica 3,1. Preskusi in pregledi v okviru notranjega nadzora kakovosti vodovodnih priključkov ter njihov najmanjši obseg</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Preskušanje</w:t>
            </w:r>
          </w:p>
        </w:tc>
        <w:tc>
          <w:tcPr>
            <w:tcW w:w="2507" w:type="pct"/>
          </w:tcPr>
          <w:p w14:paraId="59D8D4A6" w14:textId="77777777" w:rsidR="00DF3012" w:rsidRPr="00DF3012" w:rsidRDefault="00DF3012" w:rsidP="002148BB">
            <w:pPr>
              <w:pStyle w:val="LLNormaali"/>
              <w:rPr>
                <w:b/>
              </w:rPr>
            </w:pPr>
            <w:r>
              <w:rPr>
                <w:b/>
              </w:rPr>
              <w:t>Obseg preskušanja</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Pregled sprejemljivosti materialov: surovine, tesnila, drugi sestavni deli</w:t>
            </w:r>
          </w:p>
        </w:tc>
        <w:tc>
          <w:tcPr>
            <w:tcW w:w="2507" w:type="pct"/>
          </w:tcPr>
          <w:p w14:paraId="5A2A4E37" w14:textId="1D60DFB9" w:rsidR="00DF3012" w:rsidRPr="00DF3012" w:rsidRDefault="00DF3012" w:rsidP="002148BB">
            <w:pPr>
              <w:pStyle w:val="LLNormaali"/>
            </w:pPr>
            <w:r>
              <w:t>Zabeleži se vsaka sprejeta serija in preveri se primernost sprejetega materiala.</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Proizvodni postopek</w:t>
            </w:r>
          </w:p>
          <w:p w14:paraId="17BE3CFE" w14:textId="77777777" w:rsidR="00DF3012" w:rsidRPr="00DF3012" w:rsidRDefault="00DF3012" w:rsidP="002148BB">
            <w:pPr>
              <w:pStyle w:val="LLNormaali"/>
              <w:numPr>
                <w:ilvl w:val="0"/>
                <w:numId w:val="48"/>
              </w:numPr>
              <w:ind w:left="318" w:hanging="318"/>
            </w:pPr>
            <w:r>
              <w:t>Postopek vlivanja</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Obdelovanje</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proofErr w:type="spellStart"/>
            <w:r>
              <w:t>Kromiranje</w:t>
            </w:r>
            <w:proofErr w:type="spellEnd"/>
          </w:p>
          <w:p w14:paraId="114B7B6D" w14:textId="77777777" w:rsidR="00DF3012" w:rsidRPr="00DF3012" w:rsidRDefault="00DF3012" w:rsidP="002148BB">
            <w:pPr>
              <w:pStyle w:val="LLNormaali"/>
              <w:numPr>
                <w:ilvl w:val="0"/>
                <w:numId w:val="48"/>
              </w:numPr>
              <w:ind w:left="318" w:hanging="318"/>
            </w:pPr>
            <w:r>
              <w:t>Sestavljanje</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stalno spremljanje temperature in vizualno spremljanje</w:t>
            </w:r>
          </w:p>
          <w:p w14:paraId="1BAF4DEE" w14:textId="77777777" w:rsidR="00DF3012" w:rsidRPr="00DF3012" w:rsidRDefault="00DF3012" w:rsidP="002148BB">
            <w:pPr>
              <w:pStyle w:val="LLNormaali"/>
              <w:numPr>
                <w:ilvl w:val="0"/>
                <w:numId w:val="48"/>
              </w:numPr>
              <w:ind w:left="318" w:hanging="318"/>
            </w:pPr>
            <w:r>
              <w:t>določijo se najbolj kritične dimenzije in spremlja se stabilnost dimenzij</w:t>
            </w:r>
          </w:p>
          <w:p w14:paraId="2F4D6181" w14:textId="77777777" w:rsidR="00DF3012" w:rsidRPr="00DF3012" w:rsidRDefault="00DF3012" w:rsidP="002148BB">
            <w:pPr>
              <w:pStyle w:val="LLNormaali"/>
              <w:numPr>
                <w:ilvl w:val="0"/>
                <w:numId w:val="48"/>
              </w:numPr>
              <w:ind w:left="318" w:hanging="318"/>
            </w:pPr>
            <w:r>
              <w:t>vizualni pregled</w:t>
            </w:r>
          </w:p>
          <w:p w14:paraId="46A254A0" w14:textId="77777777" w:rsidR="00DF3012" w:rsidRPr="00DF3012" w:rsidRDefault="00DF3012" w:rsidP="002148BB">
            <w:pPr>
              <w:pStyle w:val="LLNormaali"/>
              <w:numPr>
                <w:ilvl w:val="0"/>
                <w:numId w:val="48"/>
              </w:numPr>
              <w:ind w:left="318" w:hanging="318"/>
            </w:pPr>
            <w:r>
              <w:t>vizualni pregled</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Funkcionalne lastnosti</w:t>
            </w:r>
          </w:p>
          <w:p w14:paraId="590977AA" w14:textId="77777777" w:rsidR="00DF3012" w:rsidRPr="00DF3012" w:rsidRDefault="00DF3012" w:rsidP="002148BB">
            <w:pPr>
              <w:pStyle w:val="LLNormaali"/>
              <w:numPr>
                <w:ilvl w:val="0"/>
                <w:numId w:val="48"/>
              </w:numPr>
              <w:ind w:left="318" w:hanging="318"/>
            </w:pPr>
            <w:r>
              <w:t>neprepustnost</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vsi proizvodi</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Navodila za delo, postopki in načrti</w:t>
            </w:r>
          </w:p>
        </w:tc>
        <w:tc>
          <w:tcPr>
            <w:tcW w:w="2507" w:type="pct"/>
          </w:tcPr>
          <w:p w14:paraId="52DFE6E5" w14:textId="750ED10D" w:rsidR="00DF3012" w:rsidRPr="00DF3012" w:rsidRDefault="00DF3012" w:rsidP="002148BB">
            <w:pPr>
              <w:pStyle w:val="LLNormaali"/>
              <w:numPr>
                <w:ilvl w:val="0"/>
                <w:numId w:val="48"/>
              </w:numPr>
              <w:ind w:left="318" w:hanging="318"/>
            </w:pPr>
            <w:r>
              <w:t>Dokumentirajo se smernice za proizvodne faze. Evidentirajo in datirajo se spremembe dokumentov.</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Upravljanje pritožb</w:t>
            </w:r>
          </w:p>
        </w:tc>
        <w:tc>
          <w:tcPr>
            <w:tcW w:w="2507" w:type="pct"/>
          </w:tcPr>
          <w:p w14:paraId="7CCCAAB8" w14:textId="28738B2F" w:rsidR="00DF3012" w:rsidRPr="00DF3012" w:rsidRDefault="00901757" w:rsidP="002148BB">
            <w:pPr>
              <w:pStyle w:val="LLNormaali"/>
              <w:numPr>
                <w:ilvl w:val="0"/>
                <w:numId w:val="48"/>
              </w:numPr>
              <w:ind w:left="318" w:hanging="318"/>
            </w:pPr>
            <w:r>
              <w:t>Vzpostavi se postopek za upravljanje pritožb.</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9930E" w14:textId="77777777" w:rsidR="000D5506" w:rsidRDefault="000D5506">
      <w:r>
        <w:separator/>
      </w:r>
    </w:p>
  </w:endnote>
  <w:endnote w:type="continuationSeparator" w:id="0">
    <w:p w14:paraId="481D76FC" w14:textId="77777777" w:rsidR="000D5506" w:rsidRDefault="000D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rsidP="00AE64BC">
        <w:pPr>
          <w:pStyle w:val="Footer"/>
          <w:jc w:val="center"/>
        </w:pPr>
        <w:r>
          <w:fldChar w:fldCharType="begin"/>
        </w:r>
        <w:r>
          <w:instrText xml:space="preserve"> PAGE   \* MERGEFORMAT </w:instrText>
        </w:r>
        <w:r>
          <w:fldChar w:fldCharType="separate"/>
        </w:r>
        <w:r w:rsidR="00AE64BC">
          <w:rPr>
            <w:noProof/>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85AF" w14:textId="24EA86B0" w:rsidR="00243319" w:rsidRPr="007D6756" w:rsidRDefault="00243319">
    <w:pPr>
      <w:pStyle w:val="Footer"/>
      <w:rPr>
        <w:rFonts w:ascii="Times New Roman" w:hAnsi="Times New Roman"/>
        <w:sz w:val="16"/>
        <w:szCs w:val="16"/>
      </w:rPr>
    </w:pPr>
    <w:r>
      <w:rPr>
        <w:rFonts w:ascii="Times New Roman" w:hAnsi="Times New Roman"/>
        <w:sz w:val="16"/>
      </w:rPr>
      <w:t>Direktiva (EU) 2015/1535 Evropskega parlamenta in Sveta (32015L1535); UL L 241, 17.9.2015, str.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F1105" w14:textId="77777777" w:rsidR="000D5506" w:rsidRDefault="000D5506">
      <w:r>
        <w:separator/>
      </w:r>
    </w:p>
  </w:footnote>
  <w:footnote w:type="continuationSeparator" w:id="0">
    <w:p w14:paraId="5F0485FE" w14:textId="77777777" w:rsidR="000D5506" w:rsidRDefault="000D5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C390" w14:textId="77777777" w:rsidR="00550738" w:rsidRPr="00550738" w:rsidRDefault="00550738" w:rsidP="00243319">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6"/>
    <w:rsid w:val="000D550A"/>
    <w:rsid w:val="000D74A1"/>
    <w:rsid w:val="000E0B7D"/>
    <w:rsid w:val="000E1BB8"/>
    <w:rsid w:val="000E2BF4"/>
    <w:rsid w:val="000E446C"/>
    <w:rsid w:val="000E741B"/>
    <w:rsid w:val="000F02E2"/>
    <w:rsid w:val="000F06B2"/>
    <w:rsid w:val="000F06E3"/>
    <w:rsid w:val="000F1313"/>
    <w:rsid w:val="000F1A50"/>
    <w:rsid w:val="000F1AE5"/>
    <w:rsid w:val="000F1F94"/>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3319"/>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21BA"/>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2B19"/>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43DD"/>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6756"/>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E64BC"/>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sl-SI"/>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4D44-9C57-4E9E-A97A-93E11078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TotalTime>
  <Pages>9</Pages>
  <Words>2453</Words>
  <Characters>13987</Characters>
  <Application>Microsoft Office Word</Application>
  <DocSecurity>0</DocSecurity>
  <Lines>116</Lines>
  <Paragraphs>32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4</cp:revision>
  <cp:lastPrinted>2015-09-29T15:18:00Z</cp:lastPrinted>
  <dcterms:created xsi:type="dcterms:W3CDTF">2020-07-28T10:10:00Z</dcterms:created>
  <dcterms:modified xsi:type="dcterms:W3CDTF">2020-08-04T08:57:00Z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