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AE84A7" w14:textId="75EF08F9" w:rsidR="00817DDD" w:rsidRPr="00817DDD" w:rsidRDefault="00817DDD" w:rsidP="00817DDD">
      <w:pPr>
        <w:spacing w:after="120"/>
        <w:ind w:right="14"/>
        <w:jc w:val="center"/>
        <w:rPr>
          <w:rFonts w:ascii="Courier New" w:hAnsi="Courier New" w:cs="Courier New"/>
          <w:sz w:val="20"/>
          <w:szCs w:val="20"/>
        </w:rPr>
      </w:pPr>
      <w:r>
        <w:rPr>
          <w:rFonts w:ascii="Courier New" w:hAnsi="Courier New"/>
          <w:sz w:val="20"/>
          <w:szCs w:val="20"/>
        </w:rPr>
        <w:t>1. ------IND- 2020 0468 F-- NL-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FRANSE REPUBLIEK</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Ministerie van Ecologische Transitie Ministerie van Economie en Financiën</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Decreet nr. 2020-xxx van xx xxx 2020</w:t>
      </w:r>
      <w:r>
        <w:rPr>
          <w:b/>
          <w:color w:val="000000"/>
        </w:rPr>
        <w:br/>
        <w:t>betreffende de herstelbaarheidsindex van elektrische en elektronische apparatuur</w:t>
      </w:r>
    </w:p>
    <w:p w14:paraId="00000015" w14:textId="3A2425A6" w:rsidR="00EF7252" w:rsidRDefault="00817DDD" w:rsidP="00081B50">
      <w:pPr>
        <w:pBdr>
          <w:top w:val="nil"/>
          <w:left w:val="nil"/>
          <w:bottom w:val="nil"/>
          <w:right w:val="nil"/>
          <w:between w:val="nil"/>
        </w:pBdr>
        <w:jc w:val="center"/>
        <w:rPr>
          <w:i/>
          <w:color w:val="000000"/>
        </w:rPr>
      </w:pPr>
      <w:r>
        <w:rPr>
          <w:color w:val="000000"/>
        </w:rPr>
        <w:t>NOR:</w:t>
      </w:r>
    </w:p>
    <w:p w14:paraId="00000016" w14:textId="334BF5BD" w:rsidR="00EF7252" w:rsidRDefault="007C6B33" w:rsidP="00081B50">
      <w:pPr>
        <w:pBdr>
          <w:top w:val="nil"/>
          <w:left w:val="nil"/>
          <w:bottom w:val="nil"/>
          <w:right w:val="nil"/>
          <w:between w:val="nil"/>
        </w:pBdr>
        <w:spacing w:before="720" w:after="240"/>
        <w:ind w:firstLine="720"/>
        <w:jc w:val="both"/>
        <w:rPr>
          <w:b/>
          <w:i/>
          <w:color w:val="000000"/>
        </w:rPr>
      </w:pPr>
      <w:r>
        <w:rPr>
          <w:b/>
          <w:i/>
          <w:color w:val="000000"/>
        </w:rPr>
        <w:t xml:space="preserve">Bedoeld voor: </w:t>
      </w:r>
      <w:r>
        <w:rPr>
          <w:i/>
          <w:color w:val="000000"/>
        </w:rPr>
        <w:t xml:space="preserve">fabrikanten, importeurs, distributeurs of overige personen die elektrische en elektronische apparatuur op de markt brengen en verkopers van dezelfde apparatuur, evenals personen die een website, een platform of een andere manier van onlinedistributie gebruiken in het kader van hun handelsactiviteit in Frankrijk.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b/>
          <w:i/>
          <w:color w:val="000000"/>
        </w:rPr>
        <w:t xml:space="preserve">Voorwerp: </w:t>
      </w:r>
      <w:r>
        <w:rPr>
          <w:i/>
          <w:color w:val="000000"/>
        </w:rPr>
        <w:t>toepassingsvoorwaarden van de herstelbaarheidsindex zoals gedefinieerd in artikel L 541-9-2 van het milieuwetboek</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b/>
          <w:i/>
          <w:color w:val="000000"/>
        </w:rPr>
        <w:t>Inwerkingtreding:</w:t>
      </w:r>
      <w:r>
        <w:rPr>
          <w:i/>
          <w:color w:val="000000"/>
        </w:rPr>
        <w:t xml:space="preserve"> de tekst treedt in werking op 1 januari 2021.</w:t>
      </w:r>
    </w:p>
    <w:p w14:paraId="00000019" w14:textId="77777777" w:rsidR="00EF7252" w:rsidRPr="0086078C" w:rsidRDefault="007C6B33" w:rsidP="00081B50">
      <w:pPr>
        <w:pBdr>
          <w:top w:val="nil"/>
          <w:left w:val="nil"/>
          <w:bottom w:val="nil"/>
          <w:right w:val="nil"/>
          <w:between w:val="nil"/>
        </w:pBdr>
        <w:spacing w:before="120" w:after="240"/>
        <w:ind w:firstLine="720"/>
        <w:jc w:val="both"/>
        <w:rPr>
          <w:i/>
          <w:color w:val="000000"/>
          <w:spacing w:val="-4"/>
        </w:rPr>
      </w:pPr>
      <w:r w:rsidRPr="0086078C">
        <w:rPr>
          <w:b/>
          <w:i/>
          <w:color w:val="000000"/>
          <w:spacing w:val="-4"/>
        </w:rPr>
        <w:t xml:space="preserve">Opmerking: </w:t>
      </w:r>
      <w:r w:rsidRPr="0086078C">
        <w:rPr>
          <w:i/>
          <w:color w:val="000000"/>
          <w:spacing w:val="-4"/>
        </w:rPr>
        <w:t>onderhavig decreet legt de toepassingsvoorwaarden vast van artikel L 541-9-2 van het milieuwetboek dat voorziet in de tenuitvoerlegging van een herstelbaarheidsindex voor bepaalde categorieën van elektrische en elektronische apparatuur. Het gaat meer bepaald om een precisering van de criteria en de berekeningsmethode voor de opstelling van deze index. Fabrikanten en importeurs van de betrokken apparatuur moeten de herstelbaarheidsindex en de bijbehorende berekeningsparameters gratis verstrekken aan distributeurs en alle personen die hierom vragen. Distributeurs, met inbegrip van distributeurs voor verkoop op afstand, moeten de consument op het ogenblik van de aankoop door middel van markering, etikettering, weergave of elk ander geschikte wijze gratis informeren over de herstelbaarheidsindex van de betrokken apparatuur.</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b/>
          <w:i/>
          <w:color w:val="000000"/>
        </w:rPr>
        <w:t>Verwijzingen:</w:t>
      </w:r>
      <w:r>
        <w:rPr>
          <w:i/>
          <w:color w:val="000000"/>
        </w:rPr>
        <w:t xml:space="preserve"> onderhavig decreet kan worden geraadpleegd op de website van Légifrance (</w:t>
      </w:r>
      <w:hyperlink r:id="rId8">
        <w:r>
          <w:rPr>
            <w:i/>
            <w:color w:val="000000"/>
            <w:u w:val="single"/>
          </w:rPr>
          <w:t>http://www.legifrance.gouv.fr</w:t>
        </w:r>
      </w:hyperlink>
      <w:r>
        <w:rPr>
          <w:i/>
          <w:color w:val="000000"/>
        </w:rPr>
        <w:t>).]</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De eerste minister,</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Naar aanleiding van het verslag van de minister van Ecologische Transitie en de minister van Economie en Financiën;</w:t>
      </w:r>
    </w:p>
    <w:p w14:paraId="0000001E"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Gezien gewijzigde Richtlijn nr. 2008/98/EG van het Europees Parlement en de Raad van 19 november 2008 betreffende afvalstoffen en tot intrekking van een aantal richtlijnen;</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lastRenderedPageBreak/>
        <w:t>Gezien Richtlijn (EU) 2015/1535 van het Europees Parlement en de Raad van 9 september 2015 betreffende een informatieprocedure op het gebied van technische voorschriften en regels betreffende de diensten van de informatiemaatschappij;</w:t>
      </w:r>
    </w:p>
    <w:p w14:paraId="00000020" w14:textId="7BD1B620"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Gezien het consumptiewetboek, met name het inleidende artikel in de formulering die voortvloeit uit wet nr. 2017-203 van 21 februari 2017 tot bekrachtiging van beschikkingen nr. 2016-301 van 14 maart 2016 en nr. 2016-351 van 25 maart 2016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Gezien het milieuwetboek, met name artikel L. 541-9-2 in de formulering die voortvloeit uit artikel 16 van wet nr. 2020-105 van 10 februari 2020 betreffende de strijd tegen verspilling en de circulaire economie;</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Gezien kennisgeving nr. XXXX/XXXX/X      aan de Europese Commissie overeenkomstig Richtlijn (EU) 2015/1535;</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Gehoord de Raad van State (afdeling Openbare Werken),</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Decreteert:</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Artikel 1</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In titel IV van boek V van het regelgevende gedeelte van het milieuwetboek worden een hoofdstuk IV en een sectie 1 ingevoegd, die als volgt zijn opgesteld:</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“Hoofdstuk IV</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“Informatie voor de bevolking over producten die afvalstoffen voortbrengen</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“Sectie 1</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“Weergave van de herstelbaarheidsindex</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Default="007C6B33" w:rsidP="00081B50">
      <w:pPr>
        <w:pBdr>
          <w:top w:val="nil"/>
          <w:left w:val="nil"/>
          <w:bottom w:val="nil"/>
          <w:right w:val="nil"/>
          <w:between w:val="nil"/>
        </w:pBdr>
        <w:spacing w:after="120"/>
        <w:jc w:val="both"/>
        <w:rPr>
          <w:color w:val="000000"/>
        </w:rPr>
      </w:pPr>
      <w:bookmarkStart w:id="0" w:name="_heading=h.gjdgxs"/>
      <w:bookmarkEnd w:id="0"/>
      <w:r>
        <w:rPr>
          <w:color w:val="000000"/>
        </w:rPr>
        <w:t>“Art. R 544-1.- De herstelbaarheidsindex van elektrische of elektronische apparatuur zoals gedefinieerd in artikel L 541-9-2 van het milieuwetboek bestaat uit een score op tien die is bedoeld om consumenten te informeren op het ogenblik van de aankoop van nieuwe apparatuur.</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“Deze index heeft betrekking op elk model van deze apparatuur.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 R 544-2 - In het kader van onderhavig decreet wordt verstaan onder:</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“1. “Terbeschikkingstelling op de markt”: elke levering, in het kader van een handelsactiviteit, van elektrische of elektronische apparatuur die is bestemd om tegen betaling of gratis te worden gedistribueerd of gebruikt op de internationale markt;</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“2. “Op de markt brengen”: de eerste terbeschikkingstelling van elektrische of elektronische apparatuur op de nationale markt;</w:t>
      </w:r>
    </w:p>
    <w:p w14:paraId="00000032" w14:textId="77777777" w:rsidR="00EF7252" w:rsidRPr="0086078C" w:rsidRDefault="007C6B33" w:rsidP="00081B50">
      <w:pPr>
        <w:pBdr>
          <w:top w:val="nil"/>
          <w:left w:val="nil"/>
          <w:bottom w:val="nil"/>
          <w:right w:val="nil"/>
          <w:between w:val="nil"/>
        </w:pBdr>
        <w:spacing w:after="120"/>
        <w:jc w:val="both"/>
        <w:rPr>
          <w:color w:val="000000"/>
          <w:spacing w:val="-4"/>
        </w:rPr>
      </w:pPr>
      <w:r w:rsidRPr="0086078C">
        <w:rPr>
          <w:color w:val="000000"/>
          <w:spacing w:val="-4"/>
        </w:rPr>
        <w:t>“3. “Fabrikant”: elke rechtspersoon of natuurlijke persoon die elektrische of elektronische apparatuur fabriceert of deze laat ontwikkelen of in de handel brengt onder zijn eigen naam of eigen merk;</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“4. “Importeur”: elke rechtspersoon of natuurlijke persoon die elektrische of elektronische apparatuur afkomstig uit lidstaten van de Europese Unie of derde landen op de markt brengt;</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t>“5. “Distributeur”: elke rechtspersoon of natuurlijke persoon die deel uitmaakt van de bevoorradingsketen, die noch de fabrikant noch de importeur is en die elektrische of elektronische apparatuur te koop aanbiedt op de nationale markt;</w:t>
      </w:r>
    </w:p>
    <w:p w14:paraId="00000035" w14:textId="77777777" w:rsidR="00EF7252" w:rsidRDefault="007C6B33" w:rsidP="00081B50">
      <w:pPr>
        <w:pBdr>
          <w:top w:val="nil"/>
          <w:left w:val="nil"/>
          <w:bottom w:val="nil"/>
          <w:right w:val="nil"/>
          <w:between w:val="nil"/>
        </w:pBdr>
        <w:spacing w:after="120"/>
        <w:jc w:val="both"/>
        <w:rPr>
          <w:color w:val="000000"/>
        </w:rPr>
      </w:pPr>
      <w:r>
        <w:rPr>
          <w:color w:val="000000"/>
        </w:rPr>
        <w:lastRenderedPageBreak/>
        <w:t xml:space="preserve">“6. “Verkoper”: elke rechtspersoon of natuurlijke persoon die in het kader van een handelsactiviteit elektrische of elektronische apparatuur op de markt ter beschikking stelt door deze (op afstand) te verkopen aan consumenten; </w:t>
      </w:r>
    </w:p>
    <w:p w14:paraId="00000036" w14:textId="77777777" w:rsidR="00EF7252" w:rsidRDefault="007C6B33" w:rsidP="00081B50">
      <w:pPr>
        <w:pBdr>
          <w:top w:val="nil"/>
          <w:left w:val="nil"/>
          <w:bottom w:val="nil"/>
          <w:right w:val="nil"/>
          <w:between w:val="nil"/>
        </w:pBdr>
        <w:spacing w:after="120"/>
        <w:jc w:val="both"/>
        <w:rPr>
          <w:b/>
          <w:color w:val="000000"/>
        </w:rPr>
      </w:pPr>
      <w:r>
        <w:rPr>
          <w:color w:val="000000"/>
        </w:rPr>
        <w:t>“7. “Verkoop op afstand”: op afstand afgesloten contract tussen een professionele verkoper en een consument, in het kader van een georganiseerd verkoopsysteem, zonder de gelijktijdige fysieke aanwezigheid van de professionele verkoper en de consument, door uitsluitend een beroep te doen op één of meerdere technieken voor communicatie op afstand tot aan de sluiting van het contract”;</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“8. “Model”: een versie van de apparatuur waarvan alle exemplaren beschikken over dezelfde technische kenmerken die relevant zijn voor de berekening van de herstelbaarheidsindex.</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 544-3.-</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“I.- Fabrikanten of importeurs moeten voor de elektrische of elektronische apparatuur die zij op de markt brengen, de herstelbaarheidsindex en de parameters op basis waarvan deze is opgesteld, overeenkomstig de bij besluit vastgelegde voorwaarden opstellen.</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“II.- Fabrikanten en importeurs moeten gratis en in digitaal formaat aan distributeurs of aan verkopers op het ogenblik van de productregistratie en bij de levering van elektrische en elektronische apparatuur voor elk model van de apparatuur dat op de markt wordt gebracht, het volgende meedelen:</w:t>
      </w:r>
    </w:p>
    <w:p w14:paraId="0000003D" w14:textId="2E1C1C4A" w:rsidR="00EF7252" w:rsidRDefault="007C6B33" w:rsidP="00081B50">
      <w:pPr>
        <w:pBdr>
          <w:top w:val="nil"/>
          <w:left w:val="nil"/>
          <w:bottom w:val="nil"/>
          <w:right w:val="nil"/>
          <w:between w:val="nil"/>
        </w:pBdr>
        <w:spacing w:after="120"/>
        <w:jc w:val="both"/>
        <w:rPr>
          <w:color w:val="000000"/>
        </w:rPr>
      </w:pPr>
      <w:r>
        <w:rPr>
          <w:color w:val="000000"/>
        </w:rPr>
        <w:t>“a) de herstelbaarheidsindex overeenkomstig de voorwaarden en de kenmerking die bij besluit zijn vastgelegd;</w:t>
      </w:r>
    </w:p>
    <w:p w14:paraId="0000003E" w14:textId="433562A7" w:rsidR="00EF7252" w:rsidRDefault="00535D26" w:rsidP="00081B50">
      <w:pPr>
        <w:pBdr>
          <w:top w:val="nil"/>
          <w:left w:val="nil"/>
          <w:bottom w:val="nil"/>
          <w:right w:val="nil"/>
          <w:between w:val="nil"/>
        </w:pBdr>
        <w:spacing w:after="120"/>
        <w:jc w:val="both"/>
        <w:rPr>
          <w:color w:val="000000"/>
        </w:rPr>
      </w:pPr>
      <w:r>
        <w:rPr>
          <w:color w:val="000000"/>
        </w:rPr>
        <w:t xml:space="preserve">“b) de parameters op basis waarvan de herstelbaarheidsindex is opgesteld overeenkomstig het formaat dat bij besluit is vastgelegd. </w:t>
      </w:r>
    </w:p>
    <w:p w14:paraId="0000003F" w14:textId="77777777" w:rsidR="00EF7252" w:rsidRPr="0086078C" w:rsidRDefault="007C6B33" w:rsidP="00081B50">
      <w:pPr>
        <w:pBdr>
          <w:top w:val="nil"/>
          <w:left w:val="nil"/>
          <w:bottom w:val="nil"/>
          <w:right w:val="nil"/>
          <w:between w:val="nil"/>
        </w:pBdr>
        <w:spacing w:after="120"/>
        <w:jc w:val="both"/>
        <w:rPr>
          <w:color w:val="000000"/>
          <w:spacing w:val="-4"/>
        </w:rPr>
      </w:pPr>
      <w:r w:rsidRPr="0086078C">
        <w:rPr>
          <w:color w:val="000000"/>
          <w:spacing w:val="-4"/>
        </w:rPr>
        <w:t>“III.- Indien de distributeur niet de verkoper is, moet deze gratis en onder dezelfde voorwaarden als vermeld onder a) en b) de index en de bijbehorende berekeningsparameters meedelen op het ogenblik van de productregistratie en bij de levering van de elektrische en elektronische apparatuur.</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“IV.- De index mag bovendien rechtstreeks worden aangebracht op elk modelexemplaar of op de verpakking door middel van etikettering of markering met inachtneming van de kenmerking die bij besluit is vastgelegd.</w:t>
      </w:r>
    </w:p>
    <w:p w14:paraId="00000041" w14:textId="7B50DCAD" w:rsidR="00EF7252" w:rsidRDefault="00535D26" w:rsidP="00081B50">
      <w:pPr>
        <w:pBdr>
          <w:top w:val="nil"/>
          <w:left w:val="nil"/>
          <w:bottom w:val="nil"/>
          <w:right w:val="nil"/>
          <w:between w:val="nil"/>
        </w:pBdr>
        <w:spacing w:after="120"/>
        <w:jc w:val="both"/>
        <w:rPr>
          <w:color w:val="000000"/>
        </w:rPr>
      </w:pPr>
      <w:r>
        <w:rPr>
          <w:color w:val="000000"/>
        </w:rPr>
        <w:t>“V.- Fabrikanten en importeurs moeten de in 2 vermelde informatie binnen een termijn van 14 dagen gratis meedelen aan elke persoon die hierom vraagt en dit gedurende een periode van minstens twee jaar na het op de markt brengen van het laatste exemplaar van een apparaatmodel.</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 544-4.-</w:t>
      </w:r>
    </w:p>
    <w:p w14:paraId="00000044" w14:textId="77777777" w:rsidR="00EF7252" w:rsidRPr="0086078C" w:rsidRDefault="007C6B33" w:rsidP="00081B50">
      <w:pPr>
        <w:pBdr>
          <w:top w:val="nil"/>
          <w:left w:val="nil"/>
          <w:bottom w:val="nil"/>
          <w:right w:val="nil"/>
          <w:between w:val="nil"/>
        </w:pBdr>
        <w:spacing w:after="120"/>
        <w:jc w:val="both"/>
        <w:rPr>
          <w:color w:val="000000"/>
          <w:spacing w:val="-4"/>
        </w:rPr>
      </w:pPr>
      <w:r w:rsidRPr="0086078C">
        <w:rPr>
          <w:color w:val="000000"/>
          <w:spacing w:val="-4"/>
        </w:rPr>
        <w:t xml:space="preserve">“ I.- Indien de elektrische of elektronische apparatuur te koop wordt aangeboden in een winkel, moet de verkoper de door de fabrikant of importeur verstrekte herstelbaarheidsindex overeenkomstig de voorwaarden en de kenmerking die bij besluit zijn vastgelegd, op zichtbare wijze aanbrengen op de aangeboden apparatuur of in de onmiddellijke nabijheid van deze apparatuur. </w:t>
      </w:r>
    </w:p>
    <w:p w14:paraId="00000045" w14:textId="5D2DF6CE" w:rsidR="00EF7252" w:rsidRDefault="007C6B33" w:rsidP="00081B50">
      <w:pPr>
        <w:pBdr>
          <w:top w:val="nil"/>
          <w:left w:val="nil"/>
          <w:bottom w:val="nil"/>
          <w:right w:val="nil"/>
          <w:between w:val="nil"/>
        </w:pBdr>
        <w:spacing w:after="120"/>
        <w:jc w:val="both"/>
        <w:rPr>
          <w:color w:val="000000"/>
        </w:rPr>
      </w:pPr>
      <w:r>
        <w:rPr>
          <w:color w:val="000000"/>
        </w:rPr>
        <w:t>“II.- Indien de elektrische of elektronische apparatuur te koop wordt aangeboden in het kader van een verkoop op afstand, moet de verkoper de herstelbaarheidsindex overeenkomstig de voorwaarden en de kenmerking die bij besluit zijn vastgelegd op zichtbare wijze weergeven in de presentatie van de apparatuur en in de buurt van de prijs.</w:t>
      </w:r>
    </w:p>
    <w:p w14:paraId="00000046" w14:textId="77777777" w:rsidR="00EF7252" w:rsidRDefault="007C6B33" w:rsidP="00081B50">
      <w:pPr>
        <w:pBdr>
          <w:top w:val="nil"/>
          <w:left w:val="nil"/>
          <w:bottom w:val="nil"/>
          <w:right w:val="nil"/>
          <w:between w:val="nil"/>
        </w:pBdr>
        <w:spacing w:after="120"/>
        <w:jc w:val="both"/>
        <w:rPr>
          <w:color w:val="000000"/>
        </w:rPr>
      </w:pPr>
      <w:r>
        <w:rPr>
          <w:color w:val="000000"/>
        </w:rPr>
        <w:t>“III.- De verkoper moet aan de consumenten tevens de parameters verstrekken op basis waarvan de herstelbaarheidsindex van de apparatuur is opgesteld overeenkomstig het formaat dat bij besluit is vastgelegd en dit via eender welke geschikte procedure.</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t xml:space="preserve">“Art. 544-5.- De herstelbaarheidsindex en de parameters op basis waarvan deze is opgesteld, moeten door de fabrikanten of importeurs aan de consument ter beschikking worden gesteld gedurende een periode van minstens twee jaar na het op de markt brengen van het laatste exemplaar van een betrokken apparaatmodel.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“Art. 544-6.-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“I-.De herstelbaarheidsindex wordt berekend op basis van de volgende parameters: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“a) een score op twintig met betrekking tot de periode van beschikbaarheid van de technische documentatie en de gebruiks- en onderhoudsaanwijzingen, bij fabrikanten, reparateurs en consumenten;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t>“b) een score op twintig met betrekking tot de demonteerbare aard van de apparatuur: aantal demontagefasen voor een vlotte toegang tot de onderdelen, kenmerken van het noodzakelijke gereedschap en de bevestigingen tussen onderdelen;</w:t>
      </w:r>
    </w:p>
    <w:p w14:paraId="0000004D" w14:textId="74B0C666" w:rsidR="00EF7252" w:rsidRDefault="007C6B33" w:rsidP="00081B50">
      <w:pPr>
        <w:pBdr>
          <w:top w:val="nil"/>
          <w:left w:val="nil"/>
          <w:bottom w:val="nil"/>
          <w:right w:val="nil"/>
          <w:between w:val="nil"/>
        </w:pBdr>
        <w:spacing w:after="120"/>
        <w:jc w:val="both"/>
        <w:rPr>
          <w:color w:val="000000"/>
        </w:rPr>
      </w:pPr>
      <w:r>
        <w:rPr>
          <w:color w:val="000000"/>
        </w:rPr>
        <w:t>“c) een score op twintig met betrekking tot de perioden van beschikbaarheid op de markt van onderdelen en de leveringstermijnen, bij producenten, distributeurs van onderdelen, reparateurs en consumenten;</w:t>
      </w:r>
    </w:p>
    <w:p w14:paraId="0000004E" w14:textId="20211C48" w:rsidR="00EF7252" w:rsidRDefault="007C6B33" w:rsidP="00081B50">
      <w:pPr>
        <w:pBdr>
          <w:top w:val="nil"/>
          <w:left w:val="nil"/>
          <w:bottom w:val="nil"/>
          <w:right w:val="nil"/>
          <w:between w:val="nil"/>
        </w:pBdr>
        <w:spacing w:after="120"/>
        <w:jc w:val="both"/>
        <w:rPr>
          <w:color w:val="000000"/>
        </w:rPr>
      </w:pPr>
      <w:r>
        <w:rPr>
          <w:color w:val="000000"/>
        </w:rPr>
        <w:t>“d) een score op twintig met betrekking tot de verhouding tussen de verkoopprijs van de onderdelen door de fabrikant of importeur en de verkoopprijs van de apparatuur door de fabrikant of importeur, berekend overeenkomstig de voorwaarden die bij besluit zijn vastgelegd;</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“e) een score op twintig met betrekking tot de criteria die specifiek zijn voor de betrokken categorie van apparatuur.</w:t>
      </w:r>
    </w:p>
    <w:p w14:paraId="00000051" w14:textId="1A917FCE" w:rsidR="00EF7252" w:rsidRPr="0086078C" w:rsidRDefault="007C6B33" w:rsidP="00081B50">
      <w:pPr>
        <w:pBdr>
          <w:top w:val="nil"/>
          <w:left w:val="nil"/>
          <w:bottom w:val="nil"/>
          <w:right w:val="nil"/>
          <w:between w:val="nil"/>
        </w:pBdr>
        <w:spacing w:after="120"/>
        <w:jc w:val="both"/>
        <w:rPr>
          <w:color w:val="000000"/>
          <w:spacing w:val="-4"/>
        </w:rPr>
      </w:pPr>
      <w:r w:rsidRPr="0086078C">
        <w:rPr>
          <w:color w:val="000000"/>
          <w:spacing w:val="-4"/>
        </w:rPr>
        <w:t xml:space="preserve">“II-. De herstelbaarheidsindex wordt verkregen door de vijf verkregen scores op te tellen en dit totaal vervolgens te delen door tien om te komen tot een synthetische score op een schaal van 1 tot 10. </w:t>
      </w:r>
    </w:p>
    <w:p w14:paraId="00000053" w14:textId="64E269B9" w:rsidR="00EF7252" w:rsidRDefault="00276444" w:rsidP="00081B50">
      <w:pPr>
        <w:pBdr>
          <w:top w:val="nil"/>
          <w:left w:val="nil"/>
          <w:bottom w:val="nil"/>
          <w:right w:val="nil"/>
          <w:between w:val="nil"/>
        </w:pBdr>
        <w:spacing w:after="120"/>
        <w:jc w:val="both"/>
        <w:rPr>
          <w:color w:val="000000"/>
        </w:rPr>
      </w:pPr>
      <w:r>
        <w:rPr>
          <w:color w:val="000000"/>
        </w:rPr>
        <w:t xml:space="preserve"> “III-. In een besluit van de voor milieu bevoegde minister en de voor economie en financiën bevoegde minister moeten voor elke categorie van elektrische en elektronische apparatuur alle criteria en subcriteria, met inbegrip van criteria die specifiek zijn voor de categorie, alsook de methoden voor berekening van de index worden vastgelegd.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Default="007C6B33" w:rsidP="00081B50">
      <w:pPr>
        <w:pBdr>
          <w:top w:val="nil"/>
          <w:left w:val="nil"/>
          <w:bottom w:val="nil"/>
          <w:right w:val="nil"/>
          <w:between w:val="nil"/>
        </w:pBdr>
        <w:spacing w:after="120"/>
        <w:jc w:val="both"/>
        <w:rPr>
          <w:color w:val="000000"/>
        </w:rPr>
      </w:pPr>
      <w:r>
        <w:rPr>
          <w:color w:val="000000"/>
        </w:rPr>
        <w:t xml:space="preserve">“Art. 544-7.- Vanaf 1 januari 2024 vervolledigt of vervangt een duurzaamheidsindex voor bepaalde categorieën van apparatuur de herstelbaarheidsindex door nieuwe criteria op te nemen, zoals met name betrouwbaarheid en degelijkheid van de apparatuur. </w:t>
      </w:r>
    </w:p>
    <w:p w14:paraId="00000057"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Artikel 2</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De bepalingen van onderhavig decreet treden in werking op 1 januari 2021.</w:t>
      </w:r>
    </w:p>
    <w:p w14:paraId="0000005A" w14:textId="77777777" w:rsidR="00EF7252" w:rsidRDefault="007C6B33" w:rsidP="0086078C">
      <w:pPr>
        <w:keepNext/>
        <w:keepLines/>
        <w:pBdr>
          <w:top w:val="nil"/>
          <w:left w:val="nil"/>
          <w:bottom w:val="nil"/>
          <w:right w:val="nil"/>
          <w:between w:val="nil"/>
        </w:pBdr>
        <w:spacing w:before="240" w:after="240"/>
        <w:jc w:val="center"/>
        <w:rPr>
          <w:b/>
          <w:color w:val="000000"/>
        </w:rPr>
      </w:pPr>
      <w:r>
        <w:rPr>
          <w:b/>
          <w:color w:val="000000"/>
        </w:rPr>
        <w:lastRenderedPageBreak/>
        <w:t>Artikel 3</w:t>
      </w:r>
    </w:p>
    <w:p w14:paraId="0000005B" w14:textId="35995E0E" w:rsidR="00EF7252" w:rsidRDefault="007C6B33" w:rsidP="0086078C">
      <w:pPr>
        <w:keepNext/>
        <w:keepLines/>
        <w:pBdr>
          <w:top w:val="nil"/>
          <w:left w:val="nil"/>
          <w:bottom w:val="nil"/>
          <w:right w:val="nil"/>
          <w:between w:val="nil"/>
        </w:pBdr>
        <w:spacing w:before="240" w:after="240"/>
        <w:jc w:val="both"/>
        <w:rPr>
          <w:color w:val="000000"/>
        </w:rPr>
      </w:pPr>
      <w:r>
        <w:rPr>
          <w:color w:val="000000"/>
        </w:rPr>
        <w:t xml:space="preserve">De minister van Ecologische Transitie en de minister van Economie en Financiën zijn belast, elk voor wat hen aanbelangt, met de toepassing van onderhavig decreet, dat in het staatsblad van de Franse Republiek zal worden bekendgemaakt. </w:t>
      </w:r>
    </w:p>
    <w:p w14:paraId="0000005D" w14:textId="77777777" w:rsidR="00EF7252" w:rsidRDefault="007C6B33" w:rsidP="0086078C">
      <w:pPr>
        <w:keepNext/>
        <w:keepLines/>
        <w:pBdr>
          <w:top w:val="nil"/>
          <w:left w:val="nil"/>
          <w:bottom w:val="nil"/>
          <w:right w:val="nil"/>
          <w:between w:val="nil"/>
        </w:pBdr>
        <w:spacing w:before="280" w:after="280"/>
        <w:ind w:firstLine="720"/>
        <w:jc w:val="both"/>
        <w:rPr>
          <w:color w:val="000000"/>
        </w:rPr>
      </w:pPr>
      <w:r>
        <w:rPr>
          <w:color w:val="000000"/>
        </w:rPr>
        <w:t>Opgesteld op xx xx 2020</w:t>
      </w:r>
    </w:p>
    <w:p w14:paraId="6DD4078F" w14:textId="77777777" w:rsidR="00081B50" w:rsidRDefault="007C6B33" w:rsidP="00081B50">
      <w:pPr>
        <w:keepNext/>
        <w:keepLines/>
        <w:pBdr>
          <w:top w:val="nil"/>
          <w:left w:val="nil"/>
          <w:bottom w:val="nil"/>
          <w:right w:val="nil"/>
          <w:between w:val="nil"/>
        </w:pBdr>
        <w:spacing w:before="480"/>
        <w:ind w:left="720"/>
        <w:rPr>
          <w:color w:val="000000"/>
        </w:rPr>
      </w:pPr>
      <w:bookmarkStart w:id="1" w:name="_heading=h.30j0zll"/>
      <w:bookmarkEnd w:id="1"/>
      <w:r>
        <w:rPr>
          <w:color w:val="000000"/>
        </w:rPr>
        <w:t>Door de eerste minister:</w:t>
      </w:r>
    </w:p>
    <w:p w14:paraId="039D5CE4" w14:textId="0EC6F35A" w:rsidR="00081B50" w:rsidRDefault="007C6B33" w:rsidP="00081B50">
      <w:pPr>
        <w:pBdr>
          <w:top w:val="nil"/>
          <w:left w:val="nil"/>
          <w:bottom w:val="nil"/>
          <w:right w:val="nil"/>
          <w:between w:val="nil"/>
        </w:pBdr>
        <w:ind w:left="720"/>
        <w:rPr>
          <w:color w:val="000000"/>
        </w:rPr>
      </w:pPr>
      <w:r>
        <w:rPr>
          <w:color w:val="000000"/>
        </w:rPr>
        <w:t>Jean CASTEX</w:t>
      </w:r>
    </w:p>
    <w:p w14:paraId="01727CB8"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De minister van Ecologische Transitie,</w:t>
      </w:r>
    </w:p>
    <w:p w14:paraId="60ACC114" w14:textId="20DE3655" w:rsidR="00081B50" w:rsidRDefault="007C6B33" w:rsidP="00081B50">
      <w:pPr>
        <w:pBdr>
          <w:top w:val="nil"/>
          <w:left w:val="nil"/>
          <w:bottom w:val="nil"/>
          <w:right w:val="nil"/>
          <w:between w:val="nil"/>
        </w:pBdr>
        <w:ind w:left="720"/>
        <w:rPr>
          <w:color w:val="000000"/>
        </w:rPr>
      </w:pPr>
      <w:r>
        <w:rPr>
          <w:color w:val="000000"/>
        </w:rPr>
        <w:t>Barbara POMPILI</w:t>
      </w:r>
    </w:p>
    <w:p w14:paraId="679F4E3A"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De minister van Economie en Financiën,</w:t>
      </w:r>
    </w:p>
    <w:p w14:paraId="0000005E" w14:textId="52901521" w:rsidR="00EF7252" w:rsidRDefault="007C6B33" w:rsidP="00081B50">
      <w:pPr>
        <w:pBdr>
          <w:top w:val="nil"/>
          <w:left w:val="nil"/>
          <w:bottom w:val="nil"/>
          <w:right w:val="nil"/>
          <w:between w:val="nil"/>
        </w:pBdr>
        <w:ind w:left="720"/>
        <w:rPr>
          <w:color w:val="000000"/>
        </w:rPr>
      </w:pPr>
      <w:r>
        <w:rPr>
          <w:color w:val="000000"/>
        </w:rPr>
        <w:t>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E4F1" w14:textId="77777777" w:rsidR="00115349" w:rsidRDefault="00115349">
      <w:r>
        <w:separator/>
      </w:r>
    </w:p>
  </w:endnote>
  <w:endnote w:type="continuationSeparator" w:id="0">
    <w:p w14:paraId="15040677" w14:textId="77777777" w:rsidR="00115349" w:rsidRDefault="001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A9C49" w14:textId="77777777" w:rsidR="00115349" w:rsidRDefault="00115349">
      <w:r>
        <w:separator/>
      </w:r>
    </w:p>
  </w:footnote>
  <w:footnote w:type="continuationSeparator" w:id="0">
    <w:p w14:paraId="1505A8CD" w14:textId="77777777" w:rsidR="00115349" w:rsidRDefault="0011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2"/>
    <w:rsid w:val="00081B50"/>
    <w:rsid w:val="00106E77"/>
    <w:rsid w:val="00115349"/>
    <w:rsid w:val="00276444"/>
    <w:rsid w:val="003B1438"/>
    <w:rsid w:val="00535D26"/>
    <w:rsid w:val="0066778A"/>
    <w:rsid w:val="007C6B33"/>
    <w:rsid w:val="00817DDD"/>
    <w:rsid w:val="0086078C"/>
    <w:rsid w:val="00956AEB"/>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l-NL"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rPr>
  </w:style>
  <w:style w:type="paragraph" w:styleId="Heading2">
    <w:name w:val="heading 2"/>
    <w:basedOn w:val="Normal"/>
    <w:next w:val="Normal"/>
    <w:qFormat/>
    <w:pPr>
      <w:keepNext/>
      <w:numPr>
        <w:ilvl w:val="1"/>
        <w:numId w:val="1"/>
      </w:numPr>
      <w:spacing w:before="360"/>
      <w:jc w:val="center"/>
      <w:outlineLvl w:val="1"/>
    </w:pPr>
    <w:rPr>
      <w:b/>
      <w:bCs/>
      <w:iCs/>
      <w:smallCaps/>
    </w:rPr>
  </w:style>
  <w:style w:type="paragraph" w:styleId="Heading3">
    <w:name w:val="heading 3"/>
    <w:basedOn w:val="Normal"/>
    <w:next w:val="Normal"/>
    <w:qFormat/>
    <w:pPr>
      <w:keepNext/>
      <w:numPr>
        <w:ilvl w:val="2"/>
        <w:numId w:val="1"/>
      </w:numPr>
      <w:spacing w:before="360"/>
      <w:jc w:val="center"/>
      <w:outlineLvl w:val="2"/>
    </w:pPr>
    <w:rPr>
      <w:b/>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nl-NL" w:bidi="ar-SA"/>
    </w:rPr>
  </w:style>
  <w:style w:type="character" w:customStyle="1" w:styleId="SNDateCar">
    <w:name w:val="SNDate Car"/>
    <w:qFormat/>
    <w:rPr>
      <w:sz w:val="24"/>
      <w:szCs w:val="24"/>
      <w:lang w:val="nl-NL" w:bidi="ar-SA"/>
    </w:rPr>
  </w:style>
  <w:style w:type="character" w:customStyle="1" w:styleId="SNArticleCar">
    <w:name w:val="SNArticle Car"/>
    <w:qFormat/>
    <w:rPr>
      <w:b/>
      <w:bCs/>
      <w:sz w:val="24"/>
      <w:szCs w:val="24"/>
      <w:lang w:val="nl-NL"/>
    </w:rPr>
  </w:style>
  <w:style w:type="character" w:customStyle="1" w:styleId="SNenProjet">
    <w:name w:val="SNenProjet"/>
    <w:basedOn w:val="Policepardfaut1"/>
    <w:qFormat/>
  </w:style>
  <w:style w:type="character" w:customStyle="1" w:styleId="CarCar5">
    <w:name w:val="Car Car5"/>
    <w:qFormat/>
    <w:rPr>
      <w:b/>
      <w:sz w:val="24"/>
      <w:szCs w:val="26"/>
      <w:lang w:val="nl-NL"/>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nl-NL"/>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nl-NL" w:eastAsia="en-US"/>
    </w:rPr>
  </w:style>
  <w:style w:type="character" w:customStyle="1" w:styleId="TablebodyChar">
    <w:name w:val="Table body Char"/>
    <w:link w:val="Tablebody"/>
    <w:qFormat/>
    <w:rsid w:val="00C16C8D"/>
    <w:rPr>
      <w:rFonts w:ascii="Arial" w:eastAsia="Calibri" w:hAnsi="Arial"/>
      <w:szCs w:val="22"/>
      <w:lang w:val="nl-NL" w:eastAsia="en-US"/>
    </w:rPr>
  </w:style>
  <w:style w:type="character" w:customStyle="1" w:styleId="TableheaderChar">
    <w:name w:val="Table header Char"/>
    <w:link w:val="Tableheader"/>
    <w:qFormat/>
    <w:rsid w:val="00C16C8D"/>
    <w:rPr>
      <w:rFonts w:ascii="Arial" w:eastAsia="Calibri" w:hAnsi="Arial"/>
      <w:szCs w:val="22"/>
      <w:lang w:val="nl-NL"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nl-NL"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1611</Words>
  <Characters>9187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Diana STOICA</cp:lastModifiedBy>
  <cp:revision>3</cp:revision>
  <dcterms:created xsi:type="dcterms:W3CDTF">2020-07-08T10:11:00Z</dcterms:created>
  <dcterms:modified xsi:type="dcterms:W3CDTF">2020-07-29T13:54:00Z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