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9AE84A7" w14:textId="75EF08F9" w:rsidR="00817DDD" w:rsidRPr="00817DDD" w:rsidRDefault="00817DDD" w:rsidP="00817DDD">
      <w:pPr>
        <w:spacing w:after="120"/>
        <w:ind w:right="14"/>
        <w:jc w:val="center"/>
        <w:rPr>
          <w:rFonts w:ascii="Courier New" w:hAnsi="Courier New" w:cs="Courier New"/>
          <w:sz w:val="20"/>
          <w:szCs w:val="20"/>
        </w:rPr>
      </w:pPr>
      <w:r>
        <w:rPr>
          <w:rFonts w:ascii="Courier New" w:hAnsi="Courier New"/>
          <w:sz w:val="20"/>
        </w:rPr>
        <w:t>1. ------IND- 2020 0468 F-- SL- ------ 20200729 --- --- OSNUTEK</w:t>
      </w:r>
    </w:p>
    <w:tbl>
      <w:tblPr>
        <w:tblStyle w:val="1"/>
        <w:tblW w:w="3982" w:type="dxa"/>
        <w:tblInd w:w="0" w:type="dxa"/>
        <w:tblLayout w:type="fixed"/>
        <w:tblLook w:val="0000" w:firstRow="0" w:lastRow="0" w:firstColumn="0" w:lastColumn="0" w:noHBand="0" w:noVBand="0"/>
      </w:tblPr>
      <w:tblGrid>
        <w:gridCol w:w="1527"/>
        <w:gridCol w:w="967"/>
        <w:gridCol w:w="1488"/>
      </w:tblGrid>
      <w:tr w:rsidR="00EF7252" w14:paraId="000CF195" w14:textId="77777777" w:rsidTr="00817DDD">
        <w:tc>
          <w:tcPr>
            <w:tcW w:w="3982" w:type="dxa"/>
            <w:gridSpan w:val="3"/>
            <w:shd w:val="clear" w:color="auto" w:fill="auto"/>
          </w:tcPr>
          <w:p w14:paraId="00000004" w14:textId="77777777" w:rsidR="00EF7252" w:rsidRDefault="007C6B33" w:rsidP="00081B50">
            <w:pPr>
              <w:pBdr>
                <w:top w:val="nil"/>
                <w:left w:val="nil"/>
                <w:bottom w:val="nil"/>
                <w:right w:val="nil"/>
                <w:between w:val="nil"/>
              </w:pBdr>
              <w:jc w:val="center"/>
              <w:rPr>
                <w:b/>
                <w:color w:val="000000"/>
              </w:rPr>
            </w:pPr>
            <w:r>
              <w:rPr>
                <w:b/>
                <w:color w:val="000000"/>
              </w:rPr>
              <w:t>FRANCOSKA REPUBLIKA</w:t>
            </w:r>
          </w:p>
        </w:tc>
      </w:tr>
      <w:tr w:rsidR="00EF7252" w14:paraId="0B9C9F19" w14:textId="77777777" w:rsidTr="00817DDD">
        <w:tc>
          <w:tcPr>
            <w:tcW w:w="1527" w:type="dxa"/>
            <w:shd w:val="clear" w:color="auto" w:fill="auto"/>
          </w:tcPr>
          <w:p w14:paraId="00000007" w14:textId="77777777" w:rsidR="00EF7252" w:rsidRDefault="00EF7252" w:rsidP="00081B50"/>
        </w:tc>
        <w:tc>
          <w:tcPr>
            <w:tcW w:w="967" w:type="dxa"/>
            <w:shd w:val="clear" w:color="auto" w:fill="auto"/>
          </w:tcPr>
          <w:p w14:paraId="00000008" w14:textId="77777777" w:rsidR="00EF7252" w:rsidRDefault="00EF7252" w:rsidP="00081B50"/>
        </w:tc>
        <w:tc>
          <w:tcPr>
            <w:tcW w:w="1488" w:type="dxa"/>
            <w:shd w:val="clear" w:color="auto" w:fill="auto"/>
          </w:tcPr>
          <w:p w14:paraId="00000009" w14:textId="77777777" w:rsidR="00EF7252" w:rsidRDefault="00EF7252" w:rsidP="00081B50"/>
        </w:tc>
      </w:tr>
      <w:tr w:rsidR="00EF7252" w14:paraId="12903DE1" w14:textId="77777777" w:rsidTr="00817DDD">
        <w:tc>
          <w:tcPr>
            <w:tcW w:w="3982" w:type="dxa"/>
            <w:gridSpan w:val="3"/>
            <w:shd w:val="clear" w:color="auto" w:fill="auto"/>
          </w:tcPr>
          <w:p w14:paraId="0000000B" w14:textId="7F1B9FCF" w:rsidR="00EF7252" w:rsidRDefault="007C6B33" w:rsidP="00081B50">
            <w:pPr>
              <w:pBdr>
                <w:top w:val="nil"/>
                <w:left w:val="nil"/>
                <w:bottom w:val="nil"/>
                <w:right w:val="nil"/>
                <w:between w:val="nil"/>
              </w:pBdr>
              <w:spacing w:before="120"/>
              <w:jc w:val="center"/>
              <w:rPr>
                <w:color w:val="000000"/>
              </w:rPr>
            </w:pPr>
            <w:r>
              <w:rPr>
                <w:color w:val="000000"/>
              </w:rPr>
              <w:t>Ministrstvo za ekološko preoblikovanje Ministrstvo za gospodarstvo in finance</w:t>
            </w:r>
          </w:p>
        </w:tc>
      </w:tr>
      <w:tr w:rsidR="00EF7252" w14:paraId="42A29FEC" w14:textId="77777777" w:rsidTr="00817DDD">
        <w:tc>
          <w:tcPr>
            <w:tcW w:w="1527" w:type="dxa"/>
            <w:shd w:val="clear" w:color="auto" w:fill="auto"/>
          </w:tcPr>
          <w:p w14:paraId="0000000E" w14:textId="77777777" w:rsidR="00EF7252" w:rsidRDefault="00EF7252" w:rsidP="00081B50"/>
        </w:tc>
        <w:tc>
          <w:tcPr>
            <w:tcW w:w="967" w:type="dxa"/>
            <w:shd w:val="clear" w:color="auto" w:fill="auto"/>
          </w:tcPr>
          <w:p w14:paraId="0000000F" w14:textId="77777777" w:rsidR="00EF7252" w:rsidRDefault="00EF7252" w:rsidP="00081B50"/>
        </w:tc>
        <w:tc>
          <w:tcPr>
            <w:tcW w:w="1488" w:type="dxa"/>
            <w:shd w:val="clear" w:color="auto" w:fill="auto"/>
          </w:tcPr>
          <w:p w14:paraId="00000010" w14:textId="77777777" w:rsidR="00EF7252" w:rsidRDefault="00EF7252" w:rsidP="00081B50"/>
        </w:tc>
      </w:tr>
      <w:tr w:rsidR="00EF7252" w14:paraId="73DDF771" w14:textId="77777777" w:rsidTr="00817DDD">
        <w:tc>
          <w:tcPr>
            <w:tcW w:w="1527" w:type="dxa"/>
            <w:shd w:val="clear" w:color="auto" w:fill="auto"/>
          </w:tcPr>
          <w:p w14:paraId="00000011" w14:textId="77777777" w:rsidR="00EF7252" w:rsidRDefault="00EF7252" w:rsidP="00081B50"/>
        </w:tc>
        <w:tc>
          <w:tcPr>
            <w:tcW w:w="967" w:type="dxa"/>
            <w:shd w:val="clear" w:color="auto" w:fill="auto"/>
          </w:tcPr>
          <w:p w14:paraId="00000012" w14:textId="77777777" w:rsidR="00EF7252" w:rsidRDefault="00EF7252" w:rsidP="00081B50"/>
        </w:tc>
        <w:tc>
          <w:tcPr>
            <w:tcW w:w="1488" w:type="dxa"/>
            <w:shd w:val="clear" w:color="auto" w:fill="auto"/>
          </w:tcPr>
          <w:p w14:paraId="00000013" w14:textId="77777777" w:rsidR="00EF7252" w:rsidRDefault="00EF7252" w:rsidP="00081B50"/>
        </w:tc>
      </w:tr>
    </w:tbl>
    <w:p w14:paraId="00000014" w14:textId="655CC705" w:rsidR="00EF7252" w:rsidRDefault="007C6B33" w:rsidP="00081B50">
      <w:pPr>
        <w:pBdr>
          <w:top w:val="nil"/>
          <w:left w:val="nil"/>
          <w:bottom w:val="nil"/>
          <w:right w:val="nil"/>
          <w:between w:val="nil"/>
        </w:pBdr>
        <w:spacing w:before="720" w:after="120"/>
        <w:jc w:val="center"/>
        <w:rPr>
          <w:b/>
          <w:color w:val="000000"/>
        </w:rPr>
      </w:pPr>
      <w:r>
        <w:rPr>
          <w:b/>
          <w:color w:val="000000"/>
        </w:rPr>
        <w:t>Uredba št. 2020-xxx z dne xx xxx 2020</w:t>
      </w:r>
      <w:r>
        <w:rPr>
          <w:b/>
          <w:color w:val="000000"/>
        </w:rPr>
        <w:br/>
        <w:t>o indeksu popravljivosti električne in elektronske opreme</w:t>
      </w:r>
    </w:p>
    <w:p w14:paraId="00000015" w14:textId="3A2425A6" w:rsidR="00EF7252" w:rsidRDefault="00817DDD" w:rsidP="00081B50">
      <w:pPr>
        <w:pBdr>
          <w:top w:val="nil"/>
          <w:left w:val="nil"/>
          <w:bottom w:val="nil"/>
          <w:right w:val="nil"/>
          <w:between w:val="nil"/>
        </w:pBdr>
        <w:jc w:val="center"/>
        <w:rPr>
          <w:i/>
          <w:color w:val="000000"/>
        </w:rPr>
      </w:pPr>
      <w:r>
        <w:rPr>
          <w:color w:val="000000"/>
        </w:rPr>
        <w:t>NOR:</w:t>
      </w:r>
    </w:p>
    <w:p w14:paraId="00000016" w14:textId="334BF5BD" w:rsidR="00EF7252" w:rsidRPr="00364BB6" w:rsidRDefault="007C6B33" w:rsidP="00081B50">
      <w:pPr>
        <w:pBdr>
          <w:top w:val="nil"/>
          <w:left w:val="nil"/>
          <w:bottom w:val="nil"/>
          <w:right w:val="nil"/>
          <w:between w:val="nil"/>
        </w:pBdr>
        <w:spacing w:before="720" w:after="240"/>
        <w:ind w:firstLine="720"/>
        <w:jc w:val="both"/>
        <w:rPr>
          <w:b/>
          <w:i/>
          <w:color w:val="000000"/>
          <w:spacing w:val="-4"/>
        </w:rPr>
      </w:pPr>
      <w:r w:rsidRPr="00364BB6">
        <w:rPr>
          <w:b/>
          <w:i/>
          <w:color w:val="000000"/>
          <w:spacing w:val="-4"/>
        </w:rPr>
        <w:t xml:space="preserve">Ciljna javnost: </w:t>
      </w:r>
      <w:r w:rsidRPr="00364BB6">
        <w:rPr>
          <w:i/>
          <w:color w:val="000000"/>
          <w:spacing w:val="-4"/>
        </w:rPr>
        <w:t xml:space="preserve">proizvajalci, uvozniki, distributerji ali drugi dajalci električne in elektronske opreme na trg in prodajalci te opreme, kot tudi osebe, ki uporabljajo internet, platformo ali katero koli drugo spletno distribucijsko pot v okviru svoje trgovinske dejavnosti v Franciji. </w:t>
      </w:r>
    </w:p>
    <w:p w14:paraId="00000017" w14:textId="77777777" w:rsidR="00EF7252" w:rsidRDefault="007C6B33" w:rsidP="00081B50">
      <w:pPr>
        <w:pBdr>
          <w:top w:val="nil"/>
          <w:left w:val="nil"/>
          <w:bottom w:val="nil"/>
          <w:right w:val="nil"/>
          <w:between w:val="nil"/>
        </w:pBdr>
        <w:spacing w:before="120" w:after="240"/>
        <w:ind w:firstLine="720"/>
        <w:jc w:val="both"/>
        <w:rPr>
          <w:b/>
          <w:i/>
          <w:color w:val="000000"/>
        </w:rPr>
      </w:pPr>
      <w:r>
        <w:rPr>
          <w:b/>
          <w:bCs/>
          <w:i/>
          <w:color w:val="000000"/>
        </w:rPr>
        <w:t>Zadeva:</w:t>
      </w:r>
      <w:r>
        <w:rPr>
          <w:b/>
          <w:i/>
          <w:color w:val="000000"/>
        </w:rPr>
        <w:t xml:space="preserve"> </w:t>
      </w:r>
      <w:r>
        <w:rPr>
          <w:i/>
          <w:color w:val="000000"/>
        </w:rPr>
        <w:t>podrobna pravila za uporabo indeksa popravljivosti, določenega v členu L 541-9-2 Okoljskega zakonika</w:t>
      </w:r>
    </w:p>
    <w:p w14:paraId="00000018" w14:textId="77777777" w:rsidR="00EF7252" w:rsidRDefault="007C6B33" w:rsidP="00081B50">
      <w:pPr>
        <w:pBdr>
          <w:top w:val="nil"/>
          <w:left w:val="nil"/>
          <w:bottom w:val="nil"/>
          <w:right w:val="nil"/>
          <w:between w:val="nil"/>
        </w:pBdr>
        <w:spacing w:before="120" w:after="240"/>
        <w:ind w:firstLine="720"/>
        <w:rPr>
          <w:b/>
          <w:i/>
          <w:color w:val="000000"/>
        </w:rPr>
      </w:pPr>
      <w:r>
        <w:rPr>
          <w:b/>
          <w:i/>
          <w:color w:val="000000"/>
        </w:rPr>
        <w:t>Začetek veljavnosti:</w:t>
      </w:r>
      <w:r>
        <w:rPr>
          <w:i/>
          <w:color w:val="000000"/>
        </w:rPr>
        <w:t xml:space="preserve"> besedilo začne veljati 1. januarja 2021.</w:t>
      </w:r>
    </w:p>
    <w:p w14:paraId="00000019" w14:textId="77777777" w:rsidR="00EF7252" w:rsidRDefault="007C6B33" w:rsidP="00081B50">
      <w:pPr>
        <w:pBdr>
          <w:top w:val="nil"/>
          <w:left w:val="nil"/>
          <w:bottom w:val="nil"/>
          <w:right w:val="nil"/>
          <w:between w:val="nil"/>
        </w:pBdr>
        <w:spacing w:before="120" w:after="240"/>
        <w:ind w:firstLine="720"/>
        <w:jc w:val="both"/>
        <w:rPr>
          <w:i/>
          <w:color w:val="000000"/>
        </w:rPr>
      </w:pPr>
      <w:r>
        <w:rPr>
          <w:b/>
          <w:i/>
          <w:color w:val="000000"/>
        </w:rPr>
        <w:t xml:space="preserve">Obvestilo: </w:t>
      </w:r>
      <w:r>
        <w:rPr>
          <w:i/>
          <w:color w:val="000000"/>
        </w:rPr>
        <w:t>ta uredba opredeljuje podrobna pravila za izvajanje člena L 541-9-2 Okoljskega zakonika, ki določa uporabo indeksa popravljivosti za določene kategorije električne in elektronske opreme. Natančno določa zlasti merila in način izračuna za sestavo tega indeksa. Proizvajalci in uvozniki zadevne opreme distributerjem in vsaki drugi osebi, ki to zahteva, brezplačno posredujejo indeks popravljivosti in njegove parametre za izračun. Distributerji, vključno s tistimi za prodajo na daljavo, potrošnika v času nakupa z označevanje, etiketiranjem, prikazom ali s katerim koli drugim ustreznim postopkom brezplačno obvestilo o indeksu popravljivosti zadevne opreme.</w:t>
      </w:r>
    </w:p>
    <w:p w14:paraId="0000001A" w14:textId="77777777" w:rsidR="00EF7252" w:rsidRDefault="007C6B33" w:rsidP="00081B50">
      <w:pPr>
        <w:pBdr>
          <w:top w:val="nil"/>
          <w:left w:val="nil"/>
          <w:bottom w:val="nil"/>
          <w:right w:val="nil"/>
          <w:between w:val="nil"/>
        </w:pBdr>
        <w:spacing w:before="120" w:after="240"/>
        <w:ind w:firstLine="720"/>
        <w:jc w:val="both"/>
        <w:rPr>
          <w:b/>
          <w:color w:val="000000"/>
        </w:rPr>
      </w:pPr>
      <w:r>
        <w:rPr>
          <w:b/>
          <w:i/>
          <w:color w:val="000000"/>
        </w:rPr>
        <w:t xml:space="preserve">Referenčna besedila: </w:t>
      </w:r>
      <w:r>
        <w:rPr>
          <w:i/>
          <w:color w:val="000000"/>
        </w:rPr>
        <w:t>ta uredba je na voljo na spletnem mestu Légifrance (</w:t>
      </w:r>
      <w:hyperlink r:id="rId8">
        <w:r>
          <w:rPr>
            <w:i/>
            <w:color w:val="000000"/>
            <w:u w:val="single"/>
          </w:rPr>
          <w:t>http://www.legifrance.gouv.fr</w:t>
        </w:r>
      </w:hyperlink>
      <w:r>
        <w:rPr>
          <w:i/>
          <w:color w:val="000000"/>
        </w:rPr>
        <w:t>).]</w:t>
      </w:r>
    </w:p>
    <w:p w14:paraId="0000001C" w14:textId="77777777" w:rsidR="00EF7252" w:rsidRDefault="007C6B33" w:rsidP="00081B50">
      <w:pPr>
        <w:pBdr>
          <w:top w:val="nil"/>
          <w:left w:val="nil"/>
          <w:bottom w:val="nil"/>
          <w:right w:val="nil"/>
          <w:between w:val="nil"/>
        </w:pBdr>
        <w:spacing w:before="720" w:after="240"/>
        <w:ind w:firstLine="720"/>
        <w:rPr>
          <w:b/>
          <w:color w:val="000000"/>
        </w:rPr>
      </w:pPr>
      <w:r>
        <w:rPr>
          <w:b/>
          <w:color w:val="000000"/>
        </w:rPr>
        <w:t>Predsednik vlade –</w:t>
      </w:r>
    </w:p>
    <w:p w14:paraId="0000001D" w14:textId="1AE9E289" w:rsidR="00EF7252" w:rsidRDefault="007C6B33" w:rsidP="00081B50">
      <w:pPr>
        <w:pBdr>
          <w:top w:val="nil"/>
          <w:left w:val="nil"/>
          <w:bottom w:val="nil"/>
          <w:right w:val="nil"/>
          <w:between w:val="nil"/>
        </w:pBdr>
        <w:spacing w:before="120" w:after="120"/>
        <w:ind w:firstLine="709"/>
        <w:jc w:val="both"/>
        <w:rPr>
          <w:color w:val="000000"/>
        </w:rPr>
      </w:pPr>
      <w:r>
        <w:rPr>
          <w:color w:val="000000"/>
        </w:rPr>
        <w:t>ob upoštevanju poročila ministrice za ekološko preoblikovanje ter ministra za gospodarstvo in finance;</w:t>
      </w:r>
    </w:p>
    <w:p w14:paraId="0000001E" w14:textId="77777777" w:rsidR="00EF7252" w:rsidRDefault="007C6B33" w:rsidP="00081B50">
      <w:pPr>
        <w:pBdr>
          <w:top w:val="nil"/>
          <w:left w:val="nil"/>
          <w:bottom w:val="nil"/>
          <w:right w:val="nil"/>
          <w:between w:val="nil"/>
        </w:pBdr>
        <w:spacing w:before="120" w:after="120"/>
        <w:ind w:firstLine="709"/>
        <w:jc w:val="both"/>
        <w:rPr>
          <w:color w:val="000000"/>
        </w:rPr>
      </w:pPr>
      <w:r>
        <w:rPr>
          <w:color w:val="000000"/>
        </w:rPr>
        <w:t>ob upoštevanju spremenjene Direktive 2008/98/ES Evropskega parlamenta in Sveta z dne 19. novembra 2008 o odpadkih in razveljavitvi nekaterih direktiv;</w:t>
      </w:r>
    </w:p>
    <w:p w14:paraId="0000001F" w14:textId="77777777" w:rsidR="00EF7252" w:rsidRDefault="007C6B33" w:rsidP="00081B50">
      <w:pPr>
        <w:pBdr>
          <w:top w:val="nil"/>
          <w:left w:val="nil"/>
          <w:bottom w:val="nil"/>
          <w:right w:val="nil"/>
          <w:between w:val="nil"/>
        </w:pBdr>
        <w:spacing w:before="120" w:after="120"/>
        <w:ind w:firstLine="709"/>
        <w:jc w:val="both"/>
        <w:rPr>
          <w:color w:val="000000"/>
        </w:rPr>
      </w:pPr>
      <w:r>
        <w:rPr>
          <w:color w:val="000000"/>
        </w:rPr>
        <w:t>ob upoštevanju Direktive (EU) 2015/1535 Evropskega parlamenta in Sveta z dne 9. septembra 2015 o določitvi postopka za zbiranje informacij na področju tehničnih predpisov in pravil za storitve informacijske družbe;</w:t>
      </w:r>
    </w:p>
    <w:p w14:paraId="00000020" w14:textId="7BD1B620" w:rsidR="00EF7252" w:rsidRDefault="007C6B33" w:rsidP="00081B50">
      <w:pPr>
        <w:pBdr>
          <w:top w:val="nil"/>
          <w:left w:val="nil"/>
          <w:bottom w:val="nil"/>
          <w:right w:val="nil"/>
          <w:between w:val="nil"/>
        </w:pBdr>
        <w:spacing w:before="120" w:after="120"/>
        <w:ind w:firstLine="709"/>
        <w:jc w:val="both"/>
        <w:rPr>
          <w:color w:val="000000"/>
        </w:rPr>
      </w:pPr>
      <w:r>
        <w:rPr>
          <w:color w:val="000000"/>
        </w:rPr>
        <w:lastRenderedPageBreak/>
        <w:t xml:space="preserve">ob upoštevanju Potrošniškega zakonika, zlasti uvodnega člena v različici, ki izhaja iz Zakona št. 2017-203 z dne 21. februarja 2017 o ratifikaciji odlokov št. 2016-301 z dne 14. marca 2016 in št. 2016-351 z dne 25. marca 2016; </w:t>
      </w:r>
    </w:p>
    <w:p w14:paraId="00000021" w14:textId="77777777" w:rsidR="00EF7252" w:rsidRDefault="007C6B33" w:rsidP="00081B50">
      <w:pPr>
        <w:pBdr>
          <w:top w:val="nil"/>
          <w:left w:val="nil"/>
          <w:bottom w:val="nil"/>
          <w:right w:val="nil"/>
          <w:between w:val="nil"/>
        </w:pBdr>
        <w:spacing w:before="120" w:after="120"/>
        <w:ind w:firstLine="709"/>
        <w:jc w:val="both"/>
        <w:rPr>
          <w:color w:val="000000"/>
        </w:rPr>
      </w:pPr>
      <w:r>
        <w:rPr>
          <w:color w:val="000000"/>
        </w:rPr>
        <w:t>ob upoštevanju Okoljskega zakonika, zlasti člena L. 541-9-2 v različici, ki izhaja iz člena 16 Zakona št. 2020-105 z dne 10. februarja 2020 o preprečevanju nastajanja odpadkov in krožnem gospodarstvu;</w:t>
      </w:r>
    </w:p>
    <w:p w14:paraId="00000022" w14:textId="77777777" w:rsidR="00EF7252" w:rsidRDefault="007C6B33" w:rsidP="00081B50">
      <w:pPr>
        <w:pBdr>
          <w:top w:val="nil"/>
          <w:left w:val="nil"/>
          <w:bottom w:val="nil"/>
          <w:right w:val="nil"/>
          <w:between w:val="nil"/>
        </w:pBdr>
        <w:spacing w:before="120" w:after="120"/>
        <w:ind w:firstLine="709"/>
        <w:jc w:val="both"/>
        <w:rPr>
          <w:color w:val="000000"/>
        </w:rPr>
      </w:pPr>
      <w:r>
        <w:rPr>
          <w:color w:val="000000"/>
        </w:rPr>
        <w:t>ob upoštevanju uradnega obvestila št. XXXX/XXXX/X, naslovljenega na Evropsko komisijo na podlagi Direktive (EU) 2015/1535;</w:t>
      </w:r>
    </w:p>
    <w:p w14:paraId="00000023" w14:textId="77777777" w:rsidR="00EF7252" w:rsidRDefault="007C6B33" w:rsidP="00081B50">
      <w:pPr>
        <w:pBdr>
          <w:top w:val="nil"/>
          <w:left w:val="nil"/>
          <w:bottom w:val="nil"/>
          <w:right w:val="nil"/>
          <w:between w:val="nil"/>
        </w:pBdr>
        <w:spacing w:before="120" w:after="120"/>
        <w:ind w:firstLine="709"/>
        <w:jc w:val="both"/>
        <w:rPr>
          <w:color w:val="000000"/>
        </w:rPr>
      </w:pPr>
      <w:r>
        <w:rPr>
          <w:color w:val="000000"/>
        </w:rPr>
        <w:t>ob upoštevanju mnenja Državnega sveta (oddelka za javna dela) –</w:t>
      </w:r>
    </w:p>
    <w:p w14:paraId="00000024" w14:textId="77777777" w:rsidR="00EF7252" w:rsidRDefault="007C6B33" w:rsidP="00081B50">
      <w:pPr>
        <w:pBdr>
          <w:top w:val="nil"/>
          <w:left w:val="nil"/>
          <w:bottom w:val="nil"/>
          <w:right w:val="nil"/>
          <w:between w:val="nil"/>
        </w:pBdr>
        <w:spacing w:before="480" w:after="360"/>
        <w:jc w:val="center"/>
        <w:rPr>
          <w:b/>
          <w:color w:val="000000"/>
        </w:rPr>
      </w:pPr>
      <w:r>
        <w:rPr>
          <w:b/>
          <w:color w:val="000000"/>
        </w:rPr>
        <w:t>odreja:</w:t>
      </w:r>
    </w:p>
    <w:p w14:paraId="00000025" w14:textId="77777777" w:rsidR="00EF7252" w:rsidRDefault="007C6B33" w:rsidP="00081B50">
      <w:pPr>
        <w:keepNext/>
        <w:keepLines/>
        <w:pBdr>
          <w:top w:val="nil"/>
          <w:left w:val="nil"/>
          <w:bottom w:val="nil"/>
          <w:right w:val="nil"/>
          <w:between w:val="nil"/>
        </w:pBdr>
        <w:spacing w:after="120"/>
        <w:jc w:val="center"/>
        <w:rPr>
          <w:b/>
          <w:color w:val="000000"/>
        </w:rPr>
      </w:pPr>
      <w:r>
        <w:rPr>
          <w:b/>
          <w:color w:val="000000"/>
        </w:rPr>
        <w:t>Člen 1</w:t>
      </w:r>
    </w:p>
    <w:p w14:paraId="00000026" w14:textId="77777777" w:rsidR="00EF7252" w:rsidRDefault="007C6B33" w:rsidP="00081B50">
      <w:pPr>
        <w:pBdr>
          <w:top w:val="nil"/>
          <w:left w:val="nil"/>
          <w:bottom w:val="nil"/>
          <w:right w:val="nil"/>
          <w:between w:val="nil"/>
        </w:pBdr>
        <w:spacing w:after="120"/>
        <w:jc w:val="both"/>
        <w:rPr>
          <w:color w:val="000000"/>
        </w:rPr>
      </w:pPr>
      <w:r>
        <w:rPr>
          <w:color w:val="000000"/>
        </w:rPr>
        <w:t>V poglavje III naslova IV knjige V urejevalnega besedila Okoljskega zakonika se vstavi naslednji oddelek 1:</w:t>
      </w:r>
    </w:p>
    <w:p w14:paraId="00000027" w14:textId="77777777" w:rsidR="00EF7252" w:rsidRDefault="007C6B33" w:rsidP="00081B50">
      <w:pPr>
        <w:pBdr>
          <w:top w:val="nil"/>
          <w:left w:val="nil"/>
          <w:bottom w:val="nil"/>
          <w:right w:val="nil"/>
          <w:between w:val="nil"/>
        </w:pBdr>
        <w:spacing w:after="120"/>
        <w:jc w:val="both"/>
        <w:rPr>
          <w:color w:val="000000"/>
        </w:rPr>
      </w:pPr>
      <w:r>
        <w:rPr>
          <w:color w:val="000000"/>
        </w:rPr>
        <w:t>„poglavje IV</w:t>
      </w:r>
    </w:p>
    <w:p w14:paraId="00000028" w14:textId="77777777" w:rsidR="00EF7252" w:rsidRDefault="007C6B33" w:rsidP="00081B50">
      <w:pPr>
        <w:pBdr>
          <w:top w:val="nil"/>
          <w:left w:val="nil"/>
          <w:bottom w:val="nil"/>
          <w:right w:val="nil"/>
          <w:between w:val="nil"/>
        </w:pBdr>
        <w:spacing w:after="120"/>
        <w:jc w:val="both"/>
        <w:rPr>
          <w:color w:val="000000"/>
        </w:rPr>
      </w:pPr>
      <w:r>
        <w:rPr>
          <w:color w:val="000000"/>
        </w:rPr>
        <w:t>„Informacije za javnost o izdelkih, ki povzročajo odpadke</w:t>
      </w:r>
    </w:p>
    <w:p w14:paraId="00000029" w14:textId="77777777" w:rsidR="00EF7252" w:rsidRDefault="007C6B33" w:rsidP="00081B50">
      <w:pPr>
        <w:pBdr>
          <w:top w:val="nil"/>
          <w:left w:val="nil"/>
          <w:bottom w:val="nil"/>
          <w:right w:val="nil"/>
          <w:between w:val="nil"/>
        </w:pBdr>
        <w:spacing w:after="120"/>
        <w:jc w:val="both"/>
        <w:rPr>
          <w:color w:val="000000"/>
        </w:rPr>
      </w:pPr>
      <w:r>
        <w:rPr>
          <w:color w:val="000000"/>
        </w:rPr>
        <w:t>„oddelek 1</w:t>
      </w:r>
    </w:p>
    <w:p w14:paraId="0000002A" w14:textId="77777777" w:rsidR="00EF7252" w:rsidRDefault="007C6B33" w:rsidP="00081B50">
      <w:pPr>
        <w:pBdr>
          <w:top w:val="nil"/>
          <w:left w:val="nil"/>
          <w:bottom w:val="nil"/>
          <w:right w:val="nil"/>
          <w:between w:val="nil"/>
        </w:pBdr>
        <w:spacing w:after="120"/>
        <w:jc w:val="both"/>
        <w:rPr>
          <w:color w:val="000000"/>
        </w:rPr>
      </w:pPr>
      <w:r>
        <w:rPr>
          <w:color w:val="000000"/>
        </w:rPr>
        <w:t>„Prikaz indeksa popravljivosti</w:t>
      </w:r>
    </w:p>
    <w:p w14:paraId="0000002B" w14:textId="77777777" w:rsidR="00EF7252" w:rsidRDefault="00EF7252" w:rsidP="00081B50">
      <w:pPr>
        <w:pBdr>
          <w:top w:val="nil"/>
          <w:left w:val="nil"/>
          <w:bottom w:val="nil"/>
          <w:right w:val="nil"/>
          <w:between w:val="nil"/>
        </w:pBdr>
        <w:spacing w:after="120"/>
        <w:jc w:val="both"/>
        <w:rPr>
          <w:color w:val="000000"/>
        </w:rPr>
      </w:pPr>
    </w:p>
    <w:p w14:paraId="0000002C" w14:textId="77777777" w:rsidR="00EF7252" w:rsidRDefault="007C6B33" w:rsidP="00081B50">
      <w:pPr>
        <w:pBdr>
          <w:top w:val="nil"/>
          <w:left w:val="nil"/>
          <w:bottom w:val="nil"/>
          <w:right w:val="nil"/>
          <w:between w:val="nil"/>
        </w:pBdr>
        <w:spacing w:after="120"/>
        <w:jc w:val="both"/>
        <w:rPr>
          <w:color w:val="000000"/>
        </w:rPr>
      </w:pPr>
      <w:bookmarkStart w:id="0" w:name="_heading=h.gjdgxs"/>
      <w:bookmarkEnd w:id="0"/>
      <w:r>
        <w:rPr>
          <w:color w:val="000000"/>
        </w:rPr>
        <w:t>„Člen R 544-1. – Indeks popravljivosti električne ali elektronske opreme, opredeljen v členu L. 541-9-2 Okoljskega zakonika, vključuje oceno do deset, namenjeno obveščanju potrošnikov v času nakupa nove opreme.</w:t>
      </w:r>
    </w:p>
    <w:p w14:paraId="0000002D" w14:textId="277E27B0" w:rsidR="00EF7252" w:rsidRDefault="007C6B33" w:rsidP="00081B50">
      <w:pPr>
        <w:pBdr>
          <w:top w:val="nil"/>
          <w:left w:val="nil"/>
          <w:bottom w:val="nil"/>
          <w:right w:val="nil"/>
          <w:between w:val="nil"/>
        </w:pBdr>
        <w:spacing w:after="120"/>
        <w:jc w:val="both"/>
        <w:rPr>
          <w:color w:val="000000"/>
        </w:rPr>
      </w:pPr>
      <w:r>
        <w:rPr>
          <w:color w:val="000000"/>
        </w:rPr>
        <w:t xml:space="preserve">„Ta indeks se nanaša na vsak model te opreme. </w:t>
      </w:r>
    </w:p>
    <w:p w14:paraId="0000002E" w14:textId="77777777" w:rsidR="00EF7252" w:rsidRDefault="00EF7252" w:rsidP="00081B50">
      <w:pPr>
        <w:pBdr>
          <w:top w:val="nil"/>
          <w:left w:val="nil"/>
          <w:bottom w:val="nil"/>
          <w:right w:val="nil"/>
          <w:between w:val="nil"/>
        </w:pBdr>
        <w:spacing w:after="120"/>
        <w:jc w:val="both"/>
        <w:rPr>
          <w:color w:val="000000"/>
        </w:rPr>
      </w:pPr>
    </w:p>
    <w:p w14:paraId="0000002F" w14:textId="77777777" w:rsidR="00EF7252" w:rsidRDefault="007C6B33" w:rsidP="00081B50">
      <w:pPr>
        <w:keepNext/>
        <w:keepLines/>
        <w:pBdr>
          <w:top w:val="nil"/>
          <w:left w:val="nil"/>
          <w:bottom w:val="nil"/>
          <w:right w:val="nil"/>
          <w:between w:val="nil"/>
        </w:pBdr>
        <w:spacing w:after="120"/>
        <w:jc w:val="both"/>
        <w:rPr>
          <w:color w:val="000000"/>
        </w:rPr>
      </w:pPr>
      <w:r>
        <w:rPr>
          <w:color w:val="000000"/>
        </w:rPr>
        <w:t>„Člen R 544-2. – V tej uredbe se uporabljajo naslednje opredelitve pojmov:</w:t>
      </w:r>
    </w:p>
    <w:p w14:paraId="00000030" w14:textId="77777777" w:rsidR="00EF7252" w:rsidRDefault="007C6B33" w:rsidP="00081B50">
      <w:pPr>
        <w:pBdr>
          <w:top w:val="nil"/>
          <w:left w:val="nil"/>
          <w:bottom w:val="nil"/>
          <w:right w:val="nil"/>
          <w:between w:val="nil"/>
        </w:pBdr>
        <w:spacing w:after="120"/>
        <w:jc w:val="both"/>
        <w:rPr>
          <w:color w:val="000000"/>
        </w:rPr>
      </w:pPr>
      <w:r>
        <w:rPr>
          <w:color w:val="000000"/>
        </w:rPr>
        <w:t>„1. „Omogočanje dostopnosti na trgu“: vsako zagotavljanje električne ali elektronske opreme v okviru trgovinske dejavnosti, namenjene plačljivi ali brezplačni distribuciji ali uporabi na nacionalnem trgu;</w:t>
      </w:r>
    </w:p>
    <w:p w14:paraId="00000031" w14:textId="77777777" w:rsidR="00EF7252" w:rsidRDefault="007C6B33" w:rsidP="00081B50">
      <w:pPr>
        <w:pBdr>
          <w:top w:val="nil"/>
          <w:left w:val="nil"/>
          <w:bottom w:val="nil"/>
          <w:right w:val="nil"/>
          <w:between w:val="nil"/>
        </w:pBdr>
        <w:spacing w:after="120"/>
        <w:jc w:val="both"/>
        <w:rPr>
          <w:color w:val="000000"/>
        </w:rPr>
      </w:pPr>
      <w:r>
        <w:rPr>
          <w:color w:val="000000"/>
        </w:rPr>
        <w:t>„2. „Dajanje na trg“ pomeni prvo dajanje električne ali elektronske opreme na razpolago na nacionalnem trgu;</w:t>
      </w:r>
    </w:p>
    <w:p w14:paraId="00000032" w14:textId="77777777" w:rsidR="00EF7252" w:rsidRDefault="007C6B33" w:rsidP="00081B50">
      <w:pPr>
        <w:pBdr>
          <w:top w:val="nil"/>
          <w:left w:val="nil"/>
          <w:bottom w:val="nil"/>
          <w:right w:val="nil"/>
          <w:between w:val="nil"/>
        </w:pBdr>
        <w:spacing w:after="120"/>
        <w:jc w:val="both"/>
        <w:rPr>
          <w:color w:val="000000"/>
        </w:rPr>
      </w:pPr>
      <w:r>
        <w:rPr>
          <w:color w:val="000000"/>
        </w:rPr>
        <w:t>„3. „Proizvajalec“: vsaka fizična ali pravna oseba, ki proizvaja električno ali elektronsko opremo ali omogoča njeno zasnovo ter jo prodaja pod svojim lastnim imenom ali lastno znamko;</w:t>
      </w:r>
    </w:p>
    <w:p w14:paraId="00000033" w14:textId="19CACFEF" w:rsidR="00EF7252" w:rsidRDefault="007C6B33" w:rsidP="00081B50">
      <w:pPr>
        <w:pBdr>
          <w:top w:val="nil"/>
          <w:left w:val="nil"/>
          <w:bottom w:val="nil"/>
          <w:right w:val="nil"/>
          <w:between w:val="nil"/>
        </w:pBdr>
        <w:spacing w:after="120"/>
        <w:jc w:val="both"/>
        <w:rPr>
          <w:color w:val="000000"/>
        </w:rPr>
      </w:pPr>
      <w:r>
        <w:rPr>
          <w:color w:val="000000"/>
        </w:rPr>
        <w:t>„4. „Uvoznik“: vsaka fizična ali pravna oseba, ki daje električno ali elektronsko opremo s poreklom iz držav članic Evropske unije ali tretjih držav na trg;</w:t>
      </w:r>
    </w:p>
    <w:p w14:paraId="00000034" w14:textId="08141F57" w:rsidR="00EF7252" w:rsidRDefault="007C6B33" w:rsidP="00081B50">
      <w:pPr>
        <w:pBdr>
          <w:top w:val="nil"/>
          <w:left w:val="nil"/>
          <w:bottom w:val="nil"/>
          <w:right w:val="nil"/>
          <w:between w:val="nil"/>
        </w:pBdr>
        <w:spacing w:after="120"/>
        <w:jc w:val="both"/>
        <w:rPr>
          <w:color w:val="000000"/>
        </w:rPr>
      </w:pPr>
      <w:r>
        <w:rPr>
          <w:color w:val="000000"/>
        </w:rPr>
        <w:t>„5. „Distributer“: vsaka pravna ali fizična oseba, ki je del dobavne verige, razen proizvajalca ali uvoznika, ki električno ali elektronsko opremo ponuja v prodajo na nacionalnem trgu;</w:t>
      </w:r>
    </w:p>
    <w:p w14:paraId="00000035" w14:textId="77777777" w:rsidR="00EF7252" w:rsidRDefault="007C6B33" w:rsidP="00081B50">
      <w:pPr>
        <w:pBdr>
          <w:top w:val="nil"/>
          <w:left w:val="nil"/>
          <w:bottom w:val="nil"/>
          <w:right w:val="nil"/>
          <w:between w:val="nil"/>
        </w:pBdr>
        <w:spacing w:after="120"/>
        <w:jc w:val="both"/>
        <w:rPr>
          <w:color w:val="000000"/>
        </w:rPr>
      </w:pPr>
      <w:r>
        <w:rPr>
          <w:color w:val="000000"/>
        </w:rPr>
        <w:t xml:space="preserve">„6. „Prodajalec“: vsaka fizična ali pravna oseba, ki v okviru trgovske dejavnosti s prodajo daje električno ali elektronsko opremo na trg, vključno s prodajo potrošnikom na daljavo; </w:t>
      </w:r>
    </w:p>
    <w:p w14:paraId="00000036" w14:textId="77777777" w:rsidR="00EF7252" w:rsidRDefault="007C6B33" w:rsidP="00364BB6">
      <w:pPr>
        <w:keepLines/>
        <w:pBdr>
          <w:top w:val="nil"/>
          <w:left w:val="nil"/>
          <w:bottom w:val="nil"/>
          <w:right w:val="nil"/>
          <w:between w:val="nil"/>
        </w:pBdr>
        <w:spacing w:after="120"/>
        <w:jc w:val="both"/>
        <w:rPr>
          <w:b/>
          <w:color w:val="000000"/>
        </w:rPr>
      </w:pPr>
      <w:r>
        <w:rPr>
          <w:color w:val="000000"/>
        </w:rPr>
        <w:lastRenderedPageBreak/>
        <w:t>„7. „Prodaja na daljavo“: pogodba, sklenjena na daljavo med poklicnim prodajalcem in potrošnikom, v okviru organiziranega sistema prodaje, brez istočasne fizične prisotnosti poklicnega uporabnika ali potrošnika, izključno z uporabo ene ali več komunikacijskih tehnik na daljavo, dokler se pogodba ne sklene“;</w:t>
      </w:r>
    </w:p>
    <w:p w14:paraId="00000037" w14:textId="77777777" w:rsidR="00EF7252" w:rsidRDefault="007C6B33" w:rsidP="00081B50">
      <w:pPr>
        <w:pBdr>
          <w:top w:val="nil"/>
          <w:left w:val="nil"/>
          <w:bottom w:val="nil"/>
          <w:right w:val="nil"/>
          <w:between w:val="nil"/>
        </w:pBdr>
        <w:spacing w:after="120"/>
        <w:jc w:val="both"/>
        <w:rPr>
          <w:color w:val="000000"/>
        </w:rPr>
      </w:pPr>
      <w:r>
        <w:rPr>
          <w:color w:val="000000"/>
        </w:rPr>
        <w:t>„8. „Model“: različica opreme, katere vse enote imajo enake ustrezne tehnične značilnosti za namene izračuna indeksa popravljivosti.</w:t>
      </w:r>
    </w:p>
    <w:p w14:paraId="00000038" w14:textId="77777777" w:rsidR="00EF7252" w:rsidRDefault="00EF7252" w:rsidP="00081B50">
      <w:pPr>
        <w:pBdr>
          <w:top w:val="nil"/>
          <w:left w:val="nil"/>
          <w:bottom w:val="nil"/>
          <w:right w:val="nil"/>
          <w:between w:val="nil"/>
        </w:pBdr>
        <w:spacing w:after="120"/>
        <w:jc w:val="both"/>
        <w:rPr>
          <w:color w:val="000000"/>
        </w:rPr>
      </w:pPr>
    </w:p>
    <w:p w14:paraId="00000039" w14:textId="77777777" w:rsidR="00EF7252" w:rsidRDefault="007C6B33" w:rsidP="00081B50">
      <w:pPr>
        <w:keepNext/>
        <w:keepLines/>
        <w:pBdr>
          <w:top w:val="nil"/>
          <w:left w:val="nil"/>
          <w:bottom w:val="nil"/>
          <w:right w:val="nil"/>
          <w:between w:val="nil"/>
        </w:pBdr>
        <w:spacing w:after="120"/>
        <w:jc w:val="both"/>
        <w:rPr>
          <w:color w:val="000000"/>
        </w:rPr>
      </w:pPr>
      <w:r>
        <w:rPr>
          <w:color w:val="000000"/>
        </w:rPr>
        <w:t>„Člen 544-3. –</w:t>
      </w:r>
    </w:p>
    <w:p w14:paraId="23CD9B35" w14:textId="77777777" w:rsidR="00081B50" w:rsidRDefault="007C6B33" w:rsidP="00081B50">
      <w:pPr>
        <w:pBdr>
          <w:top w:val="nil"/>
          <w:left w:val="nil"/>
          <w:bottom w:val="nil"/>
          <w:right w:val="nil"/>
          <w:between w:val="nil"/>
        </w:pBdr>
        <w:spacing w:after="120"/>
        <w:jc w:val="both"/>
        <w:rPr>
          <w:color w:val="000000"/>
        </w:rPr>
      </w:pPr>
      <w:r>
        <w:rPr>
          <w:color w:val="000000"/>
        </w:rPr>
        <w:t>„I.– Proizvajalci ali uvozniki za električno ali elektronsko opremo, ki jo dajejo na trg, sestavijo indeks popravljivosti, kot tudi parametre, ki omogočajo njegovo sestavo, skladno s podrobnimi pravili, ki jih natančno določa odredba.</w:t>
      </w:r>
    </w:p>
    <w:p w14:paraId="0000003C" w14:textId="02B801ED" w:rsidR="00EF7252" w:rsidRDefault="007C6B33" w:rsidP="00081B50">
      <w:pPr>
        <w:pBdr>
          <w:top w:val="nil"/>
          <w:left w:val="nil"/>
          <w:bottom w:val="nil"/>
          <w:right w:val="nil"/>
          <w:between w:val="nil"/>
        </w:pBdr>
        <w:spacing w:after="120"/>
        <w:jc w:val="both"/>
        <w:rPr>
          <w:color w:val="000000"/>
        </w:rPr>
      </w:pPr>
      <w:r>
        <w:rPr>
          <w:color w:val="000000"/>
        </w:rPr>
        <w:t>„II. – Proizvajalci in uvozniki v nematerializirani obliki distributerjem ali prodajalcem v času referenciranja in dobave električne in elektronske opreme za vsak model opreme, dane na trg, brezplačno posredujejo:</w:t>
      </w:r>
    </w:p>
    <w:p w14:paraId="0000003D" w14:textId="2E1C1C4A" w:rsidR="00EF7252" w:rsidRDefault="007C6B33" w:rsidP="00081B50">
      <w:pPr>
        <w:pBdr>
          <w:top w:val="nil"/>
          <w:left w:val="nil"/>
          <w:bottom w:val="nil"/>
          <w:right w:val="nil"/>
          <w:between w:val="nil"/>
        </w:pBdr>
        <w:spacing w:after="120"/>
        <w:jc w:val="both"/>
        <w:rPr>
          <w:color w:val="000000"/>
        </w:rPr>
      </w:pPr>
      <w:r>
        <w:rPr>
          <w:color w:val="000000"/>
        </w:rPr>
        <w:t>„a) indeks popravljivosti skladno s podrobnimi pravili in oznakami iz odredbe,</w:t>
      </w:r>
    </w:p>
    <w:p w14:paraId="0000003E" w14:textId="433562A7" w:rsidR="00EF7252" w:rsidRPr="00364BB6" w:rsidRDefault="00535D26" w:rsidP="00081B50">
      <w:pPr>
        <w:pBdr>
          <w:top w:val="nil"/>
          <w:left w:val="nil"/>
          <w:bottom w:val="nil"/>
          <w:right w:val="nil"/>
          <w:between w:val="nil"/>
        </w:pBdr>
        <w:spacing w:after="120"/>
        <w:jc w:val="both"/>
        <w:rPr>
          <w:color w:val="000000"/>
          <w:spacing w:val="-4"/>
        </w:rPr>
      </w:pPr>
      <w:r w:rsidRPr="00364BB6">
        <w:rPr>
          <w:color w:val="000000"/>
          <w:spacing w:val="-4"/>
        </w:rPr>
        <w:t xml:space="preserve">„b) parametre, ki omogočajo sestavo indeksa popravljivosti, skladno z obliko, ki jo določa odredba. </w:t>
      </w:r>
    </w:p>
    <w:p w14:paraId="0000003F" w14:textId="77777777" w:rsidR="00EF7252" w:rsidRDefault="007C6B33" w:rsidP="00081B50">
      <w:pPr>
        <w:pBdr>
          <w:top w:val="nil"/>
          <w:left w:val="nil"/>
          <w:bottom w:val="nil"/>
          <w:right w:val="nil"/>
          <w:between w:val="nil"/>
        </w:pBdr>
        <w:spacing w:after="120"/>
        <w:jc w:val="both"/>
        <w:rPr>
          <w:color w:val="000000"/>
        </w:rPr>
      </w:pPr>
      <w:r>
        <w:rPr>
          <w:color w:val="000000"/>
        </w:rPr>
        <w:t>„III. – Kadar se distributerja ne zamenja za prodajalca, pod pogoji, navedenimi v točki a) in b), le-ta prodajalcu v času referenciranja in dobave električne in elektronske opreme brezplačno posreduje indeks popravljivosti svojega izračuna.</w:t>
      </w:r>
    </w:p>
    <w:p w14:paraId="00000040" w14:textId="5D5D04B5" w:rsidR="00EF7252" w:rsidRDefault="007C6B33" w:rsidP="00081B50">
      <w:pPr>
        <w:pBdr>
          <w:top w:val="nil"/>
          <w:left w:val="nil"/>
          <w:bottom w:val="nil"/>
          <w:right w:val="nil"/>
          <w:between w:val="nil"/>
        </w:pBdr>
        <w:spacing w:after="120"/>
        <w:jc w:val="both"/>
        <w:rPr>
          <w:color w:val="000000"/>
        </w:rPr>
      </w:pPr>
      <w:r>
        <w:rPr>
          <w:color w:val="000000"/>
        </w:rPr>
        <w:t>„IV. – Poleg tega se indeks lahko na vsako enoto modela ali na embalažo namesti z etiketiranjem ali označevanjem, ob upoštevanju oznak iz odredbe.</w:t>
      </w:r>
    </w:p>
    <w:p w14:paraId="00000041" w14:textId="7B50DCAD" w:rsidR="00EF7252" w:rsidRDefault="00535D26" w:rsidP="00081B50">
      <w:pPr>
        <w:pBdr>
          <w:top w:val="nil"/>
          <w:left w:val="nil"/>
          <w:bottom w:val="nil"/>
          <w:right w:val="nil"/>
          <w:between w:val="nil"/>
        </w:pBdr>
        <w:spacing w:after="120"/>
        <w:jc w:val="both"/>
        <w:rPr>
          <w:color w:val="000000"/>
        </w:rPr>
      </w:pPr>
      <w:r>
        <w:rPr>
          <w:color w:val="000000"/>
        </w:rPr>
        <w:t>„V. – Proizvajalci in uvozniki v roku 15 dni posredujejo informacije, navedene v 2. točki, vsaki osebi, ki jih zahteva v obdobju najmanj dveh let po dajanju zadnje enote modela opreme na trg.</w:t>
      </w:r>
    </w:p>
    <w:p w14:paraId="00000042" w14:textId="77777777" w:rsidR="00EF7252" w:rsidRDefault="00EF7252" w:rsidP="00081B50">
      <w:pPr>
        <w:pBdr>
          <w:top w:val="nil"/>
          <w:left w:val="nil"/>
          <w:bottom w:val="nil"/>
          <w:right w:val="nil"/>
          <w:between w:val="nil"/>
        </w:pBdr>
        <w:spacing w:after="120"/>
        <w:jc w:val="both"/>
        <w:rPr>
          <w:strike/>
          <w:color w:val="000000"/>
        </w:rPr>
      </w:pPr>
    </w:p>
    <w:p w14:paraId="00000043" w14:textId="77777777" w:rsidR="00EF7252" w:rsidRDefault="007C6B33" w:rsidP="00081B50">
      <w:pPr>
        <w:keepNext/>
        <w:keepLines/>
        <w:pBdr>
          <w:top w:val="nil"/>
          <w:left w:val="nil"/>
          <w:bottom w:val="nil"/>
          <w:right w:val="nil"/>
          <w:between w:val="nil"/>
        </w:pBdr>
        <w:spacing w:after="120"/>
        <w:jc w:val="both"/>
        <w:rPr>
          <w:color w:val="000000"/>
        </w:rPr>
      </w:pPr>
      <w:r>
        <w:rPr>
          <w:color w:val="000000"/>
        </w:rPr>
        <w:t>„Člen 544-4. –</w:t>
      </w:r>
    </w:p>
    <w:p w14:paraId="00000044" w14:textId="77777777" w:rsidR="00EF7252" w:rsidRDefault="007C6B33" w:rsidP="00081B50">
      <w:pPr>
        <w:pBdr>
          <w:top w:val="nil"/>
          <w:left w:val="nil"/>
          <w:bottom w:val="nil"/>
          <w:right w:val="nil"/>
          <w:between w:val="nil"/>
        </w:pBdr>
        <w:spacing w:after="120"/>
        <w:jc w:val="both"/>
        <w:rPr>
          <w:color w:val="000000"/>
        </w:rPr>
      </w:pPr>
      <w:r>
        <w:rPr>
          <w:color w:val="000000"/>
        </w:rPr>
        <w:t xml:space="preserve">„I. – Kadar se električna ali elektronska oprema ponuja v prodajo v trgovini, prodajalec skladno s podrobnimi pravili in oznakami iz odredbe na ponujeni opremi ali v njeni neposredni bližini omogoči vidno navedbo indeksa popravljivosti, ki ga zagotovi proizvajalec ali uvoznik. </w:t>
      </w:r>
    </w:p>
    <w:p w14:paraId="00000045" w14:textId="5D2DF6CE" w:rsidR="00EF7252" w:rsidRDefault="007C6B33" w:rsidP="00081B50">
      <w:pPr>
        <w:pBdr>
          <w:top w:val="nil"/>
          <w:left w:val="nil"/>
          <w:bottom w:val="nil"/>
          <w:right w:val="nil"/>
          <w:between w:val="nil"/>
        </w:pBdr>
        <w:spacing w:after="120"/>
        <w:jc w:val="both"/>
        <w:rPr>
          <w:color w:val="000000"/>
        </w:rPr>
      </w:pPr>
      <w:r>
        <w:rPr>
          <w:color w:val="000000"/>
        </w:rPr>
        <w:t>„II. – Kadar se električna ali elektronska oprema ponuja za prodajo v okviru prodaje na daljavo, prodajalec v predstavitvi opreme in v bližini cen omogoči vidni prikaz indeksa popravljivosti, skladno s podrobnimi pravili in oznakami iz odredbe.</w:t>
      </w:r>
    </w:p>
    <w:p w14:paraId="00000046" w14:textId="77777777" w:rsidR="00EF7252" w:rsidRDefault="007C6B33" w:rsidP="00081B50">
      <w:pPr>
        <w:pBdr>
          <w:top w:val="nil"/>
          <w:left w:val="nil"/>
          <w:bottom w:val="nil"/>
          <w:right w:val="nil"/>
          <w:between w:val="nil"/>
        </w:pBdr>
        <w:spacing w:after="120"/>
        <w:jc w:val="both"/>
        <w:rPr>
          <w:color w:val="000000"/>
        </w:rPr>
      </w:pPr>
      <w:r>
        <w:rPr>
          <w:color w:val="000000"/>
        </w:rPr>
        <w:t>„III. – Prodajalec z vsakim ustreznim postopkom daje potrošnikom na razpolago tudi parametre, ki omogočajo sestavo indeksa popravljivosti opreme, skladno z obliko iz te odredbe.</w:t>
      </w:r>
    </w:p>
    <w:p w14:paraId="773EA3DE" w14:textId="77777777" w:rsidR="00081B50" w:rsidRDefault="00081B50" w:rsidP="00081B50">
      <w:pPr>
        <w:pBdr>
          <w:top w:val="nil"/>
          <w:left w:val="nil"/>
          <w:bottom w:val="nil"/>
          <w:right w:val="nil"/>
          <w:between w:val="nil"/>
        </w:pBdr>
        <w:spacing w:after="120"/>
        <w:jc w:val="both"/>
        <w:rPr>
          <w:color w:val="000000"/>
        </w:rPr>
      </w:pPr>
    </w:p>
    <w:p w14:paraId="00000047" w14:textId="197437DE" w:rsidR="00EF7252" w:rsidRDefault="007C6B33" w:rsidP="00081B50">
      <w:pPr>
        <w:pBdr>
          <w:top w:val="nil"/>
          <w:left w:val="nil"/>
          <w:bottom w:val="nil"/>
          <w:right w:val="nil"/>
          <w:between w:val="nil"/>
        </w:pBdr>
        <w:spacing w:after="120"/>
        <w:jc w:val="both"/>
        <w:rPr>
          <w:strike/>
          <w:color w:val="000000"/>
        </w:rPr>
      </w:pPr>
      <w:r>
        <w:rPr>
          <w:color w:val="000000"/>
        </w:rPr>
        <w:t xml:space="preserve">„Člen 544-5. – Indeks popravljivosti, kot tudi parametre, ki omogočajo njegovo sestavo, potrošnikom dajejo na razpolago proizvajalci ali uvozniki v obdobju najmanj dveh let po dajanju zadnje enote modela zadevne opreme na trg. </w:t>
      </w:r>
    </w:p>
    <w:p w14:paraId="00000048" w14:textId="77777777" w:rsidR="00EF7252" w:rsidRDefault="00EF7252" w:rsidP="00081B50">
      <w:pPr>
        <w:pBdr>
          <w:top w:val="nil"/>
          <w:left w:val="nil"/>
          <w:bottom w:val="nil"/>
          <w:right w:val="nil"/>
          <w:between w:val="nil"/>
        </w:pBdr>
        <w:spacing w:after="120"/>
        <w:jc w:val="both"/>
        <w:rPr>
          <w:strike/>
          <w:color w:val="000000"/>
        </w:rPr>
      </w:pPr>
    </w:p>
    <w:p w14:paraId="00000049" w14:textId="77777777" w:rsidR="00EF7252" w:rsidRDefault="007C6B33" w:rsidP="00081B50">
      <w:pPr>
        <w:keepNext/>
        <w:keepLines/>
        <w:pBdr>
          <w:top w:val="nil"/>
          <w:left w:val="nil"/>
          <w:bottom w:val="nil"/>
          <w:right w:val="nil"/>
          <w:between w:val="nil"/>
        </w:pBdr>
        <w:spacing w:after="120"/>
        <w:jc w:val="both"/>
        <w:rPr>
          <w:color w:val="000000"/>
        </w:rPr>
      </w:pPr>
      <w:r>
        <w:rPr>
          <w:color w:val="000000"/>
        </w:rPr>
        <w:t xml:space="preserve">„Člen 544-6. – </w:t>
      </w:r>
    </w:p>
    <w:p w14:paraId="0000004A" w14:textId="77777777" w:rsidR="00EF7252" w:rsidRDefault="007C6B33" w:rsidP="00081B50">
      <w:pPr>
        <w:pBdr>
          <w:top w:val="nil"/>
          <w:left w:val="nil"/>
          <w:bottom w:val="nil"/>
          <w:right w:val="nil"/>
          <w:between w:val="nil"/>
        </w:pBdr>
        <w:spacing w:after="120"/>
        <w:jc w:val="both"/>
        <w:rPr>
          <w:color w:val="000000"/>
        </w:rPr>
      </w:pPr>
      <w:r>
        <w:rPr>
          <w:color w:val="000000"/>
        </w:rPr>
        <w:t xml:space="preserve">„I. – Indeks popravljivosti se izračuna z naslednjimi parametri: </w:t>
      </w:r>
    </w:p>
    <w:p w14:paraId="0000004B" w14:textId="548716C4" w:rsidR="00EF7252" w:rsidRDefault="007C6B33" w:rsidP="00081B50">
      <w:pPr>
        <w:pBdr>
          <w:top w:val="nil"/>
          <w:left w:val="nil"/>
          <w:bottom w:val="nil"/>
          <w:right w:val="nil"/>
          <w:between w:val="nil"/>
        </w:pBdr>
        <w:spacing w:after="120"/>
        <w:jc w:val="both"/>
        <w:rPr>
          <w:color w:val="000000"/>
        </w:rPr>
      </w:pPr>
      <w:r>
        <w:rPr>
          <w:color w:val="000000"/>
        </w:rPr>
        <w:t xml:space="preserve">„a) Ocena do dvajset glede časa razpoložljivosti tehnične dokumentacije ter nasvetov za uporabo in vzdrževanje pri proizvajalcih, serviserjih in potrošnikih; </w:t>
      </w:r>
    </w:p>
    <w:p w14:paraId="0000004C" w14:textId="4296823E" w:rsidR="00EF7252" w:rsidRDefault="007C6B33" w:rsidP="00081B50">
      <w:pPr>
        <w:pBdr>
          <w:top w:val="nil"/>
          <w:left w:val="nil"/>
          <w:bottom w:val="nil"/>
          <w:right w:val="nil"/>
          <w:between w:val="nil"/>
        </w:pBdr>
        <w:spacing w:after="120"/>
        <w:jc w:val="both"/>
        <w:rPr>
          <w:color w:val="000000"/>
        </w:rPr>
      </w:pPr>
      <w:r>
        <w:rPr>
          <w:color w:val="000000"/>
        </w:rPr>
        <w:lastRenderedPageBreak/>
        <w:t>„b) Ocena do dvajset glede odstranljivosti opreme: število korakov demontaže za enkratni dostop do rezervnih delov, značilnosti potrebnih orodij in pritrdilnih elementov med rezervnimi deli;</w:t>
      </w:r>
    </w:p>
    <w:p w14:paraId="0000004D" w14:textId="74B0C666" w:rsidR="00EF7252" w:rsidRDefault="007C6B33" w:rsidP="00081B50">
      <w:pPr>
        <w:pBdr>
          <w:top w:val="nil"/>
          <w:left w:val="nil"/>
          <w:bottom w:val="nil"/>
          <w:right w:val="nil"/>
          <w:between w:val="nil"/>
        </w:pBdr>
        <w:spacing w:after="120"/>
        <w:jc w:val="both"/>
        <w:rPr>
          <w:color w:val="000000"/>
        </w:rPr>
      </w:pPr>
      <w:r>
        <w:rPr>
          <w:color w:val="000000"/>
        </w:rPr>
        <w:t>„c) Ocena do dvajset glede časa razpoložljivosti rezervnih delov na trgu in dobavnih rokov pri proizvajalcih, distributerjih rezervnih delov, serviserjih in potrošnikih;</w:t>
      </w:r>
    </w:p>
    <w:p w14:paraId="0000004E" w14:textId="20211C48" w:rsidR="00EF7252" w:rsidRDefault="007C6B33" w:rsidP="00081B50">
      <w:pPr>
        <w:pBdr>
          <w:top w:val="nil"/>
          <w:left w:val="nil"/>
          <w:bottom w:val="nil"/>
          <w:right w:val="nil"/>
          <w:between w:val="nil"/>
        </w:pBdr>
        <w:spacing w:after="120"/>
        <w:jc w:val="both"/>
        <w:rPr>
          <w:color w:val="000000"/>
        </w:rPr>
      </w:pPr>
      <w:r>
        <w:rPr>
          <w:color w:val="000000"/>
        </w:rPr>
        <w:t>„d) Ocena do dvajset glede razmerja med proizvajalčevo ali uvoznikovo prodajno ceno delov ter proizvajalčevo ali uvoznikovo prodajno ceno opreme, izračunana skladno s podrobnimi pravili iz odredbe.</w:t>
      </w:r>
    </w:p>
    <w:p w14:paraId="0000004F" w14:textId="695D1F87" w:rsidR="00EF7252" w:rsidRDefault="007C6B33" w:rsidP="00081B50">
      <w:pPr>
        <w:pBdr>
          <w:top w:val="nil"/>
          <w:left w:val="nil"/>
          <w:bottom w:val="nil"/>
          <w:right w:val="nil"/>
          <w:between w:val="nil"/>
        </w:pBdr>
        <w:spacing w:after="120"/>
        <w:jc w:val="both"/>
        <w:rPr>
          <w:color w:val="000000"/>
        </w:rPr>
      </w:pPr>
      <w:r>
        <w:rPr>
          <w:color w:val="000000"/>
        </w:rPr>
        <w:t>„e) Ocena do dvajset glede posebnih meril za zadevno kategorijo opreme.</w:t>
      </w:r>
    </w:p>
    <w:p w14:paraId="00000051" w14:textId="1A917FCE" w:rsidR="00EF7252" w:rsidRDefault="007C6B33" w:rsidP="00081B50">
      <w:pPr>
        <w:pBdr>
          <w:top w:val="nil"/>
          <w:left w:val="nil"/>
          <w:bottom w:val="nil"/>
          <w:right w:val="nil"/>
          <w:between w:val="nil"/>
        </w:pBdr>
        <w:spacing w:after="120"/>
        <w:jc w:val="both"/>
        <w:rPr>
          <w:color w:val="000000"/>
        </w:rPr>
      </w:pPr>
      <w:r>
        <w:rPr>
          <w:color w:val="000000"/>
        </w:rPr>
        <w:t xml:space="preserve">„II. – Indeks popravljivosti se izračuna tako, da se prišteje pet doseženih ocen, nato pa se ta seštevek deli za pridobitev skupne ocene na lestvici od 1 do 10. </w:t>
      </w:r>
    </w:p>
    <w:p w14:paraId="00000053" w14:textId="64E269B9" w:rsidR="00EF7252" w:rsidRDefault="00276444" w:rsidP="00081B50">
      <w:pPr>
        <w:pBdr>
          <w:top w:val="nil"/>
          <w:left w:val="nil"/>
          <w:bottom w:val="nil"/>
          <w:right w:val="nil"/>
          <w:between w:val="nil"/>
        </w:pBdr>
        <w:spacing w:after="120"/>
        <w:jc w:val="both"/>
        <w:rPr>
          <w:color w:val="000000"/>
        </w:rPr>
      </w:pPr>
      <w:r>
        <w:rPr>
          <w:color w:val="000000"/>
        </w:rPr>
        <w:t xml:space="preserve"> „III. – Odredba ministra, odgovornega za okolje, in ministra, odgovornega za gospodarstvo in finance, za vsako kategorijo električne in elektronske opreme natančno določa vsa merila in podmerila, vključno s posebnimi merili za kategorijo in načine izračuna indeksa. </w:t>
      </w:r>
    </w:p>
    <w:p w14:paraId="00000054" w14:textId="77777777" w:rsidR="00EF7252" w:rsidRDefault="00EF7252" w:rsidP="00081B50">
      <w:pPr>
        <w:pBdr>
          <w:top w:val="nil"/>
          <w:left w:val="nil"/>
          <w:bottom w:val="nil"/>
          <w:right w:val="nil"/>
          <w:between w:val="nil"/>
        </w:pBdr>
        <w:spacing w:after="120"/>
        <w:jc w:val="both"/>
        <w:rPr>
          <w:b/>
          <w:color w:val="000000"/>
        </w:rPr>
      </w:pPr>
    </w:p>
    <w:p w14:paraId="00000055" w14:textId="77777777" w:rsidR="00EF7252" w:rsidRPr="00364BB6" w:rsidRDefault="007C6B33" w:rsidP="00081B50">
      <w:pPr>
        <w:pBdr>
          <w:top w:val="nil"/>
          <w:left w:val="nil"/>
          <w:bottom w:val="nil"/>
          <w:right w:val="nil"/>
          <w:between w:val="nil"/>
        </w:pBdr>
        <w:spacing w:after="120"/>
        <w:jc w:val="both"/>
        <w:rPr>
          <w:color w:val="000000"/>
          <w:spacing w:val="-4"/>
        </w:rPr>
      </w:pPr>
      <w:r w:rsidRPr="00364BB6">
        <w:rPr>
          <w:color w:val="000000"/>
          <w:spacing w:val="-4"/>
        </w:rPr>
        <w:t xml:space="preserve">„Člen 544-7. – Indeks trajnosti po 1. januarju 2024 za določene kategorije opreme dopolnjuje ali nadomešča indeks popravljivosti, vključno z novimi merili, zlasti zanesljivostjo in trpežnostjo opreme. </w:t>
      </w:r>
    </w:p>
    <w:p w14:paraId="00000057" w14:textId="77777777" w:rsidR="00EF7252" w:rsidRDefault="007C6B33" w:rsidP="00081B50">
      <w:pPr>
        <w:keepNext/>
        <w:keepLines/>
        <w:pBdr>
          <w:top w:val="nil"/>
          <w:left w:val="nil"/>
          <w:bottom w:val="nil"/>
          <w:right w:val="nil"/>
          <w:between w:val="nil"/>
        </w:pBdr>
        <w:spacing w:before="240" w:after="240"/>
        <w:jc w:val="center"/>
        <w:rPr>
          <w:b/>
          <w:color w:val="000000"/>
        </w:rPr>
      </w:pPr>
      <w:r>
        <w:rPr>
          <w:b/>
          <w:color w:val="000000"/>
        </w:rPr>
        <w:t>Člen 2</w:t>
      </w:r>
    </w:p>
    <w:p w14:paraId="00000058" w14:textId="77777777" w:rsidR="00EF7252" w:rsidRDefault="007C6B33" w:rsidP="00081B50">
      <w:pPr>
        <w:pBdr>
          <w:top w:val="nil"/>
          <w:left w:val="nil"/>
          <w:bottom w:val="nil"/>
          <w:right w:val="nil"/>
          <w:between w:val="nil"/>
        </w:pBdr>
        <w:spacing w:after="120"/>
        <w:jc w:val="both"/>
        <w:rPr>
          <w:color w:val="000000"/>
        </w:rPr>
      </w:pPr>
      <w:r>
        <w:rPr>
          <w:color w:val="000000"/>
        </w:rPr>
        <w:t>Določbe te uredbe začnejo veljati 1. januarja 2021.</w:t>
      </w:r>
    </w:p>
    <w:p w14:paraId="0000005A" w14:textId="77777777" w:rsidR="00EF7252" w:rsidRDefault="007C6B33" w:rsidP="00081B50">
      <w:pPr>
        <w:keepNext/>
        <w:keepLines/>
        <w:pBdr>
          <w:top w:val="nil"/>
          <w:left w:val="nil"/>
          <w:bottom w:val="nil"/>
          <w:right w:val="nil"/>
          <w:between w:val="nil"/>
        </w:pBdr>
        <w:spacing w:before="240" w:after="240"/>
        <w:jc w:val="center"/>
        <w:rPr>
          <w:b/>
          <w:color w:val="000000"/>
        </w:rPr>
      </w:pPr>
      <w:r>
        <w:rPr>
          <w:b/>
          <w:color w:val="000000"/>
        </w:rPr>
        <w:t>Člen 3</w:t>
      </w:r>
    </w:p>
    <w:p w14:paraId="0000005B" w14:textId="35995E0E" w:rsidR="00EF7252" w:rsidRDefault="007C6B33" w:rsidP="00081B50">
      <w:pPr>
        <w:pBdr>
          <w:top w:val="nil"/>
          <w:left w:val="nil"/>
          <w:bottom w:val="nil"/>
          <w:right w:val="nil"/>
          <w:between w:val="nil"/>
        </w:pBdr>
        <w:spacing w:before="240" w:after="240"/>
        <w:jc w:val="both"/>
        <w:rPr>
          <w:color w:val="000000"/>
        </w:rPr>
      </w:pPr>
      <w:r>
        <w:rPr>
          <w:color w:val="000000"/>
        </w:rPr>
        <w:t xml:space="preserve">Ministrica za ekološko preoblikovanje ter minister za gospodarstvo in finance sta vsak v skladu s svojimi pristojnostmi odgovorna za izvajanje te uredbe, ki bo objavljena v </w:t>
      </w:r>
      <w:r>
        <w:rPr>
          <w:i/>
          <w:color w:val="000000"/>
        </w:rPr>
        <w:t>Uradnem listu</w:t>
      </w:r>
      <w:r>
        <w:rPr>
          <w:color w:val="000000"/>
        </w:rPr>
        <w:t xml:space="preserve"> Francoske republike. </w:t>
      </w:r>
    </w:p>
    <w:p w14:paraId="0000005D" w14:textId="77777777" w:rsidR="00EF7252" w:rsidRDefault="007C6B33" w:rsidP="00081B50">
      <w:pPr>
        <w:pBdr>
          <w:top w:val="nil"/>
          <w:left w:val="nil"/>
          <w:bottom w:val="nil"/>
          <w:right w:val="nil"/>
          <w:between w:val="nil"/>
        </w:pBdr>
        <w:spacing w:before="280" w:after="280"/>
        <w:ind w:firstLine="720"/>
        <w:jc w:val="both"/>
        <w:rPr>
          <w:color w:val="000000"/>
        </w:rPr>
      </w:pPr>
      <w:r>
        <w:rPr>
          <w:color w:val="000000"/>
        </w:rPr>
        <w:t>V, xx xxx 2020.</w:t>
      </w:r>
    </w:p>
    <w:p w14:paraId="6DD4078F" w14:textId="77777777" w:rsidR="00081B50" w:rsidRDefault="007C6B33" w:rsidP="00081B50">
      <w:pPr>
        <w:keepNext/>
        <w:keepLines/>
        <w:pBdr>
          <w:top w:val="nil"/>
          <w:left w:val="nil"/>
          <w:bottom w:val="nil"/>
          <w:right w:val="nil"/>
          <w:between w:val="nil"/>
        </w:pBdr>
        <w:spacing w:before="480"/>
        <w:ind w:left="720"/>
        <w:rPr>
          <w:color w:val="000000"/>
        </w:rPr>
      </w:pPr>
      <w:bookmarkStart w:id="1" w:name="_heading=h.30j0zll"/>
      <w:bookmarkEnd w:id="1"/>
      <w:r>
        <w:rPr>
          <w:color w:val="000000"/>
        </w:rPr>
        <w:t>Za predsednika vlade:</w:t>
      </w:r>
    </w:p>
    <w:p w14:paraId="039D5CE4" w14:textId="0EC6F35A" w:rsidR="00081B50" w:rsidRDefault="007C6B33" w:rsidP="00081B50">
      <w:pPr>
        <w:pBdr>
          <w:top w:val="nil"/>
          <w:left w:val="nil"/>
          <w:bottom w:val="nil"/>
          <w:right w:val="nil"/>
          <w:between w:val="nil"/>
        </w:pBdr>
        <w:ind w:left="720"/>
        <w:rPr>
          <w:color w:val="000000"/>
        </w:rPr>
      </w:pPr>
      <w:r>
        <w:rPr>
          <w:color w:val="000000"/>
        </w:rPr>
        <w:t>Jean CASTEX</w:t>
      </w:r>
    </w:p>
    <w:p w14:paraId="01727CB8" w14:textId="77777777" w:rsidR="00081B50" w:rsidRDefault="007C6B33" w:rsidP="00081B50">
      <w:pPr>
        <w:keepNext/>
        <w:keepLines/>
        <w:pBdr>
          <w:top w:val="nil"/>
          <w:left w:val="nil"/>
          <w:bottom w:val="nil"/>
          <w:right w:val="nil"/>
          <w:between w:val="nil"/>
        </w:pBdr>
        <w:spacing w:before="480"/>
        <w:ind w:left="720"/>
        <w:rPr>
          <w:color w:val="000000"/>
        </w:rPr>
      </w:pPr>
      <w:r>
        <w:rPr>
          <w:color w:val="000000"/>
        </w:rPr>
        <w:t>Ministrica za ekološko preoblikovanje</w:t>
      </w:r>
    </w:p>
    <w:p w14:paraId="60ACC114" w14:textId="20DE3655" w:rsidR="00081B50" w:rsidRDefault="007C6B33" w:rsidP="00081B50">
      <w:pPr>
        <w:pBdr>
          <w:top w:val="nil"/>
          <w:left w:val="nil"/>
          <w:bottom w:val="nil"/>
          <w:right w:val="nil"/>
          <w:between w:val="nil"/>
        </w:pBdr>
        <w:ind w:left="720"/>
        <w:rPr>
          <w:color w:val="000000"/>
        </w:rPr>
      </w:pPr>
      <w:r>
        <w:rPr>
          <w:color w:val="000000"/>
        </w:rPr>
        <w:t>Barbara POMPILI</w:t>
      </w:r>
    </w:p>
    <w:p w14:paraId="679F4E3A" w14:textId="77777777" w:rsidR="00081B50" w:rsidRDefault="007C6B33" w:rsidP="00081B50">
      <w:pPr>
        <w:keepNext/>
        <w:keepLines/>
        <w:pBdr>
          <w:top w:val="nil"/>
          <w:left w:val="nil"/>
          <w:bottom w:val="nil"/>
          <w:right w:val="nil"/>
          <w:between w:val="nil"/>
        </w:pBdr>
        <w:spacing w:before="480"/>
        <w:ind w:left="720"/>
        <w:rPr>
          <w:color w:val="000000"/>
        </w:rPr>
      </w:pPr>
      <w:r>
        <w:rPr>
          <w:color w:val="000000"/>
        </w:rPr>
        <w:t>Minister za gospodarstvo in finance,</w:t>
      </w:r>
    </w:p>
    <w:p w14:paraId="0000005E" w14:textId="52901521" w:rsidR="00EF7252" w:rsidRDefault="007C6B33" w:rsidP="00081B50">
      <w:pPr>
        <w:pBdr>
          <w:top w:val="nil"/>
          <w:left w:val="nil"/>
          <w:bottom w:val="nil"/>
          <w:right w:val="nil"/>
          <w:between w:val="nil"/>
        </w:pBdr>
        <w:ind w:left="720"/>
        <w:rPr>
          <w:color w:val="000000"/>
        </w:rPr>
      </w:pPr>
      <w:r>
        <w:rPr>
          <w:color w:val="000000"/>
        </w:rPr>
        <w:t>Bruno LE MAIRE</w:t>
      </w:r>
    </w:p>
    <w:sectPr w:rsidR="00EF7252">
      <w:headerReference w:type="default" r:id="rId9"/>
      <w:footerReference w:type="default" r:id="rId10"/>
      <w:pgSz w:w="11906" w:h="16838"/>
      <w:pgMar w:top="1134" w:right="1418" w:bottom="1418" w:left="1134" w:header="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CE4F1" w14:textId="77777777" w:rsidR="00115349" w:rsidRDefault="00115349">
      <w:r>
        <w:separator/>
      </w:r>
    </w:p>
  </w:endnote>
  <w:endnote w:type="continuationSeparator" w:id="0">
    <w:p w14:paraId="15040677" w14:textId="77777777" w:rsidR="00115349" w:rsidRDefault="0011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8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ingFang SC">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65" w14:textId="452CF919" w:rsidR="00EF7252" w:rsidRDefault="00EF7252">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A9C49" w14:textId="77777777" w:rsidR="00115349" w:rsidRDefault="00115349">
      <w:r>
        <w:separator/>
      </w:r>
    </w:p>
  </w:footnote>
  <w:footnote w:type="continuationSeparator" w:id="0">
    <w:p w14:paraId="1505A8CD" w14:textId="77777777" w:rsidR="00115349" w:rsidRDefault="00115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64" w14:textId="77777777" w:rsidR="00EF7252" w:rsidRDefault="00EF7252">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A46FB"/>
    <w:multiLevelType w:val="multilevel"/>
    <w:tmpl w:val="87AAF71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252"/>
    <w:rsid w:val="00081B50"/>
    <w:rsid w:val="00106E77"/>
    <w:rsid w:val="00115349"/>
    <w:rsid w:val="00276444"/>
    <w:rsid w:val="00364BB6"/>
    <w:rsid w:val="003B1438"/>
    <w:rsid w:val="00535D26"/>
    <w:rsid w:val="0066778A"/>
    <w:rsid w:val="007C6B33"/>
    <w:rsid w:val="00817DDD"/>
    <w:rsid w:val="00956AEB"/>
    <w:rsid w:val="00A751E7"/>
    <w:rsid w:val="00EF7252"/>
  </w:rsids>
  <m:mathPr>
    <m:mathFont m:val="Cambria Math"/>
    <m:brkBin m:val="before"/>
    <m:brkBinSub m:val="--"/>
    <m:smallFrac m:val="0"/>
    <m:dispDef/>
    <m:lMargin m:val="0"/>
    <m:rMargin m:val="0"/>
    <m:defJc m:val="centerGroup"/>
    <m:wrapIndent m:val="1440"/>
    <m:intLim m:val="subSup"/>
    <m:naryLim m:val="undOvr"/>
  </m:mathPr>
  <w:themeFontLang w:val="fr-FR"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FA7B22"/>
  <w15:docId w15:val="{08CA6458-BF09-46FF-9804-11B34299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sl-SI"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zh-CN"/>
    </w:rPr>
  </w:style>
  <w:style w:type="paragraph" w:styleId="Heading1">
    <w:name w:val="heading 1"/>
    <w:basedOn w:val="Normal"/>
    <w:next w:val="Normal"/>
    <w:qFormat/>
    <w:pPr>
      <w:keepNext/>
      <w:numPr>
        <w:numId w:val="1"/>
      </w:numPr>
      <w:spacing w:before="240"/>
      <w:jc w:val="center"/>
      <w:outlineLvl w:val="0"/>
    </w:pPr>
    <w:rPr>
      <w:b/>
      <w:bCs/>
      <w:caps/>
    </w:rPr>
  </w:style>
  <w:style w:type="paragraph" w:styleId="Heading2">
    <w:name w:val="heading 2"/>
    <w:basedOn w:val="Normal"/>
    <w:next w:val="Normal"/>
    <w:qFormat/>
    <w:pPr>
      <w:keepNext/>
      <w:numPr>
        <w:ilvl w:val="1"/>
        <w:numId w:val="1"/>
      </w:numPr>
      <w:spacing w:before="360"/>
      <w:jc w:val="center"/>
      <w:outlineLvl w:val="1"/>
    </w:pPr>
    <w:rPr>
      <w:b/>
      <w:bCs/>
      <w:iCs/>
      <w:smallCaps/>
    </w:rPr>
  </w:style>
  <w:style w:type="paragraph" w:styleId="Heading3">
    <w:name w:val="heading 3"/>
    <w:basedOn w:val="Normal"/>
    <w:next w:val="Normal"/>
    <w:qFormat/>
    <w:pPr>
      <w:keepNext/>
      <w:numPr>
        <w:ilvl w:val="2"/>
        <w:numId w:val="1"/>
      </w:numPr>
      <w:spacing w:before="360"/>
      <w:jc w:val="center"/>
      <w:outlineLvl w:val="2"/>
    </w:pPr>
    <w:rPr>
      <w:b/>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BodyText"/>
    <w:qFormat/>
    <w:pPr>
      <w:keepNext/>
      <w:spacing w:before="240" w:after="120"/>
    </w:pPr>
    <w:rPr>
      <w:rFonts w:ascii="Liberation Sans" w:eastAsia="Microsoft YaHei" w:hAnsi="Liberation Sans" w:cs="Mangal"/>
      <w:sz w:val="28"/>
      <w:szCs w:val="28"/>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Liberation Sans" w:hAnsi="Liberation Sans" w:cs="Liberation Sans"/>
    </w:rPr>
  </w:style>
  <w:style w:type="character" w:customStyle="1" w:styleId="WW8Num3z0">
    <w:name w:val="WW8Num3z0"/>
    <w:qFormat/>
    <w:rPr>
      <w:rFonts w:ascii="Liberation Sans" w:hAnsi="Liberation Sans" w:cs="Liberation Sans"/>
    </w:rPr>
  </w:style>
  <w:style w:type="character" w:customStyle="1" w:styleId="Policepardfaut5">
    <w:name w:val="Police par défaut5"/>
    <w:qFormat/>
  </w:style>
  <w:style w:type="character" w:customStyle="1" w:styleId="Policepardfaut4">
    <w:name w:val="Police par défaut4"/>
    <w:qFormat/>
  </w:style>
  <w:style w:type="character" w:customStyle="1" w:styleId="WW8Num4z0">
    <w:name w:val="WW8Num4z0"/>
    <w:qFormat/>
    <w:rPr>
      <w:rFonts w:ascii="Times New Roman" w:eastAsia="Times New Roman" w:hAnsi="Times New Roman" w:cs="Times New Roman"/>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hAnsi="Symbol" w:cs="Symbol"/>
      <w:sz w:val="20"/>
    </w:rPr>
  </w:style>
  <w:style w:type="character" w:customStyle="1" w:styleId="WW8Num5z1">
    <w:name w:val="WW8Num5z1"/>
    <w:qFormat/>
    <w:rPr>
      <w:rFonts w:ascii="Courier New" w:hAnsi="Courier New" w:cs="Courier New"/>
      <w:sz w:val="20"/>
    </w:rPr>
  </w:style>
  <w:style w:type="character" w:customStyle="1" w:styleId="WW8Num5z2">
    <w:name w:val="WW8Num5z2"/>
    <w:qFormat/>
    <w:rPr>
      <w:rFonts w:ascii="Wingdings" w:hAnsi="Wingdings" w:cs="Wingdings"/>
      <w:sz w:val="20"/>
    </w:rPr>
  </w:style>
  <w:style w:type="character" w:customStyle="1" w:styleId="WW8Num6z0">
    <w:name w:val="WW8Num6z0"/>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Policepardfaut3">
    <w:name w:val="Police par défaut3"/>
    <w:qFormat/>
  </w:style>
  <w:style w:type="character" w:customStyle="1" w:styleId="Policepardfaut2">
    <w:name w:val="Police par défaut2"/>
    <w:qFormat/>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rPr>
      <w:rFonts w:ascii="Wingdings" w:hAnsi="Wingdings" w:cs="Wingdings"/>
    </w:rPr>
  </w:style>
  <w:style w:type="character" w:customStyle="1" w:styleId="WW8Num11z1">
    <w:name w:val="WW8Num11z1"/>
    <w:qFormat/>
    <w:rPr>
      <w:rFonts w:ascii="Courier New" w:hAnsi="Courier New" w:cs="Courier New"/>
    </w:rPr>
  </w:style>
  <w:style w:type="character" w:customStyle="1" w:styleId="WW8Num11z3">
    <w:name w:val="WW8Num11z3"/>
    <w:qFormat/>
    <w:rPr>
      <w:rFonts w:ascii="Symbol" w:hAnsi="Symbol" w:cs="Symbol"/>
    </w:rPr>
  </w:style>
  <w:style w:type="character" w:customStyle="1" w:styleId="WW8Num12z0">
    <w:name w:val="WW8Num12z0"/>
    <w:qFormat/>
    <w:rPr>
      <w:rFonts w:ascii="Times New Roman" w:eastAsia="Arial Unicode MS" w:hAnsi="Times New Roman" w:cs="Times New Roman"/>
      <w:color w:val="FF0000"/>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Times New Roman" w:eastAsia="Times New Roman" w:hAnsi="Times New Roman" w:cs="Times New Roman"/>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rPr>
      <w:rFonts w:ascii="Times New Roman" w:eastAsia="Times New Roman" w:hAnsi="Times New Roman"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style>
  <w:style w:type="character" w:customStyle="1" w:styleId="WW8Num17z0">
    <w:name w:val="WW8Num17z0"/>
    <w:qFormat/>
    <w:rPr>
      <w:rFonts w:ascii="Times New Roman" w:eastAsia="Times New Roman" w:hAnsi="Times New Roman" w:cs="Times New Roman"/>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rPr>
      <w:rFonts w:ascii="Times New Roman" w:eastAsia="Times New Roman" w:hAnsi="Times New Roman" w:cs="Times New Roman"/>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rPr>
      <w:rFonts w:ascii="Courier New" w:hAnsi="Courier New" w:cs="Courier New"/>
      <w:sz w:val="20"/>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eastAsia="Times New Roman" w:hAnsi="Times New Roman" w:cs="Times New Roman"/>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rPr>
      <w:rFonts w:ascii="Times New Roman" w:eastAsia="Times New Roman" w:hAnsi="Times New Roman" w:cs="Times New Roman"/>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sz w:val="20"/>
    </w:rPr>
  </w:style>
  <w:style w:type="character" w:customStyle="1" w:styleId="WW8Num24z1">
    <w:name w:val="WW8Num24z1"/>
    <w:qFormat/>
    <w:rPr>
      <w:rFonts w:ascii="Courier New" w:hAnsi="Courier New" w:cs="Courier New"/>
      <w:sz w:val="20"/>
    </w:rPr>
  </w:style>
  <w:style w:type="character" w:customStyle="1" w:styleId="WW8Num24z2">
    <w:name w:val="WW8Num24z2"/>
    <w:qFormat/>
    <w:rPr>
      <w:rFonts w:ascii="Wingdings" w:hAnsi="Wingdings" w:cs="Wingdings"/>
      <w:sz w:val="20"/>
    </w:rPr>
  </w:style>
  <w:style w:type="character" w:customStyle="1" w:styleId="WW8Num25z0">
    <w:name w:val="WW8Num25z0"/>
    <w:qFormat/>
    <w:rPr>
      <w:rFonts w:ascii="Symbol" w:hAnsi="Symbol" w:cs="Symbol"/>
      <w:sz w:val="20"/>
    </w:rPr>
  </w:style>
  <w:style w:type="character" w:customStyle="1" w:styleId="WW8Num25z1">
    <w:name w:val="WW8Num25z1"/>
    <w:qFormat/>
    <w:rPr>
      <w:rFonts w:ascii="Courier New" w:hAnsi="Courier New" w:cs="Times New Roman"/>
      <w:sz w:val="20"/>
    </w:rPr>
  </w:style>
  <w:style w:type="character" w:customStyle="1" w:styleId="WW8Num25z2">
    <w:name w:val="WW8Num25z2"/>
    <w:qFormat/>
    <w:rPr>
      <w:rFonts w:ascii="Wingdings" w:hAnsi="Wingdings" w:cs="Wingdings"/>
      <w:sz w:val="20"/>
    </w:rPr>
  </w:style>
  <w:style w:type="character" w:customStyle="1" w:styleId="WW8Num26z0">
    <w:name w:val="WW8Num26z0"/>
    <w:qFormat/>
    <w:rPr>
      <w:rFonts w:ascii="Times New Roman" w:eastAsia="Times New Roman" w:hAnsi="Times New Roman" w:cs="Times New Roman"/>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7z0">
    <w:name w:val="WW8Num27z0"/>
    <w:qFormat/>
    <w:rPr>
      <w:rFonts w:ascii="Times New Roman" w:eastAsia="Times New Roman" w:hAnsi="Times New Roman" w:cs="Times New Roman"/>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7z3">
    <w:name w:val="WW8Num27z3"/>
    <w:qFormat/>
    <w:rPr>
      <w:rFonts w:ascii="Symbol" w:hAnsi="Symbol" w:cs="Symbol"/>
    </w:rPr>
  </w:style>
  <w:style w:type="character" w:customStyle="1" w:styleId="WW8Num28z0">
    <w:name w:val="WW8Num28z0"/>
    <w:qFormat/>
    <w:rPr>
      <w:rFonts w:ascii="Symbol" w:hAnsi="Symbol" w:cs="Symbo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rPr>
      <w:rFonts w:ascii="Symbol" w:hAnsi="Symbol" w:cs="Symbol"/>
      <w:sz w:val="20"/>
    </w:rPr>
  </w:style>
  <w:style w:type="character" w:customStyle="1" w:styleId="WW8Num29z1">
    <w:name w:val="WW8Num29z1"/>
    <w:qFormat/>
    <w:rPr>
      <w:rFonts w:ascii="Courier New" w:hAnsi="Courier New" w:cs="Courier New"/>
      <w:sz w:val="20"/>
    </w:rPr>
  </w:style>
  <w:style w:type="character" w:customStyle="1" w:styleId="WW8Num29z2">
    <w:name w:val="WW8Num29z2"/>
    <w:qFormat/>
    <w:rPr>
      <w:rFonts w:ascii="Wingdings" w:hAnsi="Wingdings" w:cs="Wingdings"/>
      <w:sz w:val="20"/>
    </w:rPr>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style>
  <w:style w:type="character" w:customStyle="1" w:styleId="WW8Num35z0">
    <w:name w:val="WW8Num35z0"/>
    <w:qFormat/>
    <w:rPr>
      <w:rFonts w:ascii="Symbol" w:hAnsi="Symbol" w:cs="Symbol"/>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Policepardfaut1">
    <w:name w:val="Police par défaut1"/>
    <w:qFormat/>
  </w:style>
  <w:style w:type="character" w:customStyle="1" w:styleId="SNTimbreCar">
    <w:name w:val="SNTimbre Car"/>
    <w:qFormat/>
    <w:rPr>
      <w:rFonts w:eastAsia="Lucida Sans Unicode"/>
      <w:sz w:val="24"/>
      <w:szCs w:val="24"/>
      <w:lang w:val="sl-SI" w:bidi="ar-SA"/>
    </w:rPr>
  </w:style>
  <w:style w:type="character" w:customStyle="1" w:styleId="SNDateCar">
    <w:name w:val="SNDate Car"/>
    <w:qFormat/>
    <w:rPr>
      <w:sz w:val="24"/>
      <w:szCs w:val="24"/>
      <w:lang w:val="sl-SI" w:bidi="ar-SA"/>
    </w:rPr>
  </w:style>
  <w:style w:type="character" w:customStyle="1" w:styleId="SNArticleCar">
    <w:name w:val="SNArticle Car"/>
    <w:qFormat/>
    <w:rPr>
      <w:b/>
      <w:bCs/>
      <w:sz w:val="24"/>
      <w:szCs w:val="24"/>
      <w:lang w:val="sl-SI"/>
    </w:rPr>
  </w:style>
  <w:style w:type="character" w:customStyle="1" w:styleId="SNenProjet">
    <w:name w:val="SNenProjet"/>
    <w:basedOn w:val="Policepardfaut1"/>
    <w:qFormat/>
  </w:style>
  <w:style w:type="character" w:customStyle="1" w:styleId="CarCar5">
    <w:name w:val="Car Car5"/>
    <w:qFormat/>
    <w:rPr>
      <w:b/>
      <w:sz w:val="24"/>
      <w:szCs w:val="26"/>
      <w:lang w:val="sl-SI"/>
    </w:rPr>
  </w:style>
  <w:style w:type="character" w:customStyle="1" w:styleId="Marquedecommentaire1">
    <w:name w:val="Marque de commentaire1"/>
    <w:qFormat/>
    <w:rPr>
      <w:sz w:val="16"/>
      <w:szCs w:val="16"/>
    </w:rPr>
  </w:style>
  <w:style w:type="character" w:customStyle="1" w:styleId="CarCar3">
    <w:name w:val="Car Car3"/>
    <w:basedOn w:val="Policepardfaut1"/>
    <w:qFormat/>
  </w:style>
  <w:style w:type="character" w:customStyle="1" w:styleId="CarCar2">
    <w:name w:val="Car Car2"/>
    <w:qFormat/>
    <w:rPr>
      <w:b/>
      <w:bCs/>
    </w:rPr>
  </w:style>
  <w:style w:type="character" w:customStyle="1" w:styleId="CarCar4">
    <w:name w:val="Car Car4"/>
    <w:qFormat/>
    <w:rPr>
      <w:sz w:val="24"/>
      <w:szCs w:val="24"/>
    </w:rPr>
  </w:style>
  <w:style w:type="character" w:customStyle="1" w:styleId="CarCar7">
    <w:name w:val="Car Car7"/>
    <w:qFormat/>
    <w:rPr>
      <w:rFonts w:cs="Arial"/>
      <w:b/>
      <w:bCs/>
      <w:caps/>
      <w:sz w:val="24"/>
      <w:szCs w:val="24"/>
    </w:rPr>
  </w:style>
  <w:style w:type="character" w:customStyle="1" w:styleId="CarCar6">
    <w:name w:val="Car Car6"/>
    <w:qFormat/>
    <w:rPr>
      <w:b/>
      <w:bCs/>
      <w:iCs/>
      <w:smallCaps/>
      <w:sz w:val="24"/>
      <w:szCs w:val="24"/>
      <w:lang w:val="sl-SI"/>
    </w:rPr>
  </w:style>
  <w:style w:type="character" w:customStyle="1" w:styleId="CarCar1">
    <w:name w:val="Car Car1"/>
    <w:qFormat/>
    <w:rPr>
      <w:sz w:val="24"/>
      <w:szCs w:val="24"/>
    </w:rPr>
  </w:style>
  <w:style w:type="character" w:customStyle="1" w:styleId="CarCar">
    <w:name w:val="Car Car"/>
    <w:qFormat/>
    <w:rPr>
      <w:sz w:val="24"/>
      <w:szCs w:val="24"/>
    </w:rPr>
  </w:style>
  <w:style w:type="character" w:customStyle="1" w:styleId="LienInternet">
    <w:name w:val="Lien Internet"/>
    <w:qFormat/>
    <w:rPr>
      <w:color w:val="0000FF"/>
      <w:u w:val="single"/>
    </w:rPr>
  </w:style>
  <w:style w:type="character" w:customStyle="1" w:styleId="surlignage">
    <w:name w:val="surlignage"/>
    <w:qFormat/>
  </w:style>
  <w:style w:type="character" w:styleId="FollowedHyperlink">
    <w:name w:val="FollowedHyperlink"/>
    <w:qFormat/>
    <w:rPr>
      <w:color w:val="800080"/>
      <w:u w:val="single"/>
    </w:rPr>
  </w:style>
  <w:style w:type="character" w:styleId="Strong">
    <w:name w:val="Strong"/>
    <w:qFormat/>
    <w:rPr>
      <w:b/>
      <w:bCs/>
    </w:rPr>
  </w:style>
  <w:style w:type="character" w:customStyle="1" w:styleId="tm2code">
    <w:name w:val="tm2code"/>
    <w:basedOn w:val="Policepardfaut1"/>
    <w:qFormat/>
  </w:style>
  <w:style w:type="character" w:customStyle="1" w:styleId="tm3code">
    <w:name w:val="tm3code"/>
    <w:basedOn w:val="Policepardfaut1"/>
    <w:qFormat/>
  </w:style>
  <w:style w:type="character" w:customStyle="1" w:styleId="tm4code">
    <w:name w:val="tm4code"/>
    <w:basedOn w:val="Policepardfaut1"/>
    <w:qFormat/>
  </w:style>
  <w:style w:type="character" w:customStyle="1" w:styleId="citation">
    <w:name w:val="citation"/>
    <w:basedOn w:val="Policepardfaut1"/>
    <w:qFormat/>
  </w:style>
  <w:style w:type="character" w:customStyle="1" w:styleId="WW8Num11z5">
    <w:name w:val="WW8Num11z5"/>
    <w:qFormat/>
  </w:style>
  <w:style w:type="character" w:customStyle="1" w:styleId="Caractresdenotedebasdepage">
    <w:name w:val="Caractères de note de bas de page"/>
    <w:qFormat/>
    <w:rPr>
      <w:vertAlign w:val="superscript"/>
    </w:rPr>
  </w:style>
  <w:style w:type="character" w:styleId="Emphasis">
    <w:name w:val="Emphasis"/>
    <w:qFormat/>
    <w:rPr>
      <w:i/>
      <w:iCs/>
    </w:rPr>
  </w:style>
  <w:style w:type="character" w:customStyle="1" w:styleId="Marquedecommentaire2">
    <w:name w:val="Marque de commentaire2"/>
    <w:qFormat/>
    <w:rPr>
      <w:sz w:val="16"/>
      <w:szCs w:val="16"/>
    </w:rPr>
  </w:style>
  <w:style w:type="character" w:customStyle="1" w:styleId="CommentaireCar">
    <w:name w:val="Commentaire Car"/>
    <w:qFormat/>
    <w:rPr>
      <w:lang w:eastAsia="zh-CN"/>
    </w:rPr>
  </w:style>
  <w:style w:type="character" w:customStyle="1" w:styleId="tm5code">
    <w:name w:val="tm5code"/>
    <w:qFormat/>
  </w:style>
  <w:style w:type="character" w:customStyle="1" w:styleId="Marquedecommentaire3">
    <w:name w:val="Marque de commentaire3"/>
    <w:qFormat/>
    <w:rPr>
      <w:sz w:val="16"/>
      <w:szCs w:val="16"/>
    </w:rPr>
  </w:style>
  <w:style w:type="character" w:customStyle="1" w:styleId="stddocNumber">
    <w:name w:val="std_docNumber"/>
    <w:qFormat/>
    <w:rsid w:val="00C16C8D"/>
    <w:rPr>
      <w:rFonts w:ascii="Arial" w:hAnsi="Arial"/>
      <w:shd w:val="clear" w:color="auto" w:fill="F2DBDB"/>
    </w:rPr>
  </w:style>
  <w:style w:type="character" w:customStyle="1" w:styleId="stdpublisher">
    <w:name w:val="std_publisher"/>
    <w:qFormat/>
    <w:rsid w:val="00C16C8D"/>
    <w:rPr>
      <w:rFonts w:ascii="Arial" w:hAnsi="Arial"/>
      <w:shd w:val="clear" w:color="auto" w:fill="C6D9F1"/>
    </w:rPr>
  </w:style>
  <w:style w:type="character" w:customStyle="1" w:styleId="TabletitleChar">
    <w:name w:val="Table title Char"/>
    <w:link w:val="Tabletitle"/>
    <w:qFormat/>
    <w:rsid w:val="00C16C8D"/>
    <w:rPr>
      <w:rFonts w:ascii="Arial" w:eastAsia="Calibri" w:hAnsi="Arial"/>
      <w:b/>
      <w:szCs w:val="24"/>
      <w:lang w:val="sl-SI" w:eastAsia="en-US"/>
    </w:rPr>
  </w:style>
  <w:style w:type="character" w:customStyle="1" w:styleId="TablebodyChar">
    <w:name w:val="Table body Char"/>
    <w:link w:val="Tablebody"/>
    <w:qFormat/>
    <w:rsid w:val="00C16C8D"/>
    <w:rPr>
      <w:rFonts w:ascii="Arial" w:eastAsia="Calibri" w:hAnsi="Arial"/>
      <w:szCs w:val="22"/>
      <w:lang w:val="sl-SI" w:eastAsia="en-US"/>
    </w:rPr>
  </w:style>
  <w:style w:type="character" w:customStyle="1" w:styleId="TableheaderChar">
    <w:name w:val="Table header Char"/>
    <w:link w:val="Tableheader"/>
    <w:qFormat/>
    <w:rsid w:val="00C16C8D"/>
    <w:rPr>
      <w:rFonts w:ascii="Arial" w:eastAsia="Calibri" w:hAnsi="Arial"/>
      <w:szCs w:val="22"/>
      <w:lang w:val="sl-SI" w:eastAsia="en-US"/>
    </w:rPr>
  </w:style>
  <w:style w:type="character" w:styleId="CommentReference">
    <w:name w:val="annotation reference"/>
    <w:basedOn w:val="DefaultParagraphFont"/>
    <w:uiPriority w:val="99"/>
    <w:semiHidden/>
    <w:unhideWhenUsed/>
    <w:qFormat/>
    <w:rsid w:val="00A80B02"/>
    <w:rPr>
      <w:sz w:val="16"/>
      <w:szCs w:val="16"/>
    </w:rPr>
  </w:style>
  <w:style w:type="character" w:customStyle="1" w:styleId="CommentTextChar">
    <w:name w:val="Comment Text Char"/>
    <w:basedOn w:val="DefaultParagraphFont"/>
    <w:link w:val="CommentText"/>
    <w:uiPriority w:val="99"/>
    <w:qFormat/>
    <w:rsid w:val="00A80B02"/>
    <w:rPr>
      <w:lang w:eastAsia="zh-CN"/>
    </w:rPr>
  </w:style>
  <w:style w:type="character" w:customStyle="1" w:styleId="highlight">
    <w:name w:val="highlight"/>
    <w:basedOn w:val="DefaultParagraphFont"/>
    <w:qFormat/>
    <w:rsid w:val="00EB71C2"/>
  </w:style>
  <w:style w:type="character" w:customStyle="1" w:styleId="En-tteCar">
    <w:name w:val="En-tête Car"/>
    <w:basedOn w:val="DefaultParagraphFont"/>
    <w:qFormat/>
    <w:rsid w:val="002D37A3"/>
    <w:rPr>
      <w:sz w:val="24"/>
      <w:szCs w:val="24"/>
      <w:lang w:val="sl-SI" w:eastAsia="zh-CN"/>
    </w:rPr>
  </w:style>
  <w:style w:type="character" w:customStyle="1" w:styleId="PlainTextChar">
    <w:name w:val="Plain Text Char"/>
    <w:basedOn w:val="DefaultParagraphFont"/>
    <w:link w:val="PlainText"/>
    <w:uiPriority w:val="99"/>
    <w:qFormat/>
    <w:rsid w:val="000F71B4"/>
    <w:rPr>
      <w:rFonts w:ascii="Calibri" w:eastAsiaTheme="minorHAnsi" w:hAnsi="Calibri" w:cstheme="minorBidi"/>
      <w:sz w:val="22"/>
      <w:szCs w:val="21"/>
      <w:lang w:eastAsia="en-US"/>
    </w:rPr>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20"/>
      <w:jc w:val="both"/>
    </w:pPr>
  </w:style>
  <w:style w:type="paragraph" w:styleId="List">
    <w:name w:val="List"/>
    <w:basedOn w:val="BodyText"/>
    <w:rPr>
      <w:rFonts w:ascii="Liberation Sans" w:hAnsi="Liberation Sans" w:cs="Mangal"/>
    </w:rPr>
  </w:style>
  <w:style w:type="paragraph" w:styleId="Caption">
    <w:name w:val="caption"/>
    <w:basedOn w:val="Normal"/>
    <w:qFormat/>
    <w:pPr>
      <w:suppressLineNumbers/>
      <w:spacing w:before="120" w:after="120"/>
    </w:pPr>
    <w:rPr>
      <w:rFonts w:ascii="Liberation Sans" w:hAnsi="Liberation Sans" w:cs="Mangal"/>
      <w:i/>
      <w:iCs/>
    </w:rPr>
  </w:style>
  <w:style w:type="paragraph" w:customStyle="1" w:styleId="Index">
    <w:name w:val="Index"/>
    <w:basedOn w:val="Normal"/>
    <w:qFormat/>
    <w:pPr>
      <w:suppressLineNumbers/>
    </w:pPr>
    <w:rPr>
      <w:rFonts w:ascii="Liberation Sans" w:hAnsi="Liberation Sans" w:cs="Mangal"/>
    </w:rPr>
  </w:style>
  <w:style w:type="paragraph" w:customStyle="1" w:styleId="Titre5">
    <w:name w:val="Titre5"/>
    <w:basedOn w:val="Normal"/>
    <w:qFormat/>
    <w:pPr>
      <w:keepNext/>
      <w:spacing w:before="240" w:after="120"/>
    </w:pPr>
    <w:rPr>
      <w:rFonts w:ascii="Garamond" w:eastAsia="Microsoft YaHei" w:hAnsi="Garamond" w:cs="Mangal"/>
      <w:sz w:val="28"/>
      <w:szCs w:val="28"/>
    </w:rPr>
  </w:style>
  <w:style w:type="paragraph" w:customStyle="1" w:styleId="Titre4">
    <w:name w:val="Titre4"/>
    <w:basedOn w:val="Normal"/>
    <w:qFormat/>
    <w:pPr>
      <w:keepNext/>
      <w:spacing w:before="240" w:after="120"/>
    </w:pPr>
    <w:rPr>
      <w:rFonts w:ascii="Liberation Sans" w:eastAsia="Microsoft YaHei" w:hAnsi="Liberation Sans" w:cs="Mangal"/>
      <w:sz w:val="28"/>
      <w:szCs w:val="28"/>
    </w:rPr>
  </w:style>
  <w:style w:type="paragraph" w:customStyle="1" w:styleId="Titre3">
    <w:name w:val="Titre3"/>
    <w:basedOn w:val="Normal"/>
    <w:qFormat/>
    <w:pPr>
      <w:keepNext/>
      <w:spacing w:before="240" w:after="120"/>
    </w:pPr>
    <w:rPr>
      <w:rFonts w:ascii="Liberation Sans" w:eastAsia="Microsoft YaHei" w:hAnsi="Liberation Sans" w:cs="Mangal"/>
      <w:sz w:val="28"/>
      <w:szCs w:val="28"/>
    </w:rPr>
  </w:style>
  <w:style w:type="paragraph" w:customStyle="1" w:styleId="Titre2">
    <w:name w:val="Titre2"/>
    <w:basedOn w:val="Normal"/>
    <w:qFormat/>
    <w:pPr>
      <w:keepNext/>
      <w:spacing w:before="240" w:after="120"/>
    </w:pPr>
    <w:rPr>
      <w:rFonts w:ascii="Garamond" w:eastAsia="Microsoft YaHei" w:hAnsi="Garamond" w:cs="Mangal"/>
      <w:sz w:val="28"/>
      <w:szCs w:val="28"/>
    </w:rPr>
  </w:style>
  <w:style w:type="paragraph" w:customStyle="1" w:styleId="Titre1">
    <w:name w:val="Titre1"/>
    <w:basedOn w:val="Normal"/>
    <w:qFormat/>
    <w:pPr>
      <w:keepNext/>
      <w:spacing w:before="240" w:after="120"/>
    </w:pPr>
    <w:rPr>
      <w:rFonts w:ascii="Liberation Sans" w:eastAsia="Microsoft YaHei" w:hAnsi="Liberation Sans" w:cs="Mangal"/>
      <w:sz w:val="28"/>
      <w:szCs w:val="28"/>
    </w:rPr>
  </w:style>
  <w:style w:type="paragraph" w:customStyle="1" w:styleId="SNREPUBLIQUE">
    <w:name w:val="SNREPUBLIQUE"/>
    <w:basedOn w:val="Normal"/>
    <w:qFormat/>
    <w:pPr>
      <w:jc w:val="center"/>
    </w:pPr>
    <w:rPr>
      <w:b/>
      <w:bCs/>
      <w:szCs w:val="20"/>
    </w:rPr>
  </w:style>
  <w:style w:type="paragraph" w:customStyle="1" w:styleId="puce1">
    <w:name w:val="puce1"/>
    <w:basedOn w:val="Normal"/>
    <w:qFormat/>
    <w:pPr>
      <w:widowControl w:val="0"/>
      <w:tabs>
        <w:tab w:val="left" w:pos="1429"/>
      </w:tabs>
      <w:spacing w:before="240"/>
      <w:ind w:left="1429" w:hanging="360"/>
    </w:pPr>
    <w:rPr>
      <w:rFonts w:eastAsia="Lucida Sans Unicode"/>
    </w:rPr>
  </w:style>
  <w:style w:type="paragraph" w:customStyle="1" w:styleId="puce2">
    <w:name w:val="puce2"/>
    <w:basedOn w:val="Normal"/>
    <w:qFormat/>
    <w:pPr>
      <w:widowControl w:val="0"/>
      <w:tabs>
        <w:tab w:val="left" w:pos="2149"/>
      </w:tabs>
      <w:spacing w:before="240"/>
      <w:ind w:left="2149" w:hanging="360"/>
    </w:pPr>
    <w:rPr>
      <w:rFonts w:eastAsia="Lucida Sans Unicode"/>
    </w:rPr>
  </w:style>
  <w:style w:type="paragraph" w:customStyle="1" w:styleId="puce3">
    <w:name w:val="puce3"/>
    <w:basedOn w:val="Normal"/>
    <w:qFormat/>
    <w:pPr>
      <w:widowControl w:val="0"/>
      <w:tabs>
        <w:tab w:val="left" w:pos="2869"/>
      </w:tabs>
      <w:spacing w:before="240"/>
      <w:ind w:left="2869" w:hanging="360"/>
    </w:pPr>
    <w:rPr>
      <w:rFonts w:eastAsia="Lucida Sans Unicode"/>
    </w:rPr>
  </w:style>
  <w:style w:type="paragraph" w:customStyle="1" w:styleId="num1">
    <w:name w:val="num1"/>
    <w:basedOn w:val="Normal"/>
    <w:qFormat/>
    <w:pPr>
      <w:widowControl w:val="0"/>
      <w:tabs>
        <w:tab w:val="left" w:pos="1429"/>
      </w:tabs>
      <w:spacing w:before="240"/>
      <w:ind w:left="1429" w:hanging="360"/>
    </w:pPr>
    <w:rPr>
      <w:rFonts w:eastAsia="Lucida Sans Unicode"/>
    </w:rPr>
  </w:style>
  <w:style w:type="paragraph" w:customStyle="1" w:styleId="num2">
    <w:name w:val="num2"/>
    <w:basedOn w:val="Normal"/>
    <w:qFormat/>
    <w:pPr>
      <w:widowControl w:val="0"/>
      <w:tabs>
        <w:tab w:val="left" w:pos="2149"/>
      </w:tabs>
      <w:spacing w:before="240"/>
      <w:ind w:left="2149" w:hanging="360"/>
    </w:pPr>
    <w:rPr>
      <w:rFonts w:eastAsia="Lucida Sans Unicode"/>
    </w:rPr>
  </w:style>
  <w:style w:type="paragraph" w:customStyle="1" w:styleId="num3">
    <w:name w:val="num3"/>
    <w:basedOn w:val="Normal"/>
    <w:qFormat/>
    <w:pPr>
      <w:widowControl w:val="0"/>
      <w:tabs>
        <w:tab w:val="left" w:pos="2869"/>
      </w:tabs>
      <w:spacing w:before="240"/>
      <w:ind w:left="2869" w:hanging="180"/>
    </w:pPr>
    <w:rPr>
      <w:rFonts w:eastAsia="Lucida Sans Unicode"/>
    </w:rPr>
  </w:style>
  <w:style w:type="paragraph" w:customStyle="1" w:styleId="SNConsultation">
    <w:name w:val="SNConsultation"/>
    <w:basedOn w:val="Normal"/>
    <w:qFormat/>
    <w:pPr>
      <w:widowControl w:val="0"/>
      <w:spacing w:before="120" w:after="120"/>
      <w:ind w:firstLine="709"/>
      <w:jc w:val="both"/>
    </w:pPr>
    <w:rPr>
      <w:rFonts w:eastAsia="Lucida Sans Unicode"/>
    </w:rPr>
  </w:style>
  <w:style w:type="paragraph" w:customStyle="1" w:styleId="SNNature">
    <w:name w:val="SNNature"/>
    <w:basedOn w:val="Normal"/>
    <w:qFormat/>
    <w:pPr>
      <w:widowControl w:val="0"/>
      <w:suppressLineNumbers/>
      <w:spacing w:before="720" w:after="120"/>
      <w:jc w:val="center"/>
    </w:pPr>
    <w:rPr>
      <w:rFonts w:eastAsia="Lucida Sans Unicode"/>
      <w:b/>
      <w:bCs/>
    </w:rPr>
  </w:style>
  <w:style w:type="paragraph" w:customStyle="1" w:styleId="SNtitre">
    <w:name w:val="SNtitre"/>
    <w:basedOn w:val="Normal"/>
    <w:qFormat/>
    <w:pPr>
      <w:widowControl w:val="0"/>
      <w:suppressLineNumbers/>
      <w:spacing w:after="360"/>
      <w:jc w:val="center"/>
    </w:pPr>
    <w:rPr>
      <w:rFonts w:eastAsia="Lucida Sans Unicode"/>
      <w:b/>
    </w:rPr>
  </w:style>
  <w:style w:type="paragraph" w:customStyle="1" w:styleId="SNNORCentr">
    <w:name w:val="SNNOR+Centré"/>
    <w:qFormat/>
    <w:pPr>
      <w:jc w:val="center"/>
    </w:pPr>
    <w:rPr>
      <w:bCs/>
      <w:lang w:eastAsia="zh-CN"/>
    </w:rPr>
  </w:style>
  <w:style w:type="paragraph" w:customStyle="1" w:styleId="SNAutorit">
    <w:name w:val="SNAutorité"/>
    <w:basedOn w:val="Normal"/>
    <w:qFormat/>
    <w:pPr>
      <w:spacing w:before="720" w:after="240"/>
      <w:ind w:firstLine="720"/>
    </w:pPr>
    <w:rPr>
      <w:b/>
    </w:rPr>
  </w:style>
  <w:style w:type="paragraph" w:customStyle="1" w:styleId="SNSignatureDroite">
    <w:name w:val="SNSignatureDroite"/>
    <w:basedOn w:val="Normal"/>
    <w:qFormat/>
    <w:pPr>
      <w:spacing w:before="120" w:after="1680"/>
      <w:ind w:left="5040"/>
      <w:jc w:val="right"/>
    </w:pPr>
    <w:rPr>
      <w:color w:val="000000"/>
    </w:rPr>
  </w:style>
  <w:style w:type="paragraph" w:customStyle="1" w:styleId="SNSignatureprnomnomDroite">
    <w:name w:val="SNSignature prénom+nom Droite"/>
    <w:basedOn w:val="SNSignatureDroite"/>
    <w:qFormat/>
    <w:pPr>
      <w:spacing w:after="120"/>
      <w:ind w:left="5041"/>
    </w:pPr>
  </w:style>
  <w:style w:type="paragraph" w:customStyle="1" w:styleId="SNSignatureGauche">
    <w:name w:val="SNSignatureGauche"/>
    <w:basedOn w:val="Normal"/>
    <w:qFormat/>
    <w:pPr>
      <w:spacing w:before="120" w:after="1680"/>
      <w:ind w:left="720" w:right="-6" w:firstLine="1080"/>
      <w:jc w:val="right"/>
    </w:pPr>
  </w:style>
  <w:style w:type="paragraph" w:customStyle="1" w:styleId="SNSignatureprnomnomGauche">
    <w:name w:val="SNSignature prénom+nom Gauche"/>
    <w:basedOn w:val="SNSignatureGauche"/>
    <w:next w:val="SNSignatureDroite"/>
    <w:qFormat/>
    <w:pPr>
      <w:spacing w:after="120"/>
    </w:pPr>
    <w:rPr>
      <w:color w:val="000000"/>
    </w:rPr>
  </w:style>
  <w:style w:type="paragraph" w:customStyle="1" w:styleId="SNTimbre">
    <w:name w:val="SNTimbre"/>
    <w:basedOn w:val="Normal"/>
    <w:qFormat/>
    <w:pPr>
      <w:widowControl w:val="0"/>
      <w:snapToGrid w:val="0"/>
      <w:spacing w:before="120"/>
      <w:jc w:val="center"/>
    </w:pPr>
    <w:rPr>
      <w:rFonts w:eastAsia="Lucida Sans Unicode"/>
    </w:rPr>
  </w:style>
  <w:style w:type="paragraph" w:customStyle="1" w:styleId="SNRapport">
    <w:name w:val="SNRapport"/>
    <w:basedOn w:val="Normal"/>
    <w:qFormat/>
    <w:pPr>
      <w:spacing w:before="240" w:after="120"/>
      <w:ind w:firstLine="720"/>
    </w:pPr>
  </w:style>
  <w:style w:type="paragraph" w:customStyle="1" w:styleId="SNVisa">
    <w:name w:val="SNVisa"/>
    <w:basedOn w:val="Normal"/>
    <w:qFormat/>
    <w:pPr>
      <w:spacing w:before="120" w:after="120"/>
      <w:ind w:firstLine="720"/>
    </w:pPr>
  </w:style>
  <w:style w:type="paragraph" w:customStyle="1" w:styleId="SNDate">
    <w:name w:val="SNDate"/>
    <w:basedOn w:val="Normal"/>
    <w:qFormat/>
    <w:pPr>
      <w:spacing w:before="280" w:after="280"/>
      <w:ind w:firstLine="720"/>
      <w:jc w:val="both"/>
    </w:pPr>
  </w:style>
  <w:style w:type="paragraph" w:customStyle="1" w:styleId="SNContreseing">
    <w:name w:val="SNContreseing"/>
    <w:basedOn w:val="Normal"/>
    <w:next w:val="SNSignatureGauche"/>
    <w:qFormat/>
    <w:pPr>
      <w:spacing w:before="480"/>
      <w:ind w:firstLine="720"/>
    </w:pPr>
  </w:style>
  <w:style w:type="paragraph" w:customStyle="1" w:styleId="SNActe">
    <w:name w:val="SNActe"/>
    <w:basedOn w:val="Normal"/>
    <w:qFormat/>
    <w:pPr>
      <w:spacing w:before="480" w:after="360"/>
      <w:jc w:val="center"/>
    </w:pPr>
    <w:rPr>
      <w:b/>
    </w:rPr>
  </w:style>
  <w:style w:type="paragraph" w:customStyle="1" w:styleId="SNArticle">
    <w:name w:val="SNArticle"/>
    <w:basedOn w:val="Normal"/>
    <w:qFormat/>
    <w:pPr>
      <w:spacing w:before="360" w:after="240"/>
      <w:jc w:val="center"/>
    </w:pPr>
    <w:rPr>
      <w:b/>
      <w:bCs/>
    </w:rPr>
  </w:style>
  <w:style w:type="paragraph" w:customStyle="1" w:styleId="SNConsidrant">
    <w:name w:val="SNConsidérant"/>
    <w:basedOn w:val="Normal"/>
    <w:qFormat/>
    <w:pPr>
      <w:ind w:firstLine="720"/>
    </w:pPr>
  </w:style>
  <w:style w:type="paragraph" w:customStyle="1" w:styleId="SNConsultationCE">
    <w:name w:val="SNConsultationCE"/>
    <w:basedOn w:val="SNConsultation"/>
    <w:qFormat/>
  </w:style>
  <w:style w:type="paragraph" w:customStyle="1" w:styleId="SNConsultationCM">
    <w:name w:val="SNConsultationCM"/>
    <w:basedOn w:val="SNConsultation"/>
    <w:qFormat/>
  </w:style>
  <w:style w:type="paragraph" w:customStyle="1" w:styleId="SNDirection">
    <w:name w:val="SNDirection"/>
    <w:basedOn w:val="Normal"/>
    <w:qFormat/>
    <w:pPr>
      <w:spacing w:before="720"/>
      <w:jc w:val="center"/>
    </w:pPr>
    <w:rPr>
      <w:b/>
    </w:rPr>
  </w:style>
  <w:style w:type="paragraph" w:customStyle="1" w:styleId="SNListePrincipale">
    <w:name w:val="SNListePrincipale"/>
    <w:basedOn w:val="Normal"/>
    <w:qFormat/>
  </w:style>
  <w:style w:type="paragraph" w:customStyle="1" w:styleId="SNIntitul">
    <w:name w:val="SNIntitulé"/>
    <w:basedOn w:val="Normal"/>
    <w:qFormat/>
    <w:pPr>
      <w:jc w:val="center"/>
    </w:pPr>
  </w:style>
  <w:style w:type="paragraph" w:customStyle="1" w:styleId="SNTitreRapport">
    <w:name w:val="SNTitreRapport"/>
    <w:basedOn w:val="SNActe"/>
    <w:qFormat/>
  </w:style>
  <w:style w:type="paragraph" w:customStyle="1" w:styleId="SNExcution">
    <w:name w:val="SNExécution"/>
    <w:basedOn w:val="Normal"/>
    <w:qFormat/>
  </w:style>
  <w:style w:type="paragraph" w:customStyle="1" w:styleId="SNAdoption">
    <w:name w:val="SNAdoption"/>
    <w:basedOn w:val="Normal"/>
    <w:qFormat/>
  </w:style>
  <w:style w:type="paragraph" w:customStyle="1" w:styleId="SNLibell">
    <w:name w:val="SNLibellé"/>
    <w:basedOn w:val="Normal"/>
    <w:qFormat/>
  </w:style>
  <w:style w:type="paragraph" w:styleId="BalloonText">
    <w:name w:val="Balloon Text"/>
    <w:basedOn w:val="Normal"/>
    <w:qFormat/>
    <w:rPr>
      <w:rFonts w:ascii="Tahoma" w:hAnsi="Tahoma" w:cs="Tahoma"/>
      <w:sz w:val="16"/>
      <w:szCs w:val="16"/>
    </w:rPr>
  </w:style>
  <w:style w:type="paragraph" w:customStyle="1" w:styleId="Titre1objet">
    <w:name w:val="Titre 1 objet"/>
    <w:basedOn w:val="Heading1"/>
    <w:qFormat/>
    <w:pPr>
      <w:numPr>
        <w:numId w:val="0"/>
      </w:numPr>
      <w:spacing w:before="0" w:after="120"/>
    </w:pPr>
    <w:rPr>
      <w:b w:val="0"/>
    </w:rPr>
  </w:style>
  <w:style w:type="paragraph" w:customStyle="1" w:styleId="Titre2objet">
    <w:name w:val="Titre 2 objet"/>
    <w:basedOn w:val="Heading2"/>
    <w:next w:val="Normal"/>
    <w:qFormat/>
    <w:pPr>
      <w:numPr>
        <w:ilvl w:val="0"/>
        <w:numId w:val="0"/>
      </w:numPr>
      <w:spacing w:before="0" w:after="120"/>
    </w:pPr>
    <w:rPr>
      <w:b w:val="0"/>
    </w:rPr>
  </w:style>
  <w:style w:type="paragraph" w:customStyle="1" w:styleId="titre3objet">
    <w:name w:val="titre 3 objet"/>
    <w:basedOn w:val="Heading3"/>
    <w:next w:val="Normal"/>
    <w:qFormat/>
    <w:pPr>
      <w:numPr>
        <w:ilvl w:val="0"/>
        <w:numId w:val="0"/>
      </w:numPr>
      <w:spacing w:before="0" w:after="120"/>
    </w:pPr>
    <w:rPr>
      <w:b w:val="0"/>
    </w:rPr>
  </w:style>
  <w:style w:type="paragraph" w:styleId="NormalWeb">
    <w:name w:val="Normal (Web)"/>
    <w:basedOn w:val="Normal"/>
    <w:uiPriority w:val="99"/>
    <w:qFormat/>
    <w:pPr>
      <w:spacing w:before="280" w:after="280"/>
    </w:pPr>
  </w:style>
  <w:style w:type="paragraph" w:customStyle="1" w:styleId="Commentaire1">
    <w:name w:val="Commentaire1"/>
    <w:basedOn w:val="Normal"/>
    <w:qFormat/>
    <w:rPr>
      <w:sz w:val="20"/>
      <w:szCs w:val="20"/>
    </w:rPr>
  </w:style>
  <w:style w:type="paragraph" w:styleId="CommentSubject">
    <w:name w:val="annotation subject"/>
    <w:basedOn w:val="Commentaire1"/>
    <w:next w:val="Commentaire1"/>
    <w:qFormat/>
    <w:rPr>
      <w:b/>
      <w:bCs/>
    </w:rPr>
  </w:style>
  <w:style w:type="paragraph" w:customStyle="1" w:styleId="HeaderandFooter">
    <w:name w:val="Header and Footer"/>
    <w:basedOn w:val="Normal"/>
    <w:qFormat/>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PointDouble2">
    <w:name w:val="PointDouble 2"/>
    <w:basedOn w:val="Normal"/>
    <w:qFormat/>
    <w:pPr>
      <w:tabs>
        <w:tab w:val="left" w:pos="1984"/>
      </w:tabs>
      <w:spacing w:before="120" w:after="120" w:line="360" w:lineRule="auto"/>
      <w:ind w:left="2551" w:hanging="1134"/>
    </w:pPr>
  </w:style>
  <w:style w:type="paragraph" w:customStyle="1" w:styleId="Tiret0">
    <w:name w:val="Tiret 0"/>
    <w:basedOn w:val="Normal"/>
    <w:qFormat/>
    <w:pPr>
      <w:spacing w:before="120" w:after="120" w:line="360" w:lineRule="auto"/>
    </w:pPr>
  </w:style>
  <w:style w:type="paragraph" w:customStyle="1" w:styleId="Tiret1">
    <w:name w:val="Tiret 1"/>
    <w:basedOn w:val="Normal"/>
    <w:qFormat/>
    <w:pPr>
      <w:spacing w:before="120" w:after="120" w:line="360" w:lineRule="auto"/>
    </w:pPr>
  </w:style>
  <w:style w:type="paragraph" w:customStyle="1" w:styleId="Text1">
    <w:name w:val="Text 1"/>
    <w:basedOn w:val="Normal"/>
    <w:qFormat/>
    <w:pPr>
      <w:spacing w:before="120" w:after="120" w:line="360" w:lineRule="auto"/>
      <w:ind w:left="850"/>
    </w:pPr>
  </w:style>
  <w:style w:type="paragraph" w:customStyle="1" w:styleId="Point0">
    <w:name w:val="Point 0"/>
    <w:basedOn w:val="Normal"/>
    <w:qFormat/>
    <w:pPr>
      <w:spacing w:before="120" w:after="120" w:line="360" w:lineRule="auto"/>
      <w:ind w:left="850" w:hanging="850"/>
    </w:pPr>
  </w:style>
  <w:style w:type="paragraph" w:customStyle="1" w:styleId="Point1">
    <w:name w:val="Point 1"/>
    <w:basedOn w:val="Normal"/>
    <w:qFormat/>
    <w:pPr>
      <w:spacing w:before="120" w:after="120" w:line="360" w:lineRule="auto"/>
      <w:ind w:left="1417" w:hanging="567"/>
    </w:pPr>
  </w:style>
  <w:style w:type="paragraph" w:customStyle="1" w:styleId="ManualNumPar1">
    <w:name w:val="Manual NumPar 1"/>
    <w:basedOn w:val="Normal"/>
    <w:qFormat/>
    <w:pPr>
      <w:spacing w:before="120" w:after="120" w:line="360" w:lineRule="auto"/>
      <w:ind w:left="850" w:hanging="850"/>
    </w:pPr>
  </w:style>
  <w:style w:type="paragraph" w:styleId="Revision">
    <w:name w:val="Revision"/>
    <w:qFormat/>
    <w:rPr>
      <w:lang w:eastAsia="zh-CN"/>
    </w:rPr>
  </w:style>
  <w:style w:type="paragraph" w:customStyle="1" w:styleId="Default">
    <w:name w:val="Default"/>
    <w:qFormat/>
    <w:rPr>
      <w:color w:val="000000"/>
      <w:lang w:eastAsia="zh-CN"/>
    </w:rPr>
  </w:style>
  <w:style w:type="paragraph" w:styleId="FootnoteText">
    <w:name w:val="footnote text"/>
    <w:basedOn w:val="Normal"/>
    <w:qFormat/>
    <w:rPr>
      <w:sz w:val="20"/>
      <w:szCs w:val="20"/>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Commentaire2">
    <w:name w:val="Commentaire2"/>
    <w:basedOn w:val="Normal"/>
    <w:qFormat/>
    <w:rPr>
      <w:sz w:val="20"/>
      <w:szCs w:val="20"/>
    </w:rPr>
  </w:style>
  <w:style w:type="paragraph" w:customStyle="1" w:styleId="western">
    <w:name w:val="western"/>
    <w:basedOn w:val="Normal"/>
    <w:qFormat/>
    <w:pPr>
      <w:spacing w:before="280" w:after="119"/>
      <w:jc w:val="both"/>
    </w:pPr>
    <w:rPr>
      <w:color w:val="000000"/>
    </w:rPr>
  </w:style>
  <w:style w:type="paragraph" w:customStyle="1" w:styleId="Commentaire3">
    <w:name w:val="Commentaire3"/>
    <w:basedOn w:val="Normal"/>
    <w:qFormat/>
    <w:rPr>
      <w:sz w:val="20"/>
      <w:szCs w:val="20"/>
    </w:rPr>
  </w:style>
  <w:style w:type="paragraph" w:styleId="ListParagraph">
    <w:name w:val="List Paragraph"/>
    <w:basedOn w:val="Normal"/>
    <w:uiPriority w:val="34"/>
    <w:qFormat/>
    <w:rsid w:val="0011775C"/>
    <w:pPr>
      <w:ind w:left="720"/>
      <w:contextualSpacing/>
    </w:pPr>
  </w:style>
  <w:style w:type="paragraph" w:customStyle="1" w:styleId="Tabletitle">
    <w:name w:val="Table title"/>
    <w:basedOn w:val="Normal"/>
    <w:link w:val="TabletitleChar"/>
    <w:qFormat/>
    <w:rsid w:val="00C16C8D"/>
    <w:pPr>
      <w:keepNext/>
      <w:spacing w:before="120" w:after="120" w:line="240" w:lineRule="atLeast"/>
      <w:jc w:val="center"/>
      <w:outlineLvl w:val="0"/>
    </w:pPr>
    <w:rPr>
      <w:rFonts w:ascii="Arial" w:eastAsia="Calibri" w:hAnsi="Arial"/>
      <w:b/>
      <w:sz w:val="20"/>
      <w:lang w:eastAsia="en-US"/>
    </w:rPr>
  </w:style>
  <w:style w:type="paragraph" w:customStyle="1" w:styleId="Tablebody">
    <w:name w:val="Table body"/>
    <w:basedOn w:val="Normal"/>
    <w:link w:val="TablebodyChar"/>
    <w:qFormat/>
    <w:rsid w:val="00C16C8D"/>
    <w:pPr>
      <w:spacing w:before="60" w:after="60" w:line="210" w:lineRule="atLeast"/>
    </w:pPr>
    <w:rPr>
      <w:rFonts w:ascii="Arial" w:eastAsia="Calibri" w:hAnsi="Arial"/>
      <w:sz w:val="20"/>
      <w:szCs w:val="22"/>
      <w:lang w:eastAsia="en-US"/>
    </w:rPr>
  </w:style>
  <w:style w:type="paragraph" w:customStyle="1" w:styleId="Tableheader">
    <w:name w:val="Table header"/>
    <w:basedOn w:val="Tablebody"/>
    <w:link w:val="TableheaderChar"/>
    <w:qFormat/>
    <w:rsid w:val="00C16C8D"/>
  </w:style>
  <w:style w:type="paragraph" w:customStyle="1" w:styleId="CM1">
    <w:name w:val="CM1"/>
    <w:basedOn w:val="Default"/>
    <w:next w:val="Default"/>
    <w:uiPriority w:val="99"/>
    <w:qFormat/>
    <w:rsid w:val="009A03FA"/>
    <w:rPr>
      <w:rFonts w:ascii="EUAlbertina" w:hAnsi="EUAlbertina"/>
      <w:color w:val="00000A"/>
      <w:lang w:eastAsia="fr-FR"/>
    </w:rPr>
  </w:style>
  <w:style w:type="paragraph" w:customStyle="1" w:styleId="CM3">
    <w:name w:val="CM3"/>
    <w:basedOn w:val="Default"/>
    <w:next w:val="Default"/>
    <w:uiPriority w:val="99"/>
    <w:qFormat/>
    <w:rsid w:val="009A03FA"/>
    <w:rPr>
      <w:rFonts w:ascii="EUAlbertina" w:hAnsi="EUAlbertina"/>
      <w:color w:val="00000A"/>
      <w:lang w:eastAsia="fr-FR"/>
    </w:rPr>
  </w:style>
  <w:style w:type="paragraph" w:customStyle="1" w:styleId="CM4">
    <w:name w:val="CM4"/>
    <w:basedOn w:val="Default"/>
    <w:next w:val="Default"/>
    <w:uiPriority w:val="99"/>
    <w:qFormat/>
    <w:rsid w:val="009A03FA"/>
    <w:rPr>
      <w:rFonts w:ascii="EUAlbertina" w:hAnsi="EUAlbertina"/>
      <w:color w:val="00000A"/>
      <w:lang w:eastAsia="fr-FR"/>
    </w:rPr>
  </w:style>
  <w:style w:type="paragraph" w:styleId="CommentText">
    <w:name w:val="annotation text"/>
    <w:basedOn w:val="Normal"/>
    <w:link w:val="CommentTextChar"/>
    <w:uiPriority w:val="99"/>
    <w:unhideWhenUsed/>
    <w:qFormat/>
    <w:rsid w:val="00A80B02"/>
    <w:rPr>
      <w:sz w:val="20"/>
      <w:szCs w:val="20"/>
    </w:rPr>
  </w:style>
  <w:style w:type="paragraph" w:styleId="PlainText">
    <w:name w:val="Plain Text"/>
    <w:basedOn w:val="Normal"/>
    <w:link w:val="PlainTextChar"/>
    <w:uiPriority w:val="99"/>
    <w:unhideWhenUsed/>
    <w:qFormat/>
    <w:rsid w:val="000F71B4"/>
    <w:rPr>
      <w:rFonts w:ascii="Calibri" w:eastAsiaTheme="minorHAnsi" w:hAnsi="Calibri" w:cstheme="minorBidi"/>
      <w:sz w:val="22"/>
      <w:szCs w:val="21"/>
      <w:lang w:eastAsia="en-US"/>
    </w:rPr>
  </w:style>
  <w:style w:type="character" w:customStyle="1" w:styleId="ListLabel8">
    <w:name w:val="ListLabel 8"/>
    <w:qFormat/>
    <w:rsid w:val="00382738"/>
    <w:rPr>
      <w:sz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1"/>
    <w:tblPr>
      <w:tblStyleRowBandSize w:val="1"/>
      <w:tblStyleColBandSize w:val="1"/>
      <w:tblCellMar>
        <w:top w:w="57" w:type="dxa"/>
        <w:left w:w="57" w:type="dxa"/>
        <w:bottom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996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DRlpeGrJh6cXEqXDWDreKoc8vQ==">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1315</Words>
  <Characters>7496</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Diana STOICA</cp:lastModifiedBy>
  <cp:revision>3</cp:revision>
  <dcterms:created xsi:type="dcterms:W3CDTF">2020-07-08T10:11:00Z</dcterms:created>
  <dcterms:modified xsi:type="dcterms:W3CDTF">2020-07-29T14:01:00Z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