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Decreet nr. 2020-1757 van 29 december 2020</w:t>
      </w:r>
      <w:r>
        <w:rPr>
          <w:b/>
          <w:sz w:val="36"/>
          <w:rFonts w:ascii="Times New Roman" w:hAnsi="Times New Roman"/>
        </w:rPr>
        <w:br/>
      </w:r>
      <w:r>
        <w:rPr>
          <w:b/>
          <w:sz w:val="36"/>
          <w:rFonts w:ascii="Times New Roman" w:hAnsi="Times New Roman"/>
        </w:rPr>
        <w:t xml:space="preserve">betreffende de herstelbaarheidsindex van elektrische en elektronische apparatuur</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Eerste versie</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Bedoeld voor: </w:t>
      </w:r>
      <w:r>
        <w:rPr>
          <w:sz w:val="24"/>
          <w:rFonts w:ascii="Times New Roman" w:hAnsi="Times New Roman"/>
        </w:rPr>
        <w:t xml:space="preserve">fabrikanten, importeurs, distributeurs of overige personen die elektrische en elektronische apparatuur op de markt brengen en verkopers van dezelfde apparatuur, evenals personen die een website, een platform of een andere manier van online distributie gebruiken in het kader van hun handelsactiviteit in Frankrijk.</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Betreft: uitvoeringsbepalingen van de herstelbaarheidsindex als omschreven in artikel L541-9-2 van de milieucode.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Inwerkingtreding:</w:t>
      </w:r>
      <w:r>
        <w:rPr>
          <w:sz w:val="24"/>
          <w:rFonts w:ascii="Times New Roman" w:hAnsi="Times New Roman"/>
        </w:rPr>
        <w:t xml:space="preserve"> de tekst treedt in werking op 1 januari 2021.</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Opmerking: </w:t>
      </w:r>
      <w:r>
        <w:rPr>
          <w:sz w:val="24"/>
          <w:rFonts w:ascii="Times New Roman" w:hAnsi="Times New Roman"/>
        </w:rPr>
        <w:t xml:space="preserve">onderhavig decreet legt de toepassingsvoorwaarden vast van artikel L 541-9-2 van het milieuwetboek dat voorziet in de tenuitvoerlegging van een herstelbaarheidsindex voor bepaalde categorieën van elektrische en elektronische apparatuur.</w:t>
      </w:r>
      <w:r>
        <w:rPr>
          <w:sz w:val="24"/>
          <w:rFonts w:ascii="Times New Roman" w:hAnsi="Times New Roman"/>
        </w:rPr>
        <w:t xml:space="preserve"> </w:t>
      </w:r>
      <w:r>
        <w:rPr>
          <w:sz w:val="24"/>
          <w:rFonts w:ascii="Times New Roman" w:hAnsi="Times New Roman"/>
        </w:rPr>
        <w:t xml:space="preserve">Zij specificeert met name de criteria en parameters voor de berekening van deze index, alsmede het algemene kader van de verplichtingen met betrekking tot de mededeling en weergave ervan.</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Verwijzingen:</w:t>
      </w:r>
      <w:r>
        <w:rPr>
          <w:sz w:val="24"/>
          <w:rFonts w:ascii="Times New Roman" w:hAnsi="Times New Roman"/>
        </w:rPr>
        <w:t xml:space="preserve"> onderhavig decreet kan worden geraadpleegd op de website van Légifrance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 eerste minister,</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Over het verslag van de minister van Ecologische Overgang en de minister van Economie, Financiën en Herstel,</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Gelet op Richtlijn 2008/98/EG van het Europees Parlement en de Raad van 19 november 2008 betreffende afvalstoffen en tot intrekking van een aantal richtlijnen, laatstelijk gewijzigd bij Richtlijn (EU) 2018/851 van 30 mei 2018;</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Gelet op Richtlijn (EU) 2015/1535 van het Europees Parlement en de Raad van 9 september 2015 betreffende een informatieprocedure op het gebied van technische voorschriften en regels betreffende de diensten van de informatiemaatschappij, samen met de kennisgeving die op 21 juli 2020 aan de Europese Commissie is toegezonden;</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Gezien het milieuwetboek, met name artikel L541-9-2 in de formulering die voortvloeit uit artikel 16 van wet nr. 2020-105 van 10 februari 2020 betreffende de strijd tegen verspilling en de circulaire economie;</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Gelet op wet nr. 2020-105 betreffende de bestrijding van afvalstoffen en de circulaire economie, en met name op de artikelen 16, 29 en 130,</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Gezien de opmerkingen die zijn gemaakt tijdens de openbare raadpleging van 21 juli 2020 tot en met 17 augustus 2020, overeenkomstig artikel L123-19-1 van het Milieuwetboek,</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Gehoord de Raad van State (afdeling Openbare Werken),</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Decreteert:</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1</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Hoofdstuk I van titel IV van boek V van het regelgevende gedeelte van de milieuwet wordt aangevuld met een deel 9 dat als volgt luidt:</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“Sectie 9</w:t>
      </w:r>
      <w:r>
        <w:rPr>
          <w:sz w:val="24"/>
          <w:rFonts w:ascii="Times New Roman" w:hAnsi="Times New Roman"/>
        </w:rPr>
        <w:br/>
      </w:r>
      <w:r>
        <w:rPr>
          <w:sz w:val="24"/>
          <w:rFonts w:ascii="Times New Roman" w:hAnsi="Times New Roman"/>
        </w:rPr>
        <w:t xml:space="preserve">Het publiek informeren over afvalverwekkende producten</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“Subsectie 1</w:t>
      </w:r>
      <w:r>
        <w:rPr>
          <w:sz w:val="24"/>
          <w:rFonts w:ascii="Times New Roman" w:hAnsi="Times New Roman"/>
        </w:rPr>
        <w:br/>
      </w:r>
      <w:r>
        <w:rPr>
          <w:sz w:val="24"/>
          <w:rFonts w:ascii="Times New Roman" w:hAnsi="Times New Roman"/>
        </w:rPr>
        <w:t xml:space="preserve">Het weergeven van de herstelbaarheidsindex</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R541-210.</w:t>
      </w:r>
      <w:r>
        <w:rPr>
          <w:sz w:val="24"/>
          <w:rFonts w:ascii="Times New Roman" w:hAnsi="Times New Roman"/>
        </w:rPr>
        <w:t xml:space="preserve"> </w:t>
      </w:r>
      <w:r>
        <w:rPr>
          <w:sz w:val="24"/>
          <w:rFonts w:ascii="Times New Roman" w:hAnsi="Times New Roman"/>
        </w:rPr>
        <w:t xml:space="preserve">- De herstelbaarheidsindex voor elektrische en elektronische apparatuur als omschreven in artikel L541-9-2 bestaat uit een score van tien die bij de aankoop van nieuwe apparatuur onder de aandacht van de consument moet worden gebracht.</w:t>
      </w:r>
      <w:r>
        <w:rPr>
          <w:sz w:val="24"/>
          <w:rFonts w:ascii="Times New Roman" w:hAnsi="Times New Roman"/>
        </w:rPr>
        <w:br/>
      </w:r>
      <w:r>
        <w:rPr>
          <w:sz w:val="24"/>
          <w:rFonts w:ascii="Times New Roman" w:hAnsi="Times New Roman"/>
        </w:rPr>
        <w:t xml:space="preserve">“Deze index heeft betrekking op elk van de modellen van deze apparatuur.</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R541-211.</w:t>
      </w:r>
      <w:r>
        <w:rPr>
          <w:sz w:val="24"/>
          <w:rFonts w:ascii="Times New Roman" w:hAnsi="Times New Roman"/>
        </w:rPr>
        <w:t xml:space="preserve"> </w:t>
      </w:r>
      <w:r>
        <w:rPr>
          <w:sz w:val="24"/>
          <w:rFonts w:ascii="Times New Roman" w:hAnsi="Times New Roman"/>
        </w:rPr>
        <w:t xml:space="preserve">- voor de toepassing van deze afdeling gelden de volgende definities:</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“Op de markt aanbieden”: elke levering van elektrische of elektronische apparatuur die bestemd is om in het kader van een commerciële activiteit, al dan niet tegen betaling, op de nationale markt te worden gedistribueerd of gebruikt;</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“Op de markt brengen”: de eerste terbeschikkingstelling van elektrische of elektronische apparatuur op de nationale markt;</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“Importeur”: elke rechtspersoon of natuurlijke persoon die elektrische of elektronische apparatuur afkomstig uit lidstaten van de Europese Unie of derde landen op de markt brengt;</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“Verkoper”: elke rechtspersoon of natuurlijke persoon die in het kader van een handelsactiviteit elektrische of elektronische apparatuur op de markt ter beschikking stelt door deze (op afstand) te verkopen aan consumenten;</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“Verkoop op afstand”: op afstand afgesloten contract tussen een professionele verkoper en een consument, in het kader van een georganiseerd verkoopsysteem, zonder de gelijktijdige fysieke aanwezigheid van de professionele verkoper en de consument, door uitsluitend een beroep te doen op één of meerdere technieken voor communicatie op afstand tot aan de sluiting van het contract”;</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w:t>
      </w:r>
      <w:r>
        <w:rPr>
          <w:sz w:val="24"/>
          <w:rFonts w:ascii="Times New Roman" w:hAnsi="Times New Roman"/>
        </w:rPr>
        <w:t xml:space="preserve"> </w:t>
      </w:r>
      <w:r>
        <w:rPr>
          <w:sz w:val="24"/>
          <w:rFonts w:ascii="Times New Roman" w:hAnsi="Times New Roman"/>
        </w:rPr>
        <w:t xml:space="preserve">“Model”: een versie van de apparatuur waarvan alle exemplaren beschikken over dezelfde technische kenmerken die relevant zijn voor de berekening van de herstelbaarheidsindex.</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“De overige termen worden begrepen in overeenstemming met de bepalingen van artikel R543-171-2, "producent" wat "fabrikant" betekent in de zin van dit artikel.</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R541-212.</w:t>
      </w:r>
      <w:r>
        <w:rPr>
          <w:sz w:val="24"/>
          <w:rFonts w:ascii="Times New Roman" w:hAnsi="Times New Roman"/>
        </w:rPr>
        <w:t xml:space="preserve"> </w:t>
      </w:r>
      <w:r>
        <w:rPr>
          <w:sz w:val="24"/>
          <w:rFonts w:ascii="Times New Roman" w:hAnsi="Times New Roman"/>
        </w:rPr>
        <w:t xml:space="preserve">- I.- Fabrikanten of importeurs moeten voor de elektrische of elektronische apparatuur die zij op de markt brengen, de herstelbaarheidsindex en de parameters op basis waarvan deze is opgesteld, overeenkomstig de bij besluit in Artikel R541-214(III) vastgelegde voorwaarden opstellen.</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Fabrikanten en importeurs moeten gratis en in digitaal formaat aan distributeurs of aan verkopers op het ogenblik van de productregistratie en bij de levering van elektrische en elektronische apparatuur voor elk model van de apparatuur dat op de markt wordt gebracht, het volgende meedelen:</w:t>
      </w:r>
      <w:r>
        <w:rPr>
          <w:sz w:val="24"/>
          <w:rFonts w:ascii="Times New Roman" w:hAnsi="Times New Roman"/>
        </w:rPr>
        <w:br/>
      </w: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De herstelbaarheidsindex in overeenstemming met de voorwaarden en de tekens waarin het in artikel R541-213, lid I, bedoelde besluit voorziet;</w:t>
      </w:r>
      <w:r>
        <w:rPr>
          <w:sz w:val="24"/>
          <w:rFonts w:ascii="Times New Roman" w:hAnsi="Times New Roman"/>
        </w:rPr>
        <w:br/>
      </w: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De parameters die het mogelijk maakten de herstelbaarheidsindex vast te stellen in overeenstemming met het formaat waarin het in artikel R541-213, punt I, bedoelde besluit voorziet.</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Wanneer de distributeur en de verkoper niet dezelfde zijn, stelt de distributeur de verkoper kosteloos en onder dezelfde voorwaarden als vermeld in II in kennis van de index en de parameters van zijn berekening op het tijdstip van de verwijzing naar en levering van elektrische en elektronische apparatuur.</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Bovendien kan de index rechtstreeks op elk apparaat of op de verpakking worden aangebracht door middel van etikettering of markering, overeenkomstig de tekens bedoeld in het in artikel R541-213, lid I, bedoelde besluit.</w:t>
      </w:r>
      <w:r>
        <w:rPr>
          <w:sz w:val="24"/>
          <w:rFonts w:ascii="Times New Roman" w:hAnsi="Times New Roman"/>
        </w:rPr>
        <w:br/>
      </w:r>
      <w:r>
        <w:rPr>
          <w:sz w:val="24"/>
          <w:rFonts w:ascii="Times New Roman" w:hAnsi="Times New Roman"/>
        </w:rPr>
        <w:t xml:space="preserve">“V.- Fabrikanten en importeurs moeten de in II vermelde informatie binnen een termijn van 15 dagen gratis meedelen aan elke persoon die hierom vraagt en dit gedurende een periode van minstens twee jaar na het op de markt brengen van het laatste exemplaar van een apparaatmodel.</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R541-213.</w:t>
      </w:r>
      <w:r>
        <w:rPr>
          <w:sz w:val="24"/>
          <w:rFonts w:ascii="Times New Roman" w:hAnsi="Times New Roman"/>
        </w:rPr>
        <w:t xml:space="preserve"> </w:t>
      </w:r>
      <w:r>
        <w:rPr>
          <w:sz w:val="24"/>
          <w:rFonts w:ascii="Times New Roman" w:hAnsi="Times New Roman"/>
        </w:rPr>
        <w:t xml:space="preserve">- I. - Wanneer elektrische of elektronische apparatuur in de winkels te koop wordt aangeboden, vermeldt de verkoper, overeenkomstig de procedures en de tekens die zijn voorgeschreven in opdracht van de voor het milieu en de economie verantwoordelijke minister, de door de producent of importeur verstrekte herstelbaarheidsindex op elk te koop aangeboden materieel of in de onmiddellijke omgeving.</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Wanneer elektrische of elektronische apparatuur op afstand te koop wordt aangeboden, moet de verkoper de herstelbaarheidsindex zichtbaar tonen bij de presentatie van de apparatuur en in de nabijheid van de prijs ervan, overeenkomstig de voorwaarden die zijn vastgesteld in het in I, bedoelde besluit.</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De verkoper stelt de consument ook de parameters ter beschikking die het mogelijk maakten de herstelbaarheidsindex van de apparatuur vast te stellen, door middel van een passende procedure.</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“Artikel R541-214.</w:t>
      </w:r>
      <w:r>
        <w:rPr>
          <w:sz w:val="24"/>
          <w:rFonts w:ascii="Times New Roman" w:hAnsi="Times New Roman"/>
        </w:rPr>
        <w:t xml:space="preserve"> </w:t>
      </w:r>
      <w:r>
        <w:rPr>
          <w:sz w:val="24"/>
          <w:rFonts w:ascii="Times New Roman" w:hAnsi="Times New Roman"/>
        </w:rPr>
        <w:t xml:space="preserve">- I. - De herstelbaarheidsindex wordt berekend aan de hand van de volgende parameters:</w:t>
      </w:r>
      <w:r>
        <w:rPr>
          <w:sz w:val="24"/>
          <w:rFonts w:ascii="Times New Roman" w:hAnsi="Times New Roman"/>
        </w:rPr>
        <w:br/>
      </w:r>
      <w:r>
        <w:rPr>
          <w:sz w:val="24"/>
          <w:rFonts w:ascii="Times New Roman" w:hAnsi="Times New Roman"/>
        </w:rPr>
        <w:t xml:space="preserve">‘1° een score op twintig met betrekking tot de periode van beschikbaarheid van de technische documentatie en de gebruiks- en onderhoudsaanwijzingen, bij fabrikanten, reparateurs en consumenten;</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een score op twintig met betrekking tot de demonteerbare aard van de apparatuur: aantal demontagefasen voor een vlotte toegang tot de onderdelen, kenmerken van het noodzakelijke gereedschap en de bevestigingen tussen onderdelen;</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een score op twintig met betrekking tot de perioden van beschikbaarheid op de markt van onderdelen en de leveringstermijnen, bij producenten, distributeurs van onderdelen, reparateurs en consumenten;</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een score op twintig met betrekking tot de verhouding tussen de verkoopprijs van de onderdelen door de fabrikant of importeur en de verkoopprijs van de apparatuur door de fabrikant of importeur, berekend overeenkomstig de voorwaarden die bij besluit zijn vastgelegd;</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een score op twintig met betrekking tot de criteria die specifiek zijn voor de betrokken categorie van apparatuur.</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De herstelbaarheidsindex wordt verkregen door de vijf verkregen scores op te tellen en dit totaal vervolgens te delen door tien om te komen tot een synthetische score op een schaal van 1 tot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In een besluit van de voor milieu bevoegde minister en de voor economie en financiën bevoegde minister moeten voor elke categorie van elektrische en elektronische apparatuur alle criteria en subcriteria, met inbegrip van criteria die specifiek zijn voor de categorie, alsook de methoden voor berekening van de index worden vastgelegd.</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2</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 bepalingen van onderhavig decreet treden in werking op 1 januari 2021.</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Artikel 3</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 minister van Ecologische Transitie en de minister van Economie en Financiën zijn belast, elk voor wat hen aanbelangt, met de toepassing van onderhavig decreet, dat in het staatsblad van de Franse Republiek zal worden bekendgemaakt.</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Datum 29 december 2020.</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 Door de premier:</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 minister van Ecologische Overgang, 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De minister van Economie, Financiën en Herstel, 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