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b/>
          <w:bCs/>
          <w:sz w:val="36"/>
          <w:szCs w:val="36"/>
          <w:rFonts w:ascii="Times New Roman" w:eastAsia="Times New Roman" w:hAnsi="Times New Roman" w:cs="Times New Roman"/>
        </w:rPr>
      </w:pPr>
      <w:r>
        <w:rPr>
          <w:b/>
          <w:sz w:val="36"/>
          <w:rFonts w:ascii="Times New Roman" w:hAnsi="Times New Roman"/>
        </w:rPr>
        <w:t xml:space="preserve">Uredba št. 2020-1757 z dne 29. decembra 2020 o indeksu popravljivosti električne in elektronske opreme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Prvotna različica</w:t>
      </w:r>
      <w:r>
        <w:rPr>
          <w:b/>
          <w:sz w:val="24"/>
          <w:rFonts w:ascii="Times New Roman" w:hAnsi="Times New Roman"/>
        </w:rPr>
        <w:t xml:space="preserve">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Ciljna javnost: </w:t>
      </w:r>
      <w:r>
        <w:rPr>
          <w:sz w:val="24"/>
          <w:rFonts w:ascii="Times New Roman" w:hAnsi="Times New Roman"/>
        </w:rPr>
        <w:t xml:space="preserve">proizvajalci, uvozniki, distributerji ali drugi dajalci električne in elektronske opreme na trg in prodajalci te opreme, kot tudi osebe, ki uporabljajo internet, platformo ali katero koli drugo spletno distribucijsko pot v okviru svoje trgovinske dejavnosti v Franciji.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Zadeva: izvedbena pravila za indeks popravljivosti, opredeljena v členu L541-9-2 Okoljskega zakonika.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Začetek veljavnosti:</w:t>
      </w:r>
      <w:r>
        <w:rPr>
          <w:sz w:val="24"/>
          <w:rFonts w:ascii="Times New Roman" w:hAnsi="Times New Roman"/>
        </w:rPr>
        <w:t xml:space="preserve"> besedilo začne veljati 1. januarja 2021.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Obvestilo: </w:t>
      </w:r>
      <w:r>
        <w:rPr>
          <w:sz w:val="24"/>
          <w:rFonts w:ascii="Times New Roman" w:hAnsi="Times New Roman"/>
        </w:rPr>
        <w:t xml:space="preserve">ta uredba opredeljuje podrobna pravila za izvajanje člena L 541-9-2 Okoljskega zakonika, ki določa uporabo indeksa popravljivosti za določene kategorije električne in elektronske opreme.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Določa zlasti merila in parametre izračuna, ki se uporabljajo za določitev tega indeksa, ter splošni okvir obveznosti v zvezi z njegovim sporočanjem in prikazom.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Referenčna besedila: </w:t>
      </w:r>
      <w:r>
        <w:rPr>
          <w:sz w:val="24"/>
          <w:rFonts w:ascii="Times New Roman" w:hAnsi="Times New Roman"/>
        </w:rPr>
        <w:t xml:space="preserve">ta uredba je na voljo na spletnem mestu Légifrance (</w:t>
      </w:r>
      <w:r>
        <w:rPr>
          <w:sz w:val="24"/>
          <w:rFonts w:ascii="Times New Roman" w:hAnsi="Times New Roman"/>
        </w:rPr>
        <w:t xml:space="preserve">http://www.legifrance.gouv.fr</w:t>
      </w:r>
      <w:r>
        <w:rPr>
          <w:sz w:val="24"/>
          <w:rFonts w:ascii="Times New Roman" w:hAnsi="Times New Roman"/>
        </w:rPr>
        <w:t xml:space="preserve">).]</w:t>
      </w:r>
      <w:r>
        <w:rPr>
          <w:sz w:val="24"/>
          <w:rFonts w:ascii="Times New Roman" w:hAnsi="Times New Roman"/>
        </w:rPr>
        <w:t xml:space="preserve"> </w:t>
      </w:r>
    </w:p>
    <w:p w14:paraId="09C3F7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Predsednik vlade –</w:t>
      </w:r>
    </w:p>
    <w:p w14:paraId="40611F90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poročila ministrice za ekološko preoblikovanje ter ministra za gospodarstvo, finance in oživitev gospodarstva,</w:t>
      </w:r>
    </w:p>
    <w:p w14:paraId="1A81B9F1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Direktive 2008/98/ES Evropskega parlamenta in Sveta z dne 19. novembra 2008 o odpadkih in razveljavitvi nekaterih direktiv, kakor je bila nazadnje spremenjena z Direktivo (EU) 2018/851 z dne 30. maja 2018,</w:t>
      </w:r>
    </w:p>
    <w:p w14:paraId="581D6C66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Direktive (EU) 2015/1535 Evropskega parlamenta in Sveta z dne 9. septembra 2015 o določitvi postopka za zbiranje informacij na področju tehničnih predpisov in pravil za storitve informacijske družbe; skupaj z uradnim obvestilom, poslanim Evropski komisiji dne 21. julija 2020,</w:t>
      </w:r>
    </w:p>
    <w:p w14:paraId="546BA7DD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Okoljskega zakonika, zlasti člena L. 541-9-2 v različici, ki izhaja iz člena 16 Zakona št. 2020-105 z dne 10. februarja 2020 o preprečevanju nastajanja odpadkov in krožnem gospodarstvu,</w:t>
      </w:r>
    </w:p>
    <w:p w14:paraId="09557C55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Zakona št. 2020-105 o preprečevanju nastajanja odpadkov in krožnem gospodarstvu, zlasti členov 16, 29 in 130 tega zakona,</w:t>
      </w:r>
    </w:p>
    <w:p w14:paraId="48736AEC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pripomb med javnim posvetovanjem, ki je potekalo med 21. julijem 2020 in 17. avgustom 2020, v skladu s členom L123-19-1 Okoljskega zakonika,</w:t>
      </w:r>
    </w:p>
    <w:p w14:paraId="514A1D37" w14:textId="77777777" w:rsidR="004C7568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ob upoštevanju mnenja Državnega sveta (oddelka za javna dela) –</w:t>
      </w:r>
    </w:p>
    <w:p w14:paraId="7B9A171C" w14:textId="529FA357" w:rsidR="004F7E45" w:rsidRPr="004F7E45" w:rsidRDefault="004F7E45" w:rsidP="004C7568">
      <w:pPr>
        <w:spacing w:after="0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odreja: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Člen 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Poglavje I naslova IV Knjige V regulativnega dela Okoljskega zakonika se dopolni z oddelkom 9, ki se glasi:</w:t>
      </w:r>
    </w:p>
    <w:p w14:paraId="16727251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„Oddelek 9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Obveščanje javnosti o proizvodih, ki ustvarjajo odpadke</w:t>
      </w:r>
    </w:p>
    <w:p w14:paraId="3F984B64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Pododdelek 1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Prikaz indeksa popravljivosti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Člen R541-210.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Indeks popravljivosti električne in elektronske opreme, opredeljen v členu L541-9-2, vključuje oceno do deset, namenjeno obveščanju potrošnikov v času nakupa nove opreme.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Ta indeks se nanaša na vsak model te opreme.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Člen R541-211.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V tem oddelku se uporabljajo naslednje opredelitve pojmov: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,omogočanje dostopnosti na trgu‘: vsako zagotavljanje električne ali elektronske opreme v okviru trgovinske dejavnosti, namenjene plačljivi ali brezplačni distribuciji ali uporabi na nacionalnem trgu;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,dajanje na trg‘ pomeni prvo dajanje električne ali elektronske opreme na razpolago na nacionalnem trgu;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,uvoznik‘: vsaka fizična ali pravna oseba, ki daje električno ali elektronsko opremo s poreklom iz držav članic Evropske unije ali tretjih držav na trg;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,prodajalec‘: vsaka fizična ali pravna oseba, ki v okviru trgovske dejavnosti s prodajo daje električno ali elektronsko opremo na trg, vključno s prodajo potrošnikom na daljavo;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,prodaja na daljavo‘: pogodba, sklenjena na daljavo med poklicnim prodajalcem in potrošnikom, v okviru organiziranega sistema prodaje, brez istočasne fizične prisotnosti poklicnega uporabnika ali potrošnika, izključno z uporabo ene ali več komunikacijskih tehnik na daljavo, dokler se pogodba ne sklene;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6.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,model‘: različica opreme, katere vse enote imajo enake ustrezne tehnične značilnosti za namene izračuna indeksa popravljivosti.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Druge izraze je treba razumeti v skladu z določbami člena R543-171-2, in sicer ,proizvajalec‘ pomeni ,izdelovalec‘ v smislu tega člena.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Člen R541-212.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I.– Proizvajalci ali uvozniki za električno ali elektronsko opremo, ki jo dajejo na trg, sestavijo indeks popravljivosti in določijo tudi parametre, ki omogočajo njegovo sestavo, v skladu s podrobnimi pravili, ki jih natančno določa odredba iz člena R541-214(III).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II. – Proizvajalci in uvozniki v nematerializirani obliki distributerjem ali prodajalcem v času referenciranja in dobave električne in elektronske opreme za vsak model opreme, dane na trg, brezplačno posredujejo: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indeks popravljivosti skladno s pogoji in oznakami iz odredbe iz člena R541-213(I);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2.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parametre, ki omogočajo sestavo indeksa popravljivosti, skladno z obliko, ki jo določa odredba iz člena R541-213(I).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Kadar distributer in prodajalec nista ista oseba, distributer obvesti prodajalca, brezplačno in pod enakimi pogoji, navedenimi v oddelku II, o indeksu in parametrih svojega izračuna v času referenciranja in dobave električne in elektronske opreme.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IV.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Poleg tega se indeks pritrdi neposredno na vsako opremo ali na embalažo z etiketiranjem ali označevanjem, ob upoštevanju oznak iz odredbe iz člena R541-213(I).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V. Proizvajalci in uvozniki v roku 15 dni posredujejo informacije, navedene v 2. točki, vsaki osebi, ki jih zahteva v obdobju najmanj dveh let po dajanju zadnje enote modela opreme na trg.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Člen R541-213.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 I. Kadar se električna ali elektronska oprema ponuja v prodajo v trgovini, prodajalec skladno s podrobnimi pravili in oznakami iz odredbe ministra za okolje in gospodarstvo na vsakem kosu opreme, ki se ponuja za prodajo, ali v njeni neposredni bližini omogoči vidno navedbo indeksa popravljivosti, ki ga zagotovi proizvajalec ali uvoznik.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Kadar se električna ali elektronska oprema ponuja za prodajo v okviru prodaje na daljavo, prodajalec v predstavitvi opreme in v bližini cen omogoči vidni prikaz indeksa popravljivosti, skladno s pogoji, določenimi v odredbi iz oddelka I.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Prodajalec z vsakim ustreznim postopkom daje potrošnikom na razpolago tudi parametre, ki omogočajo sestavo indeksa popravljivosti.</w:t>
      </w:r>
    </w:p>
    <w:p w14:paraId="09FA1FE2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Člen R541-214.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I. Indeks popravljivosti se izračuna z naslednjimi parametri: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1° ocena do dvajset glede časa razpoložljivosti tehnične dokumentacije ter nasvetov za uporabo in vzdrževanje pri proizvajalcih, serviserjih in potrošnikih;</w:t>
      </w:r>
    </w:p>
    <w:p w14:paraId="2403791F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2° ocena do dvajset glede odstranljivosti opreme: število korakov demontaže za enkratni dostop do rezervnih delov, značilnosti potrebnih orodij in pritrdilnih elementov med rezervnimi deli;</w:t>
      </w:r>
    </w:p>
    <w:p w14:paraId="681FCAC1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3° ocena do dvajset glede časa razpoložljivosti rezervnih delov na trgu in dobavnih rokov pri proizvajalcih, distributerjih rezervnih delov, serviserjih in potrošnikih;</w:t>
      </w:r>
    </w:p>
    <w:p w14:paraId="4133FD83" w14:textId="77777777" w:rsidR="004C7568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4° ocena do dvajset glede razmerja med proizvajalčevo ali uvoznikovo prodajno ceno delov ter proizvajalčevo ali uvoznikovo prodajno ceno opreme, izračunana skladno s podrobnimi pravili iz odredbe;</w:t>
      </w:r>
    </w:p>
    <w:p w14:paraId="68E845C2" w14:textId="57891694" w:rsidR="004F7E45" w:rsidRPr="004F7E45" w:rsidRDefault="004F7E45" w:rsidP="004C7568">
      <w:pPr>
        <w:spacing w:after="0" w:line="240" w:lineRule="auto"/>
        <w:ind w:left="446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5° ocena do dvajset glede posebnih meril za zadevno kategorijo opreme.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Indeks popravljivosti se izračuna tako, da se prišteje pet doseženih ocen, nato pa se ta seštevek deli za pridobitev skupne ocene na lestvici od 1 do 10.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III.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Odredba ministra, odgovornega za okolje, in ministra, odgovornega za gospodarstvo in finance, za vsako kategorijo električne in elektronske opreme natančno določa vsa merila in podmerila, vključno s posebnimi merili za kategorijo in načine izračuna indeksa.“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Člen 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Določbe te uredbe začnejo veljati 1. januarja 2021.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b/>
          <w:bCs/>
          <w:sz w:val="24"/>
          <w:szCs w:val="24"/>
          <w:rFonts w:ascii="Times New Roman" w:eastAsia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Člen 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Ministrica za ekološko preoblikovanje ter minister za gospodarstvo in finance sta vsak v skladu s svojimi pristojnostmi odgovorna za izvajanje te uredbe, ki bo objavljena v Uradnem listu Francoske republike.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Datum: 29. decembra 2020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Jean Castex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predsednik vlade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Ministrica za ekološko preoblikovanje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sz w:val="24"/>
          <w:szCs w:val="24"/>
          <w:rFonts w:ascii="Times New Roman" w:eastAsia="Times New Roman" w:hAnsi="Times New Roman" w:cs="Times New Roman"/>
        </w:rPr>
      </w:pP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Minister za gospodarstvo, finance in oživitev gospodarstva</w:t>
      </w:r>
      <w:r>
        <w:rPr>
          <w:sz w:val="24"/>
          <w:rFonts w:ascii="Times New Roman" w:hAnsi="Times New Roman"/>
        </w:rPr>
        <w:br/>
      </w:r>
      <w:r>
        <w:rPr>
          <w:sz w:val="24"/>
          <w:rFonts w:ascii="Times New Roman" w:hAnsi="Times New Roman"/>
        </w:rPr>
        <w:t xml:space="preserve"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2</cp:revision>
  <dcterms:created xsi:type="dcterms:W3CDTF">2021-01-04T14:42:00Z</dcterms:created>
  <dcterms:modified xsi:type="dcterms:W3CDTF">2021-04-13T11:53:00Z</dcterms:modified>
</cp:coreProperties>
</file>