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rPr>
        <w:t>1. ------IND- 2020 0486 L-- PL- ------ 20200812 --- --- PROJET</w:t>
      </w:r>
    </w:p>
    <w:p w14:paraId="5AB4C723" w14:textId="5E46F097" w:rsidR="007104F8" w:rsidRPr="008E1574" w:rsidRDefault="007104F8" w:rsidP="00206537">
      <w:pPr>
        <w:keepNext/>
        <w:keepLines/>
        <w:jc w:val="center"/>
        <w:rPr>
          <w:b/>
          <w:sz w:val="32"/>
          <w:szCs w:val="32"/>
        </w:rPr>
      </w:pPr>
      <w:r>
        <w:rPr>
          <w:b/>
          <w:sz w:val="32"/>
        </w:rPr>
        <w:t>Projekt ustawy o zmniejszeniu wpływu niektórych produktów z tworzyw sztucznych na środowisko</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rPr>
        <w:t>Artykuł 1. Cele</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rPr>
        <w:t>Celem ustawy jest zapobieganie oddziaływaniu niektórych produktów z tworzyw sztucznych na środowisko, w szczególności środowisko wodne, i na zdrowie ludzkie, a także zmniejszenie tego oddziaływania oraz promowanie przejścia na gospodarkę o obiegu zamkniętym z innowacyjnymi i trwałymi produktami, materiałami i wzorcami handlowymi, przyczyniającymi się również do skutecznego funkcjonowania rynku wewnętrznego.</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Artykuł 2. Zakres stosowania</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Niniejsza ustawa ma zastosowanie do produktów jednorazowego użytku z tworzyw sztucznych wymienionych w załączniku, do produktów wyprodukowanych z tworzywa sztucznego oksydegradowalnego i do narzędzi połowowych zawierających tworzywa sztuczne.</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Stanowi ona ustawę specjalną w stosunku do zmienionej ustawy z dnia 21 marca 2012 r. o odpadach i zasobach (zwanej dalej „ustawą z dnia 21 marca 2012 r.”) oraz zmienionej ustawy z dnia 21 marca 2017 r. o opakowaniach i odpadach opakowaniowych.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Artykuł 3. Definicje</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Do celów niniejszej ustawy przyjmuje się następujące definicje: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„narzędzia połowowe stanowiące odpady” oznaczają narzędzie połowowe wchodzące w zakres definicji odpadów zawartej w art. 4 ustawy z dnia 21 marca 2012 r., w tym wszelkie oddzielne elementy, substancje lub materiały, które w momencie wyrzucenia, w tym porzucenia lub utraty, takich narzędzi połowowych stanowiły ich część lub były do nich przymocowane;</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„opakowanie” oznacza opakowanie w rozumieniu art. 3 zmienionej ustawy z dnia 21 marca 2017 r. o opakowaniach i odpadach opakowaniowych; </w:t>
      </w:r>
    </w:p>
    <w:p w14:paraId="475D5268" w14:textId="77777777" w:rsidR="007104F8" w:rsidRPr="007115EB" w:rsidRDefault="007104F8" w:rsidP="007104F8">
      <w:pPr>
        <w:pStyle w:val="Article"/>
        <w:numPr>
          <w:ilvl w:val="0"/>
          <w:numId w:val="0"/>
        </w:numPr>
        <w:spacing w:before="240"/>
        <w:rPr>
          <w:rFonts w:asciiTheme="minorHAnsi" w:hAnsiTheme="minorHAnsi" w:cs="TimesNewRoman"/>
          <w:b w:val="0"/>
          <w:spacing w:val="-4"/>
          <w:sz w:val="24"/>
          <w:szCs w:val="24"/>
        </w:rPr>
      </w:pPr>
      <w:r w:rsidRPr="007115EB">
        <w:rPr>
          <w:rFonts w:asciiTheme="minorHAnsi" w:hAnsiTheme="minorHAnsi"/>
          <w:b w:val="0"/>
          <w:spacing w:val="-4"/>
          <w:sz w:val="24"/>
        </w:rPr>
        <w:t>3. „narzędzie połowowe” oznaczają sprzęt wykorzystywany w rybołówstwie lub akwakulturze w celu lokalizowania, chwytania lub hodowli żywych zasobów morza lub sprzęt pływający na powierzchni morza i stosowany do wabienia i chwytania lub hodowli takich żywych zasobów morza;</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4. „udostępnianie na rynku” oznacza dostarczanie produktu na rynek luksemburski do celów dystrybucji, stosowania lub użytkowania w ramach działalności handlowej, odpłatnie lub nieodpłatnie;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5. „wprowadzenie do obrotu” oznacza pierwsze udostępnienie produktu na rynku luksemburskim;</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 „norma zharmonizowana” oznacza normę zharmonizowaną zgodnie z definicją w art. 2 ust. 1 lit. c) rozporządzenia (WE) nr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7. „tworzywo sztuczne” oznacza materiał składający się z polimeru zgodnie z definicją w art. 3 pkt 5 rozporządzenia (WE) nr 1907/2006 Parlamentu Europejskiego i Rady, do którego mogły zostać dodane dodatki lub inne substancje i który może funkcjonować jako główny składnik strukturalny produktów końcowych, łącznie z kauczukami na bazie polimerów i tworzywami sztucznymi pochodzenia biologicznego lub biodegradowalnymi, niezależnie od tego, czy pochodzą z biomasy lub czy są przeznaczone do rozkładu biologicznego z upływem czasu.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Definicja ta wyklucza polimery naturalne, które nie zostały chemicznie zmodyfikowane;</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8. „tworzywo sztuczne biodegradowalne” oznacza tworzywo sztuczne o charakterze umożliwiającym jego fizyczny lub biologiczny rozkład w taki sposób, że ulega ostatecznie rozkładowi na dwutlenek węgla (CO</w:t>
      </w:r>
      <w:r>
        <w:rPr>
          <w:rFonts w:asciiTheme="minorHAnsi" w:hAnsiTheme="minorHAnsi"/>
          <w:b w:val="0"/>
          <w:sz w:val="24"/>
          <w:vertAlign w:val="subscript"/>
        </w:rPr>
        <w:t>2</w:t>
      </w:r>
      <w:r>
        <w:rPr>
          <w:rFonts w:asciiTheme="minorHAnsi" w:hAnsiTheme="minorHAnsi"/>
          <w:b w:val="0"/>
          <w:sz w:val="24"/>
        </w:rPr>
        <w:t>), biomasę i wodę, oraz, zgodnie z normami europejskimi mającymi zastosowanie do opakowań, podlega utylizacji poprzez kompostowanie i fermentację beztlenową;</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9. „tworzywo sztuczne oksydegradowalne” oznacza materiały z tworzyw sztucznych zawierające dodatki, które pod wpływem utleniania prowadzą do rozpadu tych materiałów na mikrofragmenty lub do ich rozkładu chemicznego;</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10. „wyroby tytoniowe” oznaczają wyroby tytoniowe w rozumieniu art. 2 ust. 1 lit. a) zmienionej ustawy z dnia 11 sierpnia 2006 r. o ograniczaniu użycia tytoniu;</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11. „produkt jednorazowego użytku z tworzyw sztucznych” oznacza produkt, który jest w całości lub częściowo wykonany z tworzyw sztucznych i który nie został przeznaczony, zaprojektowany ani wprowadzony do obrotu tak, aby osiągnąć w ramach okresu żywotności wielokrotną rotację poprzez zwrócenie go do producenta w celu powtórnego napełnienia lub ponownego użycia do tego samego celu, do którego był pierwotnie przeznaczony.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Zastosowanie mają definicje „odpadów”, „zbiórki”, „selektywnej zbiórki”, „przetwarzania”, „producenta produktów” i „systemu rozszerzonej odpowiedzialności producentów” zawarte w art. 4 zmienionej ustawy z dnia 21 marca 2012 r.</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Artykuł 4. Zmniejszenie zużycia</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Producenci produktów podejmują środki prowadzące do mierzalnego ilościowego zmniejszenia zużycia produktów jednorazowego użytku z tworzyw sztucznych wymienionych w części A załącznika do 2026 r. w stosunku do 2022 r. Zmniejszenie to w wyznaczonym okresie powinno wynieść co najmniej 20 % w stosunku do liczby sztuk wprowadzonych do obrotu. Od dnia 1 stycznia 2026 r. należy co roku uzyskać zmniejszenie o co najmniej 10 % w stosunku do liczby sztuk wprowadzonych do obrotu w ciągu poprzedniego roku. Producenci produktów powinni </w:t>
      </w:r>
      <w:r>
        <w:rPr>
          <w:rFonts w:asciiTheme="minorHAnsi" w:hAnsiTheme="minorHAnsi"/>
          <w:b w:val="0"/>
          <w:sz w:val="24"/>
        </w:rPr>
        <w:lastRenderedPageBreak/>
        <w:t xml:space="preserve">obciążyć odpowiedzialnością za wykonanie tego obowiązku zatwierdzony podmiot zgodnie z art. 19 ustawy z dnia 21 marca 2012 r.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Minister właściwy do spraw środowiska (zwany dalej „ministrem”) zapewnia koordynację środków koniecznych do uzyskania ambitnego i trwałego zmniejszenia zużycia produktów jednorazowego użytku z tworzyw sztucznych wymienionych w części A załącznika, zgodnie z ogólnymi celami unijnej polityki w dziedzinie odpadów, w szczególności celem zapobiegania powstawaniu odpadów, tak aby doprowadzić do znaczącego odwrócenia wzrostowych tendencji zużycia.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Urząd ds. Środowiska zapewnia monitorowanie produktów jednorazowego użytku z tworzyw sztucznych wymienionych w części A załącznika wprowadzonych do obrotu oraz przyjętych środków w zakresie zmniejszania zużycia.</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rPr>
        <w:t>W tym celu zatwierdzony podmiot informuje, w ramach rocznego sprawozdania, o którym mowa w art. 35 ustawy z dnia 21 marca 2012 r., o ilości produktów jednorazowego użytku z tworzyw sztucznych wymienionych w części A załącznika wprowadzonych do obrotu w ciągu poprzedniego roku.</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Artykuł 5. Ograniczenie wprowadzania do obrotu</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Zakazuje się wprowadzania do obrotu produktów jednorazowego użytku z tworzyw sztucznych wymienionych w części B załącznika i produktów wytworzonych z użyciem tworzywa sztucznego oksydegradowalnego.</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Artykuł 6. Wymagania mające zastosowanie do produktów</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 Produkty jednorazowego użytku z tworzyw sztucznych wymienione w części C załącznika posiadające korki i pokrywki z tworzywa sztucznego mogą być wprowadzane do obrotu jedynie w przypadku, gdy korki i pokrywki pozostają przymocowane do pojemników na etapie przewidzianego zastosowania produktów.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Korków i pokrywek metalowych wyposażonych w plomby z tworzywa sztucznego nie uznaje się za wykonane z tworzywa sztucznego.</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W przypadku butelek na napoje wymienionych w części F załącznika stosuje się następujące wymogi: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 xml:space="preserve">1. od 2025 r. butelki na napoje wymienione w części F załącznika, których głównym składnikiem jest politereftalan etylenu (zwane dalej „butelkami PET”), zawierają co najmniej 25 % tworzyw sztucznych pochodzących z recyklingu, obliczane jako średnia dla wszystkich butelek PET wprowadzonych do obrotu </w:t>
      </w:r>
      <w:bookmarkStart w:id="1" w:name="_Hlk25242138"/>
      <w:r>
        <w:rPr>
          <w:rFonts w:asciiTheme="minorHAnsi" w:hAnsiTheme="minorHAnsi"/>
          <w:b w:val="0"/>
          <w:sz w:val="24"/>
        </w:rPr>
        <w:t>przez tego samego producenta</w:t>
      </w:r>
      <w:bookmarkEnd w:id="1"/>
      <w:r>
        <w:rPr>
          <w:rFonts w:asciiTheme="minorHAnsi" w:hAnsiTheme="minorHAnsi"/>
          <w:b w:val="0"/>
          <w:sz w:val="24"/>
        </w:rPr>
        <w:t>; oraz</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 xml:space="preserve">2. od 2030 r. butelki na napoje wymienione w części F załącznika zawierają co najmniej 30 % tworzyw sztucznych pochodzących z recyklingu, obliczane jako średnia dla </w:t>
      </w:r>
      <w:r>
        <w:rPr>
          <w:rFonts w:asciiTheme="minorHAnsi" w:hAnsiTheme="minorHAnsi"/>
          <w:b w:val="0"/>
          <w:sz w:val="24"/>
        </w:rPr>
        <w:lastRenderedPageBreak/>
        <w:t>wszystkich takich butelek na napoje wprowadzonych do obrotu przez tego samego producenta.</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W tym celu podmiot zatwierdzony zgodnie z art. 19 ustawy z dnia 21 marca 2012 r. informuje, w ramach rocznego sprawozdania, o którym mowa w art. 35 tej samej ustawy, o ilości butelek PET udostępnionych na rynku w ciągu poprzedniego roku i średniej zawartości procentowej tworzyw sztucznych pochodzących z recyklingu w tych butelkach. W przypadku braku aktu wykonawczego Unii Europejskiej zasady obliczania i weryfikacji realizacji celów ustanawia Urząd ds. Środowiska.</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 xml:space="preserve">Artykuł 7. Wymogi dotyczące oznakowania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(1) Każdy produkt jednorazowego użytku z tworzyw sztucznych wymieniony w części D załącznika, który został wprowadzony do obrotu, posiada widoczne, czytelne i nieusuwalne oznakowanie umieszczone na jego opakowaniu lub na samym produkcie informujące konsumentów o następujących elementach:</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1. odpowiednich metodach gospodarowania odpadami w przypadku tego produktu lub niewskazanych sposobach unieszkodliwiania odpadów w przypadku tego produktu – zgodnie z hierarchią postępowania z odpadami; oraz</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2. obecności tworzyw sztucznych w tym produkcie i o wynikającym z tego negatywnym wpływie na środowisko zaśmiecania lub innych nieodpowiednich sposobów unieszkodliwiania odpadów w przypadku tego produktu.</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(2) Przepisy niniejszego artykułu dotyczące wyrobów tytoniowych dołącza się do przepisów przewidzianych w zmienionej ustawie z dnia 11 sierpnia 2006 r. o ograniczaniu użycia tytoniu.</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Artykuł 8. Rozszerzona odpowiedzialność producenta</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Dla wszystkich produktów jednorazowego użytku z tworzyw sztucznych wymienionych w części E załącznika i narzędzi połowowych zawierających tworzywa sztuczne ustanawia się systemy rozszerzonej odpowiedzialności producenta zgodnie z odpowiednimi przepisami ustawy z dnia 21 marca 2012 r.</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Producenci produktów jednorazowego użytku z tworzyw sztucznych wymienionych w części E sekcja I załącznika pokrywają koszty zgodnie z odpowiednimi przepisami o rozszerzonej odpowiedzialności producenta zawartymi w ustawie z dnia 21 marca 2012 r. i ustawie z dnia 21 marca 2017 r. o opakowaniach i odpadach opakowaniowych, a także, o ile nie są już one uwzględnione, następujące koszty: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koszty środków służących upowszechnianiu wiedzy, o których mowa w art. 10, w odniesieniu do tych produktów;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koszty zbierania odpadów w przypadku tych produktów, które są pozostawiane w publicznych systemach zbierania odpadów, w tym koszty infrastruktury i jej funkcjonowania, a następnie koszty transportu tych odpadów i ich przetwarzania; oraz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lastRenderedPageBreak/>
        <w:t>3) koszty sprzątania odpadów pochodzących z tych produktów, a następnie koszty ich transportu i przetwarzania.</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rPr>
        <w:t xml:space="preserve">(3) Producenci produktów jednorazowego użytku z tworzyw sztucznych wymienionych w części E sekcje II </w:t>
      </w:r>
      <w:bookmarkEnd w:id="2"/>
      <w:r>
        <w:rPr>
          <w:rFonts w:asciiTheme="minorHAnsi" w:hAnsiTheme="minorHAnsi"/>
          <w:b w:val="0"/>
          <w:sz w:val="24"/>
        </w:rPr>
        <w:t>i III załącznika pokrywają co najmniej następujące koszty</w:t>
      </w:r>
      <w:bookmarkStart w:id="3" w:name="_Hlk33179167"/>
      <w:r>
        <w:rPr>
          <w:rFonts w:asciiTheme="minorHAnsi" w:hAnsiTheme="minorHAnsi"/>
          <w:b w:val="0"/>
          <w:sz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koszty środków służących upowszechnianiu wiedzy, o których mowa w art. 10, w odniesieniu do tych produktów;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koszty sprzątania odpadów pochodzących z tych produktów, a następnie koszty ich transportu i przetwarzania; oraz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3) koszty wynikające z gromadzenia danych i sprawozdawczości zgodnie z art. 19 ustawy z dnia 21 marca 2012 r.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W przypadku produktów jednorazowego użytku z tworzyw sztucznych wymienionych w części E sekcja III załącznika producenci produktów pokrywają ponadto koszty zbierania odpadów w przypadku tych produktów, które są pozostawiane w publicznych systemach zbierania odpadów, w tym koszty infrastruktury i jej funkcjonowania, a następnie koszty transportu tych odpadów i ich przetwarzania. Koszty te obejmują utworzenie specjalnej infrastruktury do zbierania odpadów w przypadku tych produktów, na przykład odpowiednich pojemników na odpady w miejscach częstego zaśmiecania.</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(4) Producenci produktów jednorazowego użytku z tworzyw sztucznych wymienionych w części E sekcja III podejmują konieczne środki w celu zapobiegania pozostawianiu, wyrzucaniu i niekontrolowanemu gospodarowaniu tymi produktami jako odpadami.</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Od dnia 1 stycznia 2024 r. należy co roku uzyskać zmniejszenie o co najmniej 10 % liczby sztuk wprowadzonych do obrotu w stosunku do poprzedniego roku. Właściwy organ opracowuje i publikuje metody kwantyfikacji wyrzucanych ilości i weryfikacji ich zmniejszenia.</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(5) Pokrywane koszty wymienione w ust. 2 i 3 nie przekraczają kosztów niezbędnych do gospodarnego świadczenia wskazanych w tych przepisach usług i są one ustalane z zachowaniem przejrzystości między zainteresowanymi podmiotami. Koszty sprzątania odpadów są ograniczone do czynności podejmowanych przez organy publiczne lub w ich imieniu. Metoda ich obliczania musi być ustalona w taki sposób, aby koszty sprzątania odpadów mogły być ustalane w proporcjonalny sposób. Z myślą o minimalizacji kosztów administracyjnych mogą zostać ustalone wkłady finansowe na rzecz kosztów sprzątania odpadów poprzez ustanowienie odpowiednich, wieloletnich kwot zryczałtowanych.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 Producenci produktów posiadający siedzibę w innym państwie członkowskim Unii Europejskiej wprowadzający produkty na rynek luksemburski mogą wyznaczyć osobę fizyczną lub prawną posiadającą siedzibę na terytorium kraju lub w innym państwie członkowskim jako upoważnionego przedstawiciela do celów wypełniania obowiązków producenta w zakresie systemów rozszerzonej odpowiedzialności producenta.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(7) Każdy producent posiadający siedzibę w Wielkim Księstwie Luksemburga, który sprzedaje produkty jednorazowego użytku z tworzyw sztucznych wymienione w części E załącznika oraz narzędzia połowowe zawierające tworzywa sztuczne w innym państwie członkowskim Unii Europejskiej, w którym nie posiada on siedziby, wyznacza upoważnionego przedstawiciela w takim innym państwie członkowskim Unii Europejskiej. Upoważniony przedstawiciel jest osobą odpowiedzialną za wypełnienie obowiązków tego producenta, zgodnie z niniejszą ustawą, na terytorium takiego innego państwa członkowskiego.</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(8) W przypadku systemów rozszerzonej odpowiedzialności producenta w odniesieniu do narzędzi połowowych zawierających tworzywa sztuczne producenci narzędzi połowowych zawierających tworzywa sztuczne pokrywają koszty selektywnej zbiórki zawierających tworzywa sztuczne narzędzi połowowych stanowiących odpady, które zostały dostarczone do odpowiednich urządzeń do odbioru odpadów, a także koszty ich transportu i przetwarzania.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Producenci pokrywają również koszty środków służących upowszechnianiu wiedzy, o których mowa w art. 10, w odniesieniu do narzędzi połowowych zawierających tworzywa sztuczne.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Artykuł 9. Selektywna zbiórka</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Ilość odpadów produktów jednorazowego użytku z tworzyw sztucznych wymienionych w części F załącznika poddawanych selektywnej zbiórce w celu recyklingu musi odpowiadać: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a) do 2025 r.</w:t>
      </w:r>
      <w:bookmarkStart w:id="4" w:name="_Hlk25246527"/>
      <w:r>
        <w:rPr>
          <w:rFonts w:asciiTheme="minorHAnsi" w:hAnsiTheme="minorHAnsi"/>
          <w:b w:val="0"/>
          <w:sz w:val="24"/>
        </w:rPr>
        <w:t xml:space="preserve"> 77 % masy całkowitej ilości odpadów z tych produktów powstałych w danym roku, łącznie z odpadami pozostawionymi w miejscach do tego nieprzeznaczonych</w:t>
      </w:r>
      <w:bookmarkEnd w:id="4"/>
      <w:r>
        <w:rPr>
          <w:rFonts w:asciiTheme="minorHAnsi" w:hAnsiTheme="minorHAnsi"/>
          <w:b w:val="0"/>
          <w:sz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b) do 2029 r. 90 % masy całkowitej ilości odpadów z tych produktów powstałych w danym roku, łącznie z odpadami pozostawionymi w miejscach do tego nieprzeznaczonych.</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Artykuł 10. Środki służące upowszechnianiu wiedzy</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Urząd ds. Środowiska i Urząd ds. Gospodarki Wodnej dbają, każdy w zakresie swoich właściwości, o informowanie konsumentów i zachęcanie do odpowiedzialnych zachowań konsumpcyjnych, aby zmniejszyć zaśmiecenie pochodzące z produktów objętych niniejszą ustawą, oraz podejmują środki w celu informowania konsumentów produktów jednorazowego użytku z tworzyw sztucznych, które to produkty wymieniono w części G załącznika, i użytkowników narzędzi połowowych zawierających tworzywa sztuczne na temat następujących kwestii: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dostępności alternatywnych produktów wielokrotnego użytku, systemów ponownego użycia i metod gospodarowania odpadami w przypadku tych produktów jednorazowego użytku z tworzyw sztucznych i narzędzi połowowych zawierających tworzywa sztuczne oraz na temat najlepszych praktyk w zakresie należytego gospodarowania odpadami prowadzonego zgodnie z art. 10 ustawy z dnia 21 marca 2012 r.;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wpływu na środowisko, w szczególności środowisko morskie, zaśmiecania i innego nieodpowiedniego unieszkodliwiania odpadów w przypadku tych produktów </w:t>
      </w:r>
      <w:r>
        <w:rPr>
          <w:rFonts w:asciiTheme="minorHAnsi" w:hAnsiTheme="minorHAnsi"/>
          <w:b w:val="0"/>
          <w:sz w:val="24"/>
        </w:rPr>
        <w:lastRenderedPageBreak/>
        <w:t>jednorazowego użytku z tworzyw sztucznych i narzędzi połowowych zawierających tworzywa sztuczne; oraz</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wpływu na sieci kanalizacyjne nieodpowiednich sposobów unieszkodliwiania odpadów w przypadku produktów jednorazowego użytku z tworzyw sztucznych.</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Artykuł 11. Koordynacja środków</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Bez uszczerbku dla przepisów art. 4 ust. 1 akapit pierwszy środki podejmowane w ramach niniejszej ustawy stanowią integralną część programów działania ustanawianych zgodnie ze zmienioną ustawą z dnia 19 grudnia 2008 r. o wodzie, planach gospodarowania odpadami i programach zapobiegania powstawaniu odpadów opracowywanych zgodnie z ustawą z dnia 21 marca 2012 r. i muszą być z nimi spójne.</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 xml:space="preserve">Środki podejmowane zgodnie z art. 4–9 muszą być zgodne z przepisami dotyczącymi żywności, co ma na celu zapewnienie, by higiena żywności i bezpieczeństwo żywności nie były zagrożone.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Urząd ds. Środowiska i Dyrekcja ds. Zdrowia zachęcają, każdy w zakresie swoich właściwości, do stosowania zrównoważonych produktów alternatywnych dla produktów jednorazowego użytku z tworzyw sztucznych mających kontakt z żywnością.</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Artykuł 12. Specyfikacje i wytyczne dotyczące produktów jednorazowego użytku z tworzyw sztucznych</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Dokonując oceny, czy do celów niniejszej ustawy pojemnik na żywność należy uznać za produkt jednorazowego użytku z tworzyw sztucznych, obok wymienionych w załączniku kryteriów dotyczących pojemników na żywność, decydującą rolę odgrywa to, czy istnieje tendencja do pozostawiania go w miejscach do tego nieprzeznaczonych – z uwagi na jego pojemność lub rozmiar, w szczególności w przypadku pojemników zawierających pojedyncze porcje żywności.</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rPr>
        <w:t>Artykuł 13. Środki administracyjne</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rPr>
        <w:t xml:space="preserve">(1) W przypadku nieprzestrzegania przepisów art. 5, art. 6 ust. 1 i 2, pkt 1 i 2, art. 7 i art. 9 minister może: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 xml:space="preserve">wyznaczyć producentowi lub zatwierdzonemu podmiotowi termin dostosowania się do tych przepisów, który to termin nie może być dłuższy niż dwa lata;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nakazać zawieszenie w całości lub części działalności producenta lub eksploatacji zakładu poprzez zastosowanie środka tymczasowego lub nakazać zamknięcie zakładu w całości lub w części i nałożenie plomb.</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(2) Każda zainteresowana strona może wnioskować o zastosowanie środków wymienionych w ust.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lastRenderedPageBreak/>
        <w:t xml:space="preserve">(3) Środki wymienione w ust. 1 uchyla się, gdy producent lub zatwierdzony podmiot dostosuje się do przepisów.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rPr>
        <w:t>Artykuł 14. Przepisy specjalne</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Zastosowanie mają następujące przepisy ustawy z dnia 21 marca 2012 r.:</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art. 44, 45 i 46 dotyczące badania i stwierdzania naruszeń, uprawnień i prerogatyw w zakresie kontroli; oraz</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art. 50 ust. 2 dotyczący prawa zatwierdzonych organizacji ekologicznych do podejmowania działań prawnych.</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Artykuł 15. Załącznik</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Zmiany w załączniku mające na celu dostosowanie go do rozwoju prawodawstwa Unii Europejskiej w przedmiotowej dziedzinie można wprowadzać rozporządzeniem wielkoksiążęcym.</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Artykuł 16. Sankcje</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rPr>
        <w:t>Naruszenia przepisów art. 5, art. 6 ust. 1 akapit pierwszy i ust. 2, pkt 1 i 2, art. 7 ust. 1, art. 8 ust. 4 i art. 9 podlegają karze pozbawienia wolności od 8 dni do 3 lat i grzywnie w wysokości od 251 EUR do 750 000 EUR lub tylko jednej z tych kar.</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rPr>
        <w:t xml:space="preserve">Takie same sankcje mają zastosowanie w przypadku utrudniania lub nieprzestrzegania środków administracyjnych podejmowanych na podstawie art.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rPr>
        <w:t>Artykuł 17. Kary administracyjne</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rPr>
        <w:t>W przypadku naruszenia przepisów art. 4 ust. 4 i art. 6 ust. 2 akapit drugi minister może nałożyć karę administracyjną w wysokości od 250 EUR do 10 000 EUR.</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rPr>
        <w:t xml:space="preserve">Termin zapłaty kary wynosi dwa miesiące od daty pisemnego powiadomienia o decyzji.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rPr>
        <w:t>Kary administracyjne pobiera Urząd ds. Opłat Rejestracyjnych, Nieruchomości Gruntowych i VAT. Odzyskiwanie należności odbywa się jak w przypadku opłat rejestracyjnych.</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Artykuł 18. Środki odwoławcze</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Od decyzji podejmowanych na podstawie niniejszej ustawy można odwoływać się przed sądem administracyjnym. Odwołanie należy wnieść, pod rygorem wygaśnięcia, w terminie czterdziestu dni od dnia powiadomienia o decyzji, której dotyczy odwołanie.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lastRenderedPageBreak/>
        <w:t>Artykuł 19. Wejście w życie</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Niniejsza ustawa wchodzi w życie w dniu 3 lipca 2021 r.</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Natomiast przepisy art. 6 ust. 1 wchodzą w życie dopiero w dniu 3 lipca 2024 r., a przepisy art. 8 wchodzą w życie w dniu 31 grudnia 2026 r., z wyjątkiem produktów jednorazowego użytku z tworzyw sztucznych wymienionych w części E sekcja III załącznika, w odniesieniu do których wchodzą one w życie w dniu 5 stycznia 2023 r.</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rPr>
        <w:t>Załącznik</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rPr>
        <w:t>CZĘŚĆ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Produkty jednorazowego użytku z tworzyw sztucznych, o których mowa w art. 4 dotyczącym zmniejszenia stosowania</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rPr>
        <w:t>1) kubki na napoje, w tym ich pokrywki i wieczka;</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2) pojemniki na żywność, tj. pojemniki takie jak pudełka, z pokrywką lub bez, stosowane w celu umieszczania w nich żywności, która:</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jest przeznaczona do bezpośredniego spożycia, na miejscu lub na wynos,</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jest zazwyczaj spożywana bezpośrednio z pojemnika, oraz</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 xml:space="preserve">c) jest gotowa do spożycia bez dalszej obróbki, takiej jak przyrządzanie, gotowanie czy podgrzewanie,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w tym pojemniki na żywność typu fast food lub na inne posiłki gotowe do bezpośredniego spożycia, z wyjątkiem pojemników na napoje, talerzy oraz paczek i owijek zawierających żywność.</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lastRenderedPageBreak/>
        <w:t>CZĘŚĆ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Produkty jednorazowego użytku z tworzyw sztucznych, o których mowa w art. 5 dotyczącym ograniczeń w zakresie wprowadzania do obrotu</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rPr>
        <w:t>1) patyczki higieniczne, z wyjątkiem patyczków objętych zakresem stosowania dyrektywy Rady 90/385/EWG</w:t>
      </w:r>
      <w:r>
        <w:rPr>
          <w:rStyle w:val="FootnoteReference"/>
          <w:rFonts w:cs="TimesNewRoman"/>
          <w:sz w:val="24"/>
          <w:szCs w:val="24"/>
          <w:lang w:val="fr-LU" w:eastAsia="fr-BE"/>
        </w:rPr>
        <w:footnoteReference w:id="1"/>
      </w:r>
      <w:r>
        <w:rPr>
          <w:sz w:val="24"/>
        </w:rPr>
        <w:t xml:space="preserve"> lub dyrektywy Rady 93/42/EWG</w:t>
      </w:r>
      <w:r>
        <w:rPr>
          <w:rStyle w:val="FootnoteReference"/>
          <w:rFonts w:cs="TimesNewRoman"/>
          <w:sz w:val="24"/>
          <w:szCs w:val="24"/>
          <w:lang w:val="fr-LU" w:eastAsia="fr-BE"/>
        </w:rPr>
        <w:footnoteReference w:id="2"/>
      </w:r>
      <w:r>
        <w:rPr>
          <w:sz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rPr>
        <w:t>2) sztućce (widelce, noże, łyżki, pałeczki);</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rPr>
        <w:t>3) talerze;</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rPr>
        <w:t>4) słomki, z wyjątkiem słomek objętych zakresem stosowania dyrektywy 90/385/EWG lub dyrektywy 93/42/EWG;</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rPr>
        <w:t>5) mieszadełka do napojów;</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rPr>
        <w:t>6) patyczki mocowane do balonów i służące do tego, by balony się na nich opierały, w tym mechanizmy tych patyczków, z wyjątkiem balonów do użytku przemysłowego lub innych profesjonalnych zastosowań, które to balony nie są rozprowadzane wśród konsumentów;</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7) pojemniki na żywność wykonane z polistyrenu ekspandowanego, tj. pojemniki takie jak pudełka, z pokrywką lub bez, stosowane w celu umieszczania w nich żywności, która:</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jest przeznaczona do bezpośredniego spożycia, na miejscu lub na wynos,</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jest zazwyczaj spożywana bezpośrednio z pojemnika, oraz</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jest gotowa do spożycia bez dalszej obróbki, takiej jak przyrządzanie, gotowanie czy podgrzewanie,</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w tym pojemniki na żywność typu fast food lub na inne posiłki gotowe do bezpośredniego spożycia, z wyjątkiem pojemników na napoje, talerzy oraz paczek i owijek zawierających żywność;</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rPr>
        <w:t>8)wykonane z polistyrenu ekspandowanego pojemniki na napoje, w tym ich zakrętki i wieczka;</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rPr>
        <w:t>9) wykonane z polistyrenu ekspandowanego kubki na napoje, w tym ich zakrętki i wieczka.</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rPr>
        <w:lastRenderedPageBreak/>
        <w:t>CZĘŚĆ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Produkty jednorazowego użytku z tworzyw sztucznych, o których mowa w art. 6 ust. 1 dotyczącym wymogów mających zastosowanie do produktów</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Pojemniki na napoje o pojemności do trzech litrów, tj. pojemniki stosowane do przechowywania napojów, takie jak butelki na napoje, w tym ich zakrętki i wieczka, oraz wielomateriałowe opakowania na napoje, w tym ich zakrętki i wieczka, ale nie:</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szklane lub metalowe pojemniki na napoje, których zakrętki i wieczka wykonane są z tworzyw sztucznych,</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b) pojemniki na napoje przeznaczone i wykorzystywane do mającej płynną postać żywności specjalnego przeznaczenia medycznego zgodnie z definicją w art. 2 lit. g) rozporządzenia Parlamentu Europejskiego i Rady (UE) nr 609/2013</w:t>
      </w:r>
      <w:r>
        <w:rPr>
          <w:rStyle w:val="FootnoteReference"/>
          <w:rFonts w:cs="TimesNewRoman"/>
          <w:sz w:val="24"/>
          <w:szCs w:val="24"/>
          <w:lang w:val="fr-LU" w:eastAsia="fr-BE"/>
        </w:rPr>
        <w:footnoteReference w:id="3"/>
      </w:r>
      <w:r>
        <w:rPr>
          <w:sz w:val="24"/>
        </w:rPr>
        <w:t>.</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CZĘŚĆ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Produkty jednorazowego użytku z tworzyw sztucznych, o których mowa w art. 7 dotyczącym wymogów w zakresie oznakowania</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rPr>
        <w:t>1) Podpaski higieniczne, tampony oraz aplikatory tamponów;</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rPr>
        <w:t>2) chusteczki nawilżane, tj. uprzednio nawilżone chusteczki przeznaczone do higieny osobistej i uprzednio nawilżone chusteczki do użytku domowego;</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rPr>
        <w:t xml:space="preserve">3) wyroby tytoniowe z filtrami i filtry sprzedawane do używania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rPr>
        <w:t xml:space="preserve"> z wyrobami tytoniowymi;</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rPr>
        <w:t>4) kubki na napoje.</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CZĘŚĆ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I. Produkty jednorazowego użytku z tworzyw sztucznych, o których mowa w art. 8 dotyczącym rozszerzonej odpowiedzialności producenta</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1) pojemniki na żywność, tj. pojemniki takie jak pudełka, z pokrywką lub bez, stosowane w celu umieszczania w nich żywności, która:</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jest przeznaczona do bezpośredniego spożycia, na miejscu lub na wynos,</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lastRenderedPageBreak/>
        <w:t>b) jest zazwyczaj spożywana bezpośrednio z pojemnika, oraz</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jest gotowa do spożycia bez dalszej obróbki, takiej jak przyrządzanie, gotowanie czy podgrzewanie,</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w tym pojemniki na żywność typu fast food lub na inne posiłki gotowe do bezpośredniego spożycia, z wyjątkiem pojemników na napoje, talerzy oraz paczek i owijek zawierających żywność;</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rPr>
        <w:t>2)  paczki i owijki wykonane z elastycznych materiałów zawierające żywność przeznaczoną do bezpośredniego spożycia z paczki lub owijki bez żadnej dalszej obróbki;</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rPr>
        <w:t>3) pojemniki na napoje o pojemności do trzech litrów, tj. pojemniki stosowane do przechowywania napojów, takie jak butelki na napoje, w tym ich zakrętki i wieczka, oraz wielomateriałowe opakowania na napoje, w tym ich zakrętki i wieczka, ale nie szklane lub metalowe pojemniki na napoje, których zakrętki i wieczka wykonane są z tworzyw sztucznych;</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rPr>
        <w:t>4) kubki na napoje, w tym ich pokrywki i wieczka;</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rPr>
        <w:t>5) lekkie plastikowe torby na zakupy zgodnie z definicją w art. 3 pkt 1 lit. c) dyrektywy 94/62/WE.</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rPr>
        <w:t>II. Produkty jednorazowego użytku z tworzyw sztucznych, o których mowa w art. 8 ust. 3 dotyczącym rozszerzonej odpowiedzialności producenta</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rPr>
        <w:t>1) chusteczki nawilżane, tj. uprzednio nawilżone chusteczki przeznaczone do higieny osobistej i uprzednio nawilżone chusteczki do użytku domowego;</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rPr>
        <w:t>2) balony, z wyjątkiem balonów do użytku przemysłowego lub innych profesjonalnych zastosowań, które to balony nie są rozprowadzane wśród konsumentów.</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III. Inne produkty jednorazowego użytku z tworzyw sztucznych, o których mowa w art. 8 ust. 3 dotyczącym rozszerzonej odpowiedzialności producenta</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rPr>
        <w:t>Wyroby tytoniowe z filtrami i filtry sprzedawane do używania z wyrobami tytoniowymi.</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CZĘŚĆ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Produkty jednorazowego użytku z tworzyw sztucznych, o których mowa w art. 9 dotyczącym selektywnej zbiórki oraz w art. 6 ust. 2 dotyczącym wymogów mających zastosowanie do produktów</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Butelki na napoje o pojemności do trzech litrów, w tym ich zakrętki i wieczka, ale nie:</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rPr>
        <w:t>a) szklane lub metalowe butelki na napoje, których zakrętki i wieczka wykonane są z tworzyw sztucznych;</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rPr>
        <w:lastRenderedPageBreak/>
        <w:t>b) butelki na napoje przeznaczone i wykorzystywane do mającej płynną postać żywności specjalnego przeznaczenia medycznego zgodnie z definicją w art. 2 lit. g) rozporządzenia (UE) nr 609/2013.</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CZĘŚĆ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rPr>
        <w:t>Produkty jednorazowego użytku z tworzyw sztucznych objęte art. 10 dotyczącym  upowszechniania wiedzy</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rPr>
        <w:t>1) pojemniki na żywność, tj. pojemniki takie jak pudełka, z pokrywką lub bez, stosowane w celu umieszczania w nich żywności, która:</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a) jest przeznaczona do bezpośredniego spożycia, na miejscu lub na wynos,</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b) jest zazwyczaj spożywana bezpośrednio z pojemnika, oraz</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c) jest gotowa do spożycia bez dalszej obróbki, takiej jak przyrządzanie, gotowanie czy podgrzewanie,</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w tym pojemniki na żywność typu fast food lub na inne posiłki gotowe do bezpośredniego spożycia, z wyjątkiem pojemników na napoje, talerzy oraz paczek i owijek zawierających żywność;</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rPr>
        <w:t>2)  paczki i owijki wykonane z elastycznych materiałów zawierające żywność przeznaczoną do bezpośredniego spożycia z paczki lub owijki bez żadnej dalszej obróbki;</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rPr>
        <w:t>3) pojemniki na napoje o pojemności do trzech litrów, tj. pojemniki stosowane do przechowywania napojów, takie jak butelki na napoje, w tym ich zakrętki i wieczka, oraz wielomateriałowe opakowania na napoje, w tym ich zakrętki i wieczka, ale nie szklane lub metalowe pojemniki na napoje, których zakrętki i wieczka wykonane są z tworzyw sztucznych;</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rPr>
        <w:t>4) kubki na napoje, w tym ich pokrywki i wieczka;</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rPr>
        <w:t>5) wyroby tytoniowe z filtrami i filtry sprzedawane do używania łącznie z wyrobami tytoniowymi;</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rPr>
        <w:t>6) chusteczki nawilżane, tj. uprzednio nawilżone chusteczki przeznaczone do higieny osobistej i uprzednio nawilżone chusteczki do użytku domowego;</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rPr>
        <w:t>7) balony, z wyjątkiem balonów do użytku przemysłowego lub innych profesjonalnych zastosowań, które to balony nie są rozprowadzane wśród konsumentów;</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rPr>
        <w:t>8) lekkie plastikowe torby na zakupy zgodnie z definicją w art. 3 pkt 1 lit. c) dyrektywy 94/62/WE;</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5B9CBCB6" w14:textId="4F929A79" w:rsidR="007104F8" w:rsidRDefault="007104F8" w:rsidP="007104F8">
      <w:pPr>
        <w:autoSpaceDE w:val="0"/>
        <w:autoSpaceDN w:val="0"/>
        <w:adjustRightInd w:val="0"/>
        <w:spacing w:after="0" w:line="240" w:lineRule="auto"/>
        <w:rPr>
          <w:rFonts w:cs="TimesNewRoman"/>
          <w:sz w:val="24"/>
          <w:szCs w:val="24"/>
          <w:lang w:val="fr-LU" w:eastAsia="fr-BE"/>
        </w:rPr>
      </w:pPr>
      <w:r>
        <w:rPr>
          <w:sz w:val="24"/>
        </w:rPr>
        <w:t>9) podpaski higieniczne, tampony oraz aplikatory do tamponów.</w:t>
      </w: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Dyrektywa Rady 90/385/EWG z dnia 20 czerwca 1990 r. w sprawie zbliżenia ustawodawstw państw członkowskich odnoszących się do wyrobów medycznych aktywnego osadzania (Dz.U. L 189 z 20.7.1990, s. 17).</w:t>
      </w:r>
    </w:p>
  </w:footnote>
  <w:footnote w:id="2">
    <w:p w14:paraId="42EC3717" w14:textId="77777777" w:rsidR="007104F8" w:rsidRPr="007115EB" w:rsidRDefault="007104F8" w:rsidP="007104F8">
      <w:pPr>
        <w:pStyle w:val="FootnoteText"/>
        <w:rPr>
          <w:spacing w:val="-4"/>
        </w:rPr>
      </w:pPr>
      <w:r w:rsidRPr="007115EB">
        <w:rPr>
          <w:rStyle w:val="FootnoteReference"/>
          <w:spacing w:val="-4"/>
        </w:rPr>
        <w:footnoteRef/>
      </w:r>
      <w:r w:rsidRPr="007115EB">
        <w:rPr>
          <w:spacing w:val="-4"/>
        </w:rPr>
        <w:t xml:space="preserve"> Dyrektywa </w:t>
      </w:r>
      <w:r w:rsidRPr="007115EB">
        <w:rPr>
          <w:spacing w:val="-4"/>
        </w:rPr>
        <w:t>Rady 93/42/EWG z dnia 14 czerwca 1993 r. dotycząca wyrobów medycznych (Dz.U. L 169 z 12.7.1993, s. 1).</w:t>
      </w:r>
    </w:p>
  </w:footnote>
  <w:footnote w:id="3">
    <w:p w14:paraId="7B0A379B" w14:textId="77777777" w:rsidR="007104F8" w:rsidRPr="006227D4" w:rsidRDefault="007104F8" w:rsidP="007104F8">
      <w:pPr>
        <w:pStyle w:val="FootnoteText"/>
      </w:pPr>
      <w:r>
        <w:rPr>
          <w:rStyle w:val="FootnoteReference"/>
        </w:rPr>
        <w:footnoteRef/>
      </w:r>
      <w:r>
        <w:t xml:space="preserve"> Rozporządzenie </w:t>
      </w:r>
      <w:r>
        <w:t>Parlamentu Europejskiego i Rady (UE) nr 609/2013 z dnia 12 czerwca 2013 r. w sprawie żywności przeznaczonej dla niemowląt i małych dzieci oraz żywności specjalnego przeznaczenia medycznego i środków spożywczych zastępujących całodzienną dietę, do kontroli masy ciała oraz uchylające dyrektywę Rady 92/52/EWG, dyrektywy Komisji 96/8/WE, 1999/21/WE, 2006/125/WE i 2006/141/WE, dyrektywę Parlamentu Europejskiego i Rady 2009/39/WE oraz rozporządzenia Komisji (WE) nr 41/2009 i (WE) nr 953/2009 (Dz.U. L 181 z 29.6.2013,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7104F8"/>
    <w:rsid w:val="007115EB"/>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pl-PL"/>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4130</Words>
  <Characters>23546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2020-08-13T07:38:00Z</dcterms:modified>
</cp:coreProperties>
</file>