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62" w:rsidRPr="00B00403" w:rsidRDefault="003D5B62" w:rsidP="003D5B62">
      <w:pPr>
        <w:pStyle w:val="PlainText"/>
        <w:rPr>
          <w:sz w:val="20"/>
          <w:szCs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------IND- 2018 0178 S-- BG- ------ 20181122 --- --- FINAL</w:t>
      </w:r>
    </w:p>
    <w:p w:rsidR="00DE28EA" w:rsidRPr="00B06CA7" w:rsidRDefault="00DE28EA" w:rsidP="00F47340">
      <w:pPr>
        <w:pStyle w:val="BodyText"/>
        <w:rPr>
          <w:b/>
          <w:w w:val="100"/>
          <w:sz w:val="26"/>
          <w:szCs w:val="26"/>
          <w:rFonts w:ascii="Times New Roman" w:hAnsi="Times New Roman" w:cs="Times New Roman"/>
        </w:rPr>
      </w:pPr>
      <w:r>
        <w:rPr>
          <w:b/>
          <w:sz w:val="26"/>
          <w:rFonts w:ascii="Times New Roman" w:hAnsi="Times New Roman"/>
        </w:rPr>
        <w:t xml:space="preserve">LIFS 2018:4</w:t>
      </w:r>
    </w:p>
    <w:p w:rsidR="00DE28EA" w:rsidRPr="00B06CA7" w:rsidRDefault="00DE28EA" w:rsidP="00F47340">
      <w:pPr>
        <w:pStyle w:val="BodyText"/>
        <w:spacing w:after="240"/>
        <w:rPr>
          <w:w w:val="100"/>
          <w:sz w:val="16"/>
          <w:szCs w:val="19"/>
          <w:rFonts w:ascii="Times New Roman" w:hAnsi="Times New Roman" w:cs="Times New Roman"/>
        </w:rPr>
      </w:pPr>
      <w:r>
        <w:rPr>
          <w:sz w:val="16"/>
          <w:rFonts w:ascii="Times New Roman" w:hAnsi="Times New Roman"/>
        </w:rPr>
        <w:t xml:space="preserve">Публикувано</w:t>
      </w:r>
      <w:r>
        <w:rPr>
          <w:sz w:val="16"/>
          <w:szCs w:val="19"/>
          <w:rFonts w:ascii="Times New Roman" w:hAnsi="Times New Roman"/>
        </w:rPr>
        <w:br/>
      </w:r>
      <w:r>
        <w:rPr>
          <w:sz w:val="16"/>
          <w:rFonts w:ascii="Times New Roman" w:hAnsi="Times New Roman"/>
        </w:rPr>
        <w:t xml:space="preserve">на 8 август 2018 г.</w:t>
      </w:r>
    </w:p>
    <w:p w:rsidR="00A457A5" w:rsidRPr="0076436D" w:rsidRDefault="00A457A5" w:rsidP="00F47340">
      <w:pPr>
        <w:pStyle w:val="Rubrik1"/>
        <w:keepNext/>
        <w:keepLines/>
        <w:widowControl/>
        <w:ind w:right="0"/>
        <w:rPr>
          <w:w w:val="100"/>
          <w:sz w:val="26"/>
          <w:szCs w:val="26"/>
          <w:rFonts w:ascii="Times New Roman" w:hAnsi="Times New Roman" w:cs="Times New Roman"/>
        </w:rPr>
      </w:pPr>
      <w:r>
        <w:rPr>
          <w:sz w:val="26"/>
          <w:rFonts w:ascii="Times New Roman" w:hAnsi="Times New Roman"/>
        </w:rPr>
        <w:t xml:space="preserve">Наредби и общи препоръки на Шведския орган по хазарта относно националните лотарии и лотариите за цели от обществен интерес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прието на 25 юли 2018 г.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С настоящото Шведският орган по хазарта постановява</w:t>
      </w:r>
      <w:r>
        <w:rPr>
          <w:rFonts w:ascii="Times New Roman" w:hAnsi="Times New Roman"/>
          <w:w w:val="100"/>
          <w:sz w:val="19"/>
          <w:vertAlign w:val="superscript"/>
        </w:rPr>
        <w:footnoteReference w:id="1"/>
      </w:r>
      <w:r>
        <w:rPr>
          <w:sz w:val="19"/>
          <w:rFonts w:ascii="Times New Roman" w:hAnsi="Times New Roman"/>
        </w:rPr>
        <w:t xml:space="preserve"> следното по силата на глава 16, член 3; член 8, параграф 4; член 9; член 10, параграф 1 и член 11, параграфи 1—2 от Наредба (2018:1475) относно хазарта и приема следните общи препоръки.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1. Приложно поле и терминология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</w:t>
      </w:r>
      <w:r>
        <w:rPr>
          <w:sz w:val="19"/>
          <w:rFonts w:ascii="Times New Roman" w:hAnsi="Times New Roman"/>
        </w:rPr>
        <w:t xml:space="preserve"> Настоящите наредби и общи препоръки се прилагат за страните, лицензирани да предоставят национални лотарии съгласно глава 5, член 1 от Закон (2018:1138) за хазарта, и страните, лицензирани да предоставят лотарии съгласно глава 6, член 3 от Закона за хазарта.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</w:t>
      </w:r>
      <w:r>
        <w:rPr>
          <w:sz w:val="19"/>
          <w:rFonts w:ascii="Times New Roman" w:hAnsi="Times New Roman"/>
        </w:rPr>
        <w:t xml:space="preserve"> Освен ако не е посочено друго, терминологията и наименованията, използвани в настоящите наредби, имат същото значение, с което са използвани в Закон (2018:1138) за хазарта и Наредба (2018:1475) относно хазарта.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 настоящите наредби и общи препоръки се прилагат следните определения: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скрит ултравиолетов защитен елемент: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ултравиолетово флуоресцентно изображение или шарка, които са невидими с просто око.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Изображението/шарката става видимо/а, когато се освети с ултравиолетова светлина при дължина на вълната от 365 nm и свети с цвят, различен от фона, на който то/тя е отпечатано/а;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лотариен билет, който се тегли по-късно:</w:t>
      </w:r>
      <w:r>
        <w:rPr>
          <w:sz w:val="19"/>
          <w:rFonts w:ascii="Times New Roman" w:hAnsi="Times New Roman"/>
        </w:rPr>
        <w:t xml:space="preserve"> незапечатан лотариен билет, при който тегленето се извършва след закупуването;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електронен лотариен билет</w:t>
      </w:r>
      <w:r>
        <w:rPr>
          <w:sz w:val="19"/>
          <w:rFonts w:ascii="Times New Roman" w:hAnsi="Times New Roman"/>
        </w:rPr>
        <w:t xml:space="preserve">: физически носител на лотариен билет, който съдържа електронни компоненти и може да съдържа един или повече билети;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тираж с предварително определена награда</w:t>
      </w:r>
      <w:r>
        <w:rPr>
          <w:sz w:val="19"/>
          <w:rFonts w:ascii="Times New Roman" w:hAnsi="Times New Roman"/>
        </w:rPr>
        <w:t xml:space="preserve">: теглене, при което билетът се включва в тираж, при който стойността на наградата е предварително определена;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предварително изтеглен лотариен билет</w:t>
      </w:r>
      <w:r>
        <w:rPr>
          <w:sz w:val="19"/>
          <w:rFonts w:ascii="Times New Roman" w:hAnsi="Times New Roman"/>
        </w:rPr>
        <w:t xml:space="preserve">: запечатан лотариен билет, при който купувачът на лотарийния билет може директно да види дали това е печеливш билет или не;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химическа защита срещу изтриване</w:t>
      </w:r>
      <w:r>
        <w:rPr>
          <w:sz w:val="19"/>
          <w:rFonts w:ascii="Times New Roman" w:hAnsi="Times New Roman"/>
        </w:rPr>
        <w:t xml:space="preserve">: хартия с химикали, които обезцветяват хартията, ако тя бъде изложена на разтворители или окислители (алкохол, киселини, въглеводороди, хлор, повърхностно активно вещество и др.);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защита срещу копиране</w:t>
      </w:r>
      <w:r>
        <w:rPr>
          <w:sz w:val="19"/>
          <w:rFonts w:ascii="Times New Roman" w:hAnsi="Times New Roman"/>
        </w:rPr>
        <w:t xml:space="preserve">: елементи за документална сигурност, които се променят или стават дефектни при копиране;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повдигане</w:t>
      </w:r>
      <w:r>
        <w:rPr>
          <w:sz w:val="19"/>
          <w:rFonts w:ascii="Times New Roman" w:hAnsi="Times New Roman"/>
        </w:rPr>
        <w:t xml:space="preserve">: отстраняване на пластове, като например материал, който трябва да се изтърка, под които е скрита информацията за играта;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микротекст</w:t>
      </w:r>
      <w:r>
        <w:rPr>
          <w:sz w:val="19"/>
          <w:rFonts w:ascii="Times New Roman" w:hAnsi="Times New Roman"/>
        </w:rPr>
        <w:t xml:space="preserve">: малък текст с максимална височина от 0,30 mm и минимална дължина от 35 mm, който на просто око създава впечатлението, че е линия, но е ясно видим при увеличаване;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релеф</w:t>
      </w:r>
      <w:r>
        <w:rPr>
          <w:sz w:val="19"/>
          <w:rFonts w:ascii="Times New Roman" w:hAnsi="Times New Roman"/>
        </w:rPr>
        <w:t xml:space="preserve">: букви, цифри или символи, отпечатани с дебел пласт мастило, който образува повдигната повърхност върху хартията.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Като алтернатива буквите, цифрите или символите могат да се пресоват в хартията, в резултат на което повърхността става вдлъбната;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възпроизводство</w:t>
      </w:r>
      <w:r>
        <w:rPr>
          <w:sz w:val="19"/>
          <w:rFonts w:ascii="Times New Roman" w:hAnsi="Times New Roman"/>
        </w:rPr>
        <w:t xml:space="preserve">: копиране на изображение с помощта на техническо оборудване с последващо отпечатване или разпечатване;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информация за играта</w:t>
      </w:r>
      <w:r>
        <w:rPr>
          <w:sz w:val="19"/>
          <w:rFonts w:ascii="Times New Roman" w:hAnsi="Times New Roman"/>
        </w:rPr>
        <w:t xml:space="preserve">: информацията относно лотариен билет, която определя дали той е печеливш или губещ;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воден знак</w:t>
      </w:r>
      <w:r>
        <w:rPr>
          <w:sz w:val="19"/>
          <w:rFonts w:ascii="Times New Roman" w:hAnsi="Times New Roman"/>
        </w:rPr>
        <w:t xml:space="preserve">: изображения или шарки, образувани в процеса на производство на хартията и които се появяват, когато върху тях премине светлина.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Изображението/шарката става видимо/а, тъй като хартията е с различна дебелина; по-дебелите зони се възприемат като по-тъмни, по-тънките зони — като по-светли;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защитна шарка</w:t>
      </w:r>
      <w:r>
        <w:rPr>
          <w:sz w:val="19"/>
          <w:rFonts w:ascii="Times New Roman" w:hAnsi="Times New Roman"/>
        </w:rPr>
        <w:t xml:space="preserve">: тънки линии с най-малко два цвята с максимална широчина на линията от 0,10 mm и образуват остри ъгли.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Тя може също да бъде с релефни линии, т.е. тънки триизмерни линии образуват модел все едно той е релефен (триизмерен);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припокриване при печат</w:t>
      </w:r>
      <w:r>
        <w:rPr>
          <w:sz w:val="19"/>
          <w:rFonts w:ascii="Times New Roman" w:hAnsi="Times New Roman"/>
        </w:rPr>
        <w:t xml:space="preserve">: отпечатано изображение или шарка, които се поставят върху горната повърхност на покритие за изтриване или други подобни, което при печат трябва да бъде извършено така, че да става ясно, ако е повдигнато покритието за изтриване.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2.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Специални лотарии за цели от обществен интерес</w:t>
      </w:r>
    </w:p>
    <w:p w:rsidR="00A457A5" w:rsidRPr="0076436D" w:rsidRDefault="00A457A5" w:rsidP="00F47340">
      <w:pPr>
        <w:pStyle w:val="Brdtexthalv"/>
        <w:rPr>
          <w:b/>
          <w:bCs/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 </w:t>
      </w:r>
      <w:r>
        <w:rPr>
          <w:sz w:val="19"/>
          <w:rFonts w:ascii="Times New Roman" w:hAnsi="Times New Roman"/>
        </w:rPr>
        <w:t xml:space="preserve">Преди продажбата на лотарийни билети за лотарии за цели от обществен интерес съгласно глава 6, член 3 от Закон (2018:1138) за хазарта се назначава счетоводител/одитор.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Счетоводителят/одиторът преглежда сметките на лотарията и изготвя одитен доклад.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 случаите, когато оборотът на лотарията се оценява на над 5 милиона шведски крони, следва да бъде включен сертифициран счетоводител или одобрен одитор.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При прегледа трябва да се следват указанията на Шведския орган по хазарта за счетоводители/одитори на лотарии за цели от обществен интерес.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</w:t>
      </w:r>
      <w:r>
        <w:rPr>
          <w:sz w:val="19"/>
          <w:rFonts w:ascii="Times New Roman" w:hAnsi="Times New Roman"/>
        </w:rPr>
        <w:t xml:space="preserve"> При приключване на лотария притежателят на лиценз предоставя сметките на лотарията и одитния доклад на Шведския орган по хазарта.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3.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Таблици с изплащаните печалби, печалби, тиражи и резултати от тиражите</w:t>
      </w:r>
    </w:p>
    <w:p w:rsidR="00A457A5" w:rsidRPr="0076436D" w:rsidRDefault="00A457A5" w:rsidP="00F47340">
      <w:pPr>
        <w:pStyle w:val="Rubrik40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Таблица с изплащаните печалби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</w:t>
      </w:r>
      <w:r>
        <w:rPr>
          <w:sz w:val="19"/>
          <w:rFonts w:ascii="Times New Roman" w:hAnsi="Times New Roman"/>
        </w:rPr>
        <w:t xml:space="preserve"> Печатните или електронните лотарийни билети трябва да бъдат в съответствие с установените таблици с изплащаните печалби.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Печелившите лотарийни билети не трябва да се предлагат отделно от непечелившите лотарийни билети.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Печалби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</w:t>
      </w:r>
      <w:r>
        <w:rPr>
          <w:sz w:val="19"/>
          <w:rFonts w:ascii="Times New Roman" w:hAnsi="Times New Roman"/>
        </w:rPr>
        <w:t xml:space="preserve"> Ако има награди, различни от парични награди в дадена лотария, те се изчисляват с тяхната пазарна стойност.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Наградите, чиято стойност е трудно да се изчислят, се изчисляват от безпристрастна, компетентна страна.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Може да бъде трудно за даден притежател на лиценз да изчисли стойността на наградите под формата например на изкуство и други стоки.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Лотарийни билети, които се теглят по-късно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3</w:t>
      </w:r>
      <w:r>
        <w:rPr>
          <w:sz w:val="19"/>
          <w:rFonts w:ascii="Times New Roman" w:hAnsi="Times New Roman"/>
        </w:rPr>
        <w:t xml:space="preserve">. Ако резултат от тираж трябва да бъде основан единствено на продадените билети, непродадените билети се документирани, преди тиражът да може да се проведе.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Протокол за резултати от тиражи, промени и анулиране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4. </w:t>
      </w:r>
      <w:r>
        <w:rPr>
          <w:sz w:val="19"/>
          <w:rFonts w:ascii="Times New Roman" w:hAnsi="Times New Roman"/>
        </w:rPr>
        <w:t xml:space="preserve">Резултатът от тираж се документира в протокол.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Протоколът се съхраняван за срока на действие на лиценза.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5.</w:t>
      </w:r>
      <w:r>
        <w:rPr>
          <w:sz w:val="19"/>
          <w:rFonts w:ascii="Times New Roman" w:hAnsi="Times New Roman"/>
        </w:rPr>
        <w:t xml:space="preserve"> Резултатите от тиража не трябва да се променят.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Резултат от тираж се анулира, ако са налице грешки, които са засегнали резултатите, и той се анулира, преди резултатите да се обявят публично.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Ако резултат от тираж бъде анулиран съгласно посоченото в предходната алинея, данните и анулираният резултат се документират и съхраняват за срока на действие на лиценза.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4.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Качества на физическите лотарийни билети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</w:t>
      </w:r>
      <w:r>
        <w:rPr>
          <w:sz w:val="19"/>
          <w:rFonts w:ascii="Times New Roman" w:hAnsi="Times New Roman"/>
        </w:rPr>
        <w:t xml:space="preserve"> Отделните билети в тираж с предварително определена награда са уникални.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Отделен лотариен билет се отнася до серия или поредица съгласно предоставения лиценз.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 </w:t>
      </w:r>
      <w:r>
        <w:rPr>
          <w:sz w:val="19"/>
          <w:rFonts w:ascii="Times New Roman" w:hAnsi="Times New Roman"/>
        </w:rPr>
        <w:t xml:space="preserve">Печатните/електронните лотарийни билети не трябва да имат такива физически дефекти или знаци, които позволяват да се изберат печелившите билети.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Не трябва да е възможно да се прочете информацията относно играта върху запечатан лотариен билет.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Запечатаните лотарийни билети трябва да имат защитни средства срещу манипулации и възпроизводство.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3</w:t>
      </w:r>
      <w:r>
        <w:rPr>
          <w:sz w:val="19"/>
          <w:rFonts w:ascii="Times New Roman" w:hAnsi="Times New Roman"/>
        </w:rPr>
        <w:t xml:space="preserve">. Ако има дефекти в качеството на лотарийните билети, които водят до неспазване на изискванията на настоящите наредби, се преустановява производството, а съществуващите лотарийни билети се обявяват за анулирани.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4</w:t>
      </w:r>
      <w:r>
        <w:rPr>
          <w:sz w:val="19"/>
          <w:rFonts w:ascii="Times New Roman" w:hAnsi="Times New Roman"/>
        </w:rPr>
        <w:t xml:space="preserve">. Следното се прилага за предварително изтеглените, запечатаните лотарийни билети с максимална стойност на наградата, надвишаваща една (1) базова сума за цените: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трябва да бъде невъзможно билет, който е отворен, да се запечата отново,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трябва да бъде невъзможно да се прочете информацията относно играта, когато през нея премине светлина,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информацията за играта не трябва да образува издигнат релеф или вдлъбнатина върху външната повърхност на запечатващото средство,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защита срещу копиране,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ултравиолетов защитен елемент,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полето за изтриване трябва да има отпечатано върху него друго изображение, което скрива информацията за игрите и контролните полета,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запечатаните контролни полета трябва да бъдат защитени срещу повдигане и четене,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трябва да бъде невъзможно да се прочете информацията относно играта с помощта на статично електричество,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информацията за играта не трябва да бъде поставяна на едни и същи места,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информацията за играта трябва да бъде защитена срещу изменение, и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микротекст.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Примерите за защита срещу копиране включват цветове, които е трудно да се копират, растернобазирани филтри, отпечатъци или покрития с различна светлоотразяваща способност, като гланцово покритие върху матирана хартия и специална хартия.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u w:val="thick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Микротекстът може да се постави в поле за изтриване.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5</w:t>
      </w:r>
      <w:r>
        <w:rPr>
          <w:sz w:val="19"/>
          <w:rFonts w:ascii="Times New Roman" w:hAnsi="Times New Roman"/>
        </w:rPr>
        <w:t xml:space="preserve">. Следното се прилага за лотарийните билети, които се теглят по-късно, с максимална стойност на наградата, надвишаваща една (1) базова сума за цените: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защита срещу копиране,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ултравиолетов защитен елемент,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защитна шарка,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информацията за играта трябва да бъде защитена срещу изменение,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микротекст,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бъдат произведени от хартия с воден знак или хартия с еквивалентна сигурност, и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хартията трябва да има защита срещу химическо изтриване.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Примерите за защита срещу копиране включват цветове, които е трудно да се копират, растернобазирани филтри, отпечатъци или покрития с различна светлоотразяващата способност, като гланцово покритие върху матирана хартия и специална хартия.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Микротекстът може да се постави в поле за изтриване.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„Хартия с еквивалентна сигурност“ може да означава, че лотарийният билет има комбинация от различни защитни елементи, които предоставят сигурност, която е еквивалентна на хартия с воден знак.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6</w:t>
      </w:r>
      <w:r>
        <w:rPr>
          <w:sz w:val="19"/>
          <w:rFonts w:ascii="Times New Roman" w:hAnsi="Times New Roman"/>
        </w:rPr>
        <w:t xml:space="preserve">. Следното се прилага за електронните лотарийни билети с максимална стойност на наградата, надвишаваща 1/6 от базовата сума за цените: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активиране и нулиране на билетите трябва да оставят ясни следи,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ултравиолетов защитен елемент,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защита срещу копиране,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контролно поле с отпечатано върху него изображение,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електронните апарати и екраните за визуализация трябва да бъдат защитени срещу манипулации, и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билетите трябва да имат микротекст.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Примерите за защита срещу копиране включват цветове, които е трудно да се копират, растернобазирани филтри, отпечатъци или покрития с различна светлоотразяваща способност, като гланцово покритие върху матирана хартия и специална хартия.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Микротекстът може да се постави в поле за изтриване.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5.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Работа с лотарийни билети</w:t>
      </w:r>
    </w:p>
    <w:p w:rsidR="00A457A5" w:rsidRPr="0076436D" w:rsidRDefault="00A457A5" w:rsidP="00F47340">
      <w:pPr>
        <w:pStyle w:val="Rubrik40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Работа с готови лотарийни билети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</w:t>
      </w:r>
      <w:r>
        <w:rPr>
          <w:sz w:val="19"/>
          <w:rFonts w:ascii="Times New Roman" w:hAnsi="Times New Roman"/>
        </w:rPr>
        <w:t xml:space="preserve"> Трябва да има въведени документирани процедури за работата с готови лотарийни билети.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Процедурите се прилагат също така за полуготовите лотарийни билети.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 </w:t>
      </w:r>
      <w:r>
        <w:rPr>
          <w:sz w:val="19"/>
          <w:rFonts w:ascii="Times New Roman" w:hAnsi="Times New Roman"/>
        </w:rPr>
        <w:t xml:space="preserve">Трябва да бъде невъзможно за неупълномощени лица да получат пълен преглед на местоположенията на печелившите билети измежду готовите лотарийни билети при генерирането на данните за играта.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3.</w:t>
      </w:r>
      <w:r>
        <w:rPr>
          <w:sz w:val="19"/>
          <w:rFonts w:ascii="Times New Roman" w:hAnsi="Times New Roman"/>
        </w:rPr>
        <w:t xml:space="preserve"> Готовите продукти и другите чувствителни материали трябва да се съхраняват на сигурно и защитено място, подходящо за тази цел.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Карти, кодове, ключове и други такива средства за достъп до помещенията, в които се работи с физическите лотарийни билети или те се съхраняват там, трябва да се контролират така, че неупълномощени лица да не могат да получат достъп до тях.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4.</w:t>
      </w:r>
      <w:r>
        <w:rPr>
          <w:sz w:val="19"/>
          <w:rFonts w:ascii="Times New Roman" w:hAnsi="Times New Roman"/>
        </w:rPr>
        <w:t xml:space="preserve"> Физическите лотарийни билети се опаковат така, че външна опаковка или други подобни трябва да бъде счупена, за да се получи достъп до отделните билети.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Ако физическите лотарийни билети са опаковани в палет, палетът се запечатва така, че съдържанието да не се вижда.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Всяко счупване на запечатването или опаковането се документира.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5.</w:t>
      </w:r>
      <w:r>
        <w:rPr>
          <w:sz w:val="19"/>
          <w:rFonts w:ascii="Times New Roman" w:hAnsi="Times New Roman"/>
        </w:rPr>
        <w:t xml:space="preserve"> Транспортирането на готови физически лотарийни билети трябва да се извършва по безопасен начин.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Следва да се сключи договор за транспортирането на готови лотарийни билети с дружества с добра репутация с превозни средства, които могат да бъдат запечатани.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Изборът на маршрут следва да се управлява така, че превозвачът да не избере по-рисков маршрут, например, за да получи икономически ползи.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Спиранията по време на път следва да се избягват.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Доставките следва да бъдат планирани така, че стоките да могат да бъдат разтоварени и въведени за безопасно съхранение веднага след пристигането.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Следва да се избягва временното оставяне на лотария без присъствието на персонал през цялата нощ или по всяко друго време.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Работа с непродадени лотарийни билети и изплатени печеливши билети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6</w:t>
      </w:r>
      <w:r>
        <w:rPr>
          <w:sz w:val="19"/>
          <w:rFonts w:ascii="Times New Roman" w:hAnsi="Times New Roman"/>
        </w:rPr>
        <w:t xml:space="preserve">. Трябва да има въведени документирани процедури за работата с непродадени лотарийни билети и изплатени печеливши билети.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Непродадените лотарийни билети и изплатените печеливши билети се унищожават възможно най-скоро след приключването на лотарията.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Ако се извършва валидиране на печалбата чрез система за хазарт, това валидиране на печалбата заменя унищожаването, посочено в гореспоменатия параграф.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Работа с повредени лотарийни билети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7</w:t>
      </w:r>
      <w:r>
        <w:rPr>
          <w:sz w:val="19"/>
          <w:rFonts w:ascii="Times New Roman" w:hAnsi="Times New Roman"/>
        </w:rPr>
        <w:t xml:space="preserve">. Трябва да има въведени документирани процедури за работата с физически лотарийни билети, които са повредени при производството или доставянето.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 случай че лотарийните билети, повредени при производството или доставянето, са обменени, таблиците с изплащаните печалби, разпределението на печалбите и броят на доставените билети все пак трябва да отговарят на поръчката.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Повредените физически лотарийни билети трябва да бъдат документирани и унищожени.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Работа с изхвърлени печатни материали и друго оборудване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8.</w:t>
      </w:r>
      <w:r>
        <w:rPr>
          <w:sz w:val="19"/>
          <w:rFonts w:ascii="Times New Roman" w:hAnsi="Times New Roman"/>
        </w:rPr>
        <w:t xml:space="preserve"> Трябва да има въведени документирани процедури за полагането на грижи за изхвърлени печатни материали и друго оборудване, използвано при производството на физически лотарийни билети.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Всички изхвърлени печатни материали трябва да бъдат документирани и унищожени.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Работа с използвани носители на данни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9.</w:t>
      </w:r>
      <w:r>
        <w:rPr>
          <w:sz w:val="19"/>
          <w:rFonts w:ascii="Times New Roman" w:hAnsi="Times New Roman"/>
        </w:rPr>
        <w:t xml:space="preserve"> Трябва да има въведени документирани процедури за работата с използвани системи за генерирането на физически данни за лотария и валидирането на печатни физически лотарийни билети, които вече не се използват.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С досиетата, които съдържат информация за печалбите, трябва да се работи по начин, с който се гарантира, че неупълномощени лица не могат да ги копират или по друг начин да злоупотребят с или повредят информацията.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Унищожаване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10</w:t>
      </w:r>
      <w:r>
        <w:rPr>
          <w:sz w:val="19"/>
          <w:rFonts w:ascii="Times New Roman" w:hAnsi="Times New Roman"/>
        </w:rPr>
        <w:t xml:space="preserve">. Трябва да има въведени документирани процедури за работата с унищожаване.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Най-малко две лица следва винаги да присъстват, когато се извършва унищожаването.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6.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Информация за посредниците на хазартни игри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 </w:t>
      </w:r>
      <w:r>
        <w:rPr>
          <w:sz w:val="19"/>
          <w:rFonts w:ascii="Times New Roman" w:hAnsi="Times New Roman"/>
        </w:rPr>
        <w:t xml:space="preserve">Посредниците на хазартни игри трябва да бъдат запознати със съответните части на Закон (2018:1138) за хазарта, Наредба (2018:1475) относно хазарта, наредбите, разпоредбите и реда и условията, на които подлежат притежателите на лиценз.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Те също така трябва да бъдат запознати с вътрешните процедури и ръководства на притежателя на лиценз, които се отнасят до и са свързани с дейностите на посредника в областта на хазарта.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Съответни части на Закона за хазарта, наредби и разпоредби могат да включват например, че дадено лице трябва да бъде на възраст 18 години, за да участва в хазартна игра, че е забранено да се предоставя кредит за хазартна игра, и къде даден играч може да получи информация и помощ относно самостоятелни тестове, самоизключване и други въпроси, свързани с неговата хазартна игра.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7.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Игрална сметка и временна игрална сметка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 </w:t>
      </w:r>
      <w:r>
        <w:rPr>
          <w:sz w:val="19"/>
          <w:rFonts w:ascii="Times New Roman" w:hAnsi="Times New Roman"/>
        </w:rPr>
        <w:t xml:space="preserve">Даден играч може да има само една игрална сметка.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Първата алинея не се прилага, ако притежателят на лиценз предоставя хазартни игри на различни URL адреси.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В този случай един играч може да има повече от една игрална сметка при притежателя на лиценз, при условие че притежателят на лиценз: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може да идентифицира и определи отделните игрални сметки на играча;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гарантира, че играчът е изключен от всички игри на притежателя на лиценз, ако играчът е избрал самоизключване съгласно глава 14, член 11 от Закон (2018:1138) за хазарта, освен ако играчът не избере активно самоизключването да бъде приложено само на една или няколко конкретни игри;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може да следи хазартното поведение и трансакциите на всички отделни игрални сметки на играча.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 </w:t>
      </w:r>
      <w:r>
        <w:rPr>
          <w:sz w:val="19"/>
          <w:rFonts w:ascii="Times New Roman" w:hAnsi="Times New Roman"/>
        </w:rPr>
        <w:t xml:space="preserve">Даден играч няма право да депозира повече от 1/4 от базовата сума за цената във временна игрална сметка.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3.</w:t>
      </w:r>
      <w:r>
        <w:rPr>
          <w:sz w:val="19"/>
          <w:rFonts w:ascii="Times New Roman" w:hAnsi="Times New Roman"/>
        </w:rPr>
        <w:t xml:space="preserve"> Играч, който има временна игрална сметка, ще му бъде напомнено в рамките на 15 дни след регистрацията да представи документация, която потвърждава информацията, предоставена по време на регистрацията.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Временна игрална сметка може да бъде използвана за хазартни игри най-много 30 дни.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8.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Информация за играчите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</w:t>
      </w:r>
      <w:r>
        <w:rPr>
          <w:sz w:val="19"/>
          <w:rFonts w:ascii="Times New Roman" w:hAnsi="Times New Roman"/>
        </w:rPr>
        <w:t xml:space="preserve"> В допълнение към определеното в глава 14, член 4 от Закон (2018:1138) за хазарта, следната информация трябва се предостави на разположение на играчите: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името, телефонния номер и адреса на електронна поща на притежателя на лиценз;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когато е приложимо, информация относно бенефициера;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периода на продажба и/или срока на действие на лиценза;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рисковете, които могат да бъдат свързани с игри за пари;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данни за контакт за телефонна линия за помощ при проблеми с хазарта, която е независима от дружеството за хазартни игри, и която може да предложи помощ според обстоятелствата в Швеция;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фактът, че Шведският орган по хазарта е лицензиращият и надзорният орган;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цената на билета, залога или еквивалента за съответната лотария;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всички други разходи за участие в съответната лотария; и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когато е приложимо, броят на лотарийните билети или еквиваленти.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Ако печалбите не се изплащат веднага, участникът трябва също така да получи информация за времето и средствата за изплащане на печалбите, както и за последния ден за изплащане на печалбите.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 случай на лотарии, които се теглят по-късно, и безбилетни лотарии, трябва също така да се предостави информация за времето и метода за публикуването на резултатите от тиражи и датата за разпределението на евентуалните печалби.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Като пример за независима телефонна линия за помощ може да се посочи „Stödlinjen“.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</w:t>
      </w:r>
      <w:r>
        <w:rPr>
          <w:sz w:val="19"/>
          <w:rFonts w:ascii="Times New Roman" w:hAnsi="Times New Roman"/>
        </w:rPr>
        <w:t xml:space="preserve"> Върху физическите лотарийни билети или еквиваленти трябва да се посочи информацията съгласно член 1 по ясен и виден начин.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Информацията съгласно член 1, точки 2, 4 и 6 обаче може да се предостави на разположение по други начини, освен чрез поставяне върху лотарийния билет, при условие че се посочва къде информацията е на разположение.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Върху физическите лотарийни билети или еквиваленти по ясен и видим начин трябва да се посочи таблица с изплащаните печалби.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Информацията за всички изпълнители съгласно глава 11, член 6 от Закон (2018:1138) за хазарта може да се посочи само ако е необходима на играчите, за да упражнят своите права.</w:t>
      </w:r>
    </w:p>
    <w:p w:rsidR="00A457A5" w:rsidRPr="0076436D" w:rsidRDefault="00DE28EA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Таблицата с изплащаните печалби може например да фигурира върху задната страна на физическите лотарийни билети.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Следва да бъде лесно за играчите да разберат кой е притежателят на лиценз или бенефициерът.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Информацията относно притежателя на лиценз или бенефициера може например да бъде видима върху лицевата страна на физическите лотарийни билети.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3.</w:t>
      </w:r>
      <w:r>
        <w:rPr>
          <w:sz w:val="19"/>
          <w:rFonts w:ascii="Times New Roman" w:hAnsi="Times New Roman"/>
        </w:rPr>
        <w:t xml:space="preserve"> Във връзка със закупуването на лотарийни билети, за които се изисква регистрация съгласно глава 12, член 1 от Закон (2018:1138) за хазарта, информацията съгласно член 1, точки 4—6 и информацията относно възможността за ограничаване на участието в игрите — съгласно глава 14, член 7, член 11, параграф 1 и член 12 от Закона за хазарта и глава 11, член 3 от Наредба (2018:1475) относно хазарта — се предоставя на разположение на играча, преди той да се регистрира.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4.</w:t>
      </w:r>
      <w:r>
        <w:rPr>
          <w:sz w:val="19"/>
          <w:rFonts w:ascii="Times New Roman" w:hAnsi="Times New Roman"/>
        </w:rPr>
        <w:t xml:space="preserve"> Ако лотарията се предоставя онлайн, информацията, посочена в член 1, параграф 1, точки 1—3 и точка 5, трябва да бъде ясно видима на началната страница на притежателя на лиценз заедно с логото на Шведския орган по хазарта, препратка към уебсайта на органа и препратка към условията за използване.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5.</w:t>
      </w:r>
      <w:r>
        <w:rPr>
          <w:sz w:val="19"/>
          <w:rFonts w:ascii="Times New Roman" w:hAnsi="Times New Roman"/>
        </w:rPr>
        <w:t xml:space="preserve"> Ако съществуващите условия за използване се променят и промяната не е незначителна, играчите трябва да получат информация за промените, преди те да влязат в сила.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препоръки: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Промяна, която е незначителна, може да се отнася например до грешки в изписването.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Информация за играчите относно промените в условията за използване може да се предостави например чрез съобщение за промяната в писмена форма или с одобрение на играча на новите условия за използване при влизането в системата.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Глава 9.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Притежателите на лиценз трябва да могат да генерират доклади със следната информация: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1.</w:t>
      </w:r>
      <w:r>
        <w:rPr>
          <w:sz w:val="19"/>
          <w:rFonts w:ascii="Times New Roman" w:hAnsi="Times New Roman"/>
        </w:rPr>
        <w:t xml:space="preserve"> Притежателите на лиценз трябва да регистрират и да могат да генерират доклади със следната информация за серия или поредица от лотарийни билети или еквиваленти съгласно предоставения лиценз: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 брой на отпечатаните лотарийни билети съгласно таблиците с изплащаните печалби;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 брой на продадените лотарийни билети;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общи приходи от продадените лотарийни билети;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обща сума на изплатените печалби;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обща сума на изплатените печалби на всяко равнище от таблиците с изплащаните печалби; и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действителен резултат от съотношението между залозите и печалбите.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Член 2.</w:t>
      </w:r>
      <w:r>
        <w:rPr>
          <w:sz w:val="19"/>
          <w:rFonts w:ascii="Times New Roman" w:hAnsi="Times New Roman"/>
        </w:rPr>
        <w:t xml:space="preserve"> Притежателите на лиценз трябва да документират и да могат да генерират доклади относно лотарийните билети, които са били подложени на манипулации или по друг начин са изчезнали преди продажбата.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pBdr>
          <w:top w:val="single" w:sz="4" w:space="1" w:color="auto"/>
        </w:pBd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Настоящите разпоредби влизат в сила на 1 януари 2019 г.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Наредбите се прилагат дори за заявления за лиценз, които са подадени до Шведския орган по хазарта след 1 август 2018 г., и които се отнасят до периода след 1 януари 2019 г.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От името на Шведския орган по хазарта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CAMILLA ROSENBERG</w:t>
      </w:r>
    </w:p>
    <w:p w:rsidR="00A457A5" w:rsidRPr="0076436D" w:rsidRDefault="00A457A5" w:rsidP="00F47340">
      <w:pPr>
        <w:pStyle w:val="BodyText"/>
        <w:jc w:val="center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Johan Röhr</w:t>
      </w:r>
    </w:p>
    <w:sectPr w:rsidR="00A457A5" w:rsidRPr="00764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354" w:h="13720"/>
      <w:pgMar w:top="680" w:right="2306" w:bottom="1302" w:left="11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B6" w:rsidRDefault="00CE35B6">
      <w:pPr>
        <w:spacing w:after="0" w:line="240" w:lineRule="auto"/>
      </w:pPr>
      <w:r>
        <w:separator/>
      </w:r>
    </w:p>
  </w:endnote>
  <w:endnote w:type="continuationSeparator" w:id="0">
    <w:p w:rsidR="00CE35B6" w:rsidRDefault="00CE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pStyle w:val="Footer"/>
      <w:tabs>
        <w:tab w:val="center" w:pos="12800"/>
        <w:tab w:val="right" w:pos="25600"/>
      </w:tabs>
      <w:jc w:val="left"/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BC3FA5">
      <w:rPr>
        <w:rStyle w:val="Pagina"/>
        <w:rFonts w:ascii="Times New Roman" w:hAnsi="Times New Roman" w:cs="Times New Roman"/>
      </w:rPr>
      <w:t>2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pStyle w:val="Footer"/>
      <w:tabs>
        <w:tab w:val="center" w:pos="12800"/>
        <w:tab w:val="right" w:pos="25600"/>
      </w:tabs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BC3FA5">
      <w:rPr>
        <w:rStyle w:val="Pagina"/>
        <w:rFonts w:ascii="Times New Roman" w:hAnsi="Times New Roman" w:cs="Times New Roman"/>
      </w:rPr>
      <w:t>9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pStyle w:val="Footer"/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BC3FA5">
      <w:rPr>
        <w:rStyle w:val="Pagina"/>
        <w:rFonts w:ascii="Times New Roman" w:hAnsi="Times New Roman" w:cs="Times New Roman"/>
      </w:rPr>
      <w:t>1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B6" w:rsidRDefault="00CE35B6">
      <w:pPr>
        <w:spacing w:after="0" w:line="240" w:lineRule="auto"/>
      </w:pPr>
      <w:r>
        <w:separator/>
      </w:r>
    </w:p>
  </w:footnote>
  <w:footnote w:type="continuationSeparator" w:id="0">
    <w:p w:rsidR="00CE35B6" w:rsidRDefault="00CE35B6">
      <w:pPr>
        <w:spacing w:after="0" w:line="240" w:lineRule="auto"/>
      </w:pPr>
      <w:r>
        <w:continuationSeparator/>
      </w:r>
    </w:p>
  </w:footnote>
  <w:footnote w:id="1">
    <w:p w:rsidR="00A457A5" w:rsidRPr="00DE28EA" w:rsidRDefault="00A457A5">
      <w:pPr>
        <w:pStyle w:val="Fotnot"/>
        <w:rPr>
          <w:w w:val="100"/>
          <w:sz w:val="17"/>
          <w:szCs w:val="17"/>
          <w:rFonts w:ascii="Times New Roman" w:hAnsi="Times New Roman" w:cs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sz w:val="17"/>
          <w:rFonts w:ascii="Times New Roman" w:hAnsi="Times New Roman"/>
        </w:rPr>
        <w:t xml:space="preserve"> Вж.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 w:rsidP="00B06CA7">
    <w:pPr>
      <w:pStyle w:val="Header"/>
      <w:tabs>
        <w:tab w:val="clear" w:pos="2680"/>
        <w:tab w:val="clear" w:pos="4860"/>
        <w:tab w:val="center" w:pos="3840"/>
        <w:tab w:val="right" w:pos="7680"/>
        <w:tab w:val="center" w:pos="14920"/>
        <w:tab w:val="right" w:pos="29840"/>
      </w:tabs>
      <w:suppressAutoHyphens/>
      <w:jc w:val="right"/>
      <w:rPr>
        <w:w w:val="100"/>
        <w:sz w:val="21"/>
        <w:szCs w:val="21"/>
        <w:rFonts w:ascii="Times New Roman" w:hAnsi="Times New Roman" w:cs="Times New Roman"/>
      </w:rPr>
    </w:pPr>
    <w:r>
      <w:rPr>
        <w:sz w:val="21"/>
        <w:rFonts w:ascii="Times New Roman" w:hAnsi="Times New Roman"/>
      </w:rPr>
      <w:t xml:space="preserve">LIFS 2018:4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E54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B7C0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A3C52"/>
    <w:multiLevelType w:val="hybridMultilevel"/>
    <w:tmpl w:val="A84C1E32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FD2128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9B198B"/>
    <w:multiLevelType w:val="hybridMultilevel"/>
    <w:tmpl w:val="6786FB40"/>
    <w:lvl w:ilvl="0" w:tplc="B67C5E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5520B7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6B0796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4345C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4C1E4B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7507C3"/>
    <w:multiLevelType w:val="hybridMultilevel"/>
    <w:tmpl w:val="0332EE3C"/>
    <w:lvl w:ilvl="0" w:tplc="11843B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dirty" w:grammar="dirty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6D"/>
    <w:rsid w:val="00160D7C"/>
    <w:rsid w:val="001B10D4"/>
    <w:rsid w:val="00224CE3"/>
    <w:rsid w:val="002534DF"/>
    <w:rsid w:val="00265800"/>
    <w:rsid w:val="003818B4"/>
    <w:rsid w:val="003A531E"/>
    <w:rsid w:val="003D5B62"/>
    <w:rsid w:val="00462030"/>
    <w:rsid w:val="005D32FE"/>
    <w:rsid w:val="006C64A7"/>
    <w:rsid w:val="0076436D"/>
    <w:rsid w:val="00971EE7"/>
    <w:rsid w:val="009774BE"/>
    <w:rsid w:val="00A457A5"/>
    <w:rsid w:val="00B06CA7"/>
    <w:rsid w:val="00B62056"/>
    <w:rsid w:val="00B64244"/>
    <w:rsid w:val="00B97BEE"/>
    <w:rsid w:val="00BC3FA5"/>
    <w:rsid w:val="00BD10A6"/>
    <w:rsid w:val="00CE35B6"/>
    <w:rsid w:val="00DE28EA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rkuser1</dc:creator>
  <cp:keywords/>
  <dc:description/>
  <cp:lastModifiedBy>DA</cp:lastModifiedBy>
  <cp:revision>4</cp:revision>
  <dcterms:created xsi:type="dcterms:W3CDTF">2018-11-09T14:20:00Z</dcterms:created>
  <dcterms:modified xsi:type="dcterms:W3CDTF">2018-11-20T06:33:00Z</dcterms:modified>
</cp:coreProperties>
</file>