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2D7B" w14:textId="77777777" w:rsidR="001E2566" w:rsidRPr="001E2566" w:rsidRDefault="001E2566" w:rsidP="00593C75">
      <w:pPr>
        <w:pStyle w:val="BodyText"/>
        <w:rPr>
          <w:rFonts w:eastAsia="Times New Roman" w:cs="Times New Roman"/>
          <w:bCs/>
          <w:szCs w:val="36"/>
        </w:rPr>
      </w:pPr>
      <w:r>
        <w:t>Rozporządzenie z dnia 4 sierpnia 2021 r. w sprawie wymogów w zakresie efektywności energetycznej i środowiskowej budynków we Francji metropolitalnej i zatwierdzające metodę obliczeniową przewidzianą w art. R. 172-6 kodeksu budowlanego i mieszkaniowego</w:t>
      </w:r>
    </w:p>
    <w:p w14:paraId="6B6A81B7"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Dział I: PRZEPISY OGÓLNE (art. 1-7)</w:t>
      </w:r>
    </w:p>
    <w:p w14:paraId="6FFF2A3F"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Dział II: SPECYFIKACJE DOTYCZĄCE WYRAŻANIA WYMAGAŃ W ZAKRESIE ENERGII I OCHRONY ŚRODOWISKA (art. 8-18)</w:t>
      </w:r>
    </w:p>
    <w:p w14:paraId="2B04B68A"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Dział III: CHARAKTERYSTYKA CIEPLNA I WYMAGANIA DOTYCZĄCE ŚRODKÓW (DLA KAŻDEGO ELEMENTU) (art. 19-40)</w:t>
      </w:r>
    </w:p>
    <w:p w14:paraId="6EDB8527"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Dział IV: WNIOSEK DOTYCZĄCY UPROSZCZONYCH METOD STOSOWANIA W POSZCZEGÓLNYCH DOMACH (art. 41-42)</w:t>
      </w:r>
    </w:p>
    <w:p w14:paraId="76900BC5"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Dział V PRZYPADKI SPECJALNE (art. 43-44)</w:t>
      </w:r>
    </w:p>
    <w:p w14:paraId="0F208645"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Dział VI: INNE PRZEPISY (art. 45-52)</w:t>
      </w:r>
    </w:p>
    <w:p w14:paraId="6DCBC8B9"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Załącznik</w:t>
      </w:r>
    </w:p>
    <w:p w14:paraId="3DE0623C" w14:textId="76E7DCBD"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Zainteresowane społeczności: właściciele, wykonawcy, budowniczowie i deweloperzy, architekci, konsultanci ds. ogrzewania i ochrony środowiska, ekonomiści budowlani, inspektorzy techniczni, firmy budowlane, producenci materiałów budowlanych i systemów technicznych budynków, dostawcy energii we Francji metropolitalnej, edytorzy oprogramowania. </w:t>
      </w:r>
      <w:r>
        <w:rPr>
          <w:rFonts w:ascii="Times New Roman" w:hAnsi="Times New Roman"/>
          <w:sz w:val="24"/>
        </w:rPr>
        <w:br/>
        <w:t xml:space="preserve">Cel: do nowych budynków i rozbudowy budynków we Francji metropolitalnej, ustalenie wymagań dotyczących ich charakterystyki energetycznej i środowiskowej; precyzja ustalania ich efektywności energetycznej i środowiskowej; ustalenie metody obliczania ich charakterystyki energetycznej i środowiskowej. </w:t>
      </w:r>
      <w:r>
        <w:rPr>
          <w:rFonts w:ascii="Times New Roman" w:hAnsi="Times New Roman"/>
          <w:sz w:val="24"/>
        </w:rPr>
        <w:br/>
        <w:t xml:space="preserve">Wejście w życie: wymogi te, jak również metodę obliczania, stosuje się od dnia 1 stycznia 2022 r. do budowy budynków lub części budynków przeznaczonych do użytku mieszkaniowego, a od dnia 1 lipca 2022 r. do budowy budynków lub części budynków przeznaczonych do celów biurowych lub do celów kształcenia podstawowego lub średniego. Mają one również zastosowanie do tymczasowych konstrukcji i rozbudowy, w zależności od ich powierzchni, wykorzystywanych do tych samych celów od dnia 1 stycznia 2023 r. Wymogi te mają również zastosowanie do konstrukcji, w tym tych, które nie wymagają pozwolenia na budowę lub wcześniejszego zgłoszenia. </w:t>
      </w:r>
      <w:r>
        <w:rPr>
          <w:rFonts w:ascii="Times New Roman" w:hAnsi="Times New Roman"/>
          <w:sz w:val="24"/>
        </w:rPr>
        <w:br/>
        <w:t xml:space="preserve">Uwaga: w niniejszym rozporządzeniu określono wymogi dotyczące zasobów (lub ich poszczególnych elementów), które muszą spełniać wyżej wymienione budynki położone we Francji metropolitalnej. Określa sposób ustalenia następujących pięciu (lub ogólnych) wymagań dotyczących wyników: (1) optymalizacja projektu energetycznego budynku niezależnie od wdrożonych systemów energetycznych; (2) ograniczenie zużycia energii pierwotnej, (3) ograniczenie wpływu na zmiany klimatu związane z tym zużyciem; (4) ograniczenie wpływu elementów budynku na zmianę klimatu; (5) ograniczenie poczucia dyskomfortu w budynku w okresie letnim. Wreszcie w rozporządzeniu ustanawia się metodę obliczania charakterystyki energetycznej i środowiskowej budynków mieszkalnych, biurowych lub placówek szkolnictwa podstawowego lub średniego we Francji metropolitalnej z wykorzystaniem trzech załączników: </w:t>
      </w:r>
      <w:r>
        <w:rPr>
          <w:rFonts w:ascii="Times New Roman" w:hAnsi="Times New Roman"/>
          <w:sz w:val="24"/>
        </w:rPr>
        <w:br/>
      </w:r>
      <w:r w:rsidR="00593C75">
        <w:rPr>
          <w:rFonts w:ascii="Times New Roman" w:hAnsi="Times New Roman"/>
          <w:sz w:val="24"/>
        </w:rPr>
        <w:t xml:space="preserve">- ZAŁĄCZNIK </w:t>
      </w:r>
      <w:r>
        <w:rPr>
          <w:rFonts w:ascii="Times New Roman" w:hAnsi="Times New Roman"/>
          <w:sz w:val="24"/>
        </w:rPr>
        <w:t xml:space="preserve">II: Ogólne zasady obliczania charakterystyki energetycznej i środowiskowej </w:t>
      </w:r>
      <w:r>
        <w:rPr>
          <w:rFonts w:ascii="Times New Roman" w:hAnsi="Times New Roman"/>
          <w:sz w:val="24"/>
        </w:rPr>
        <w:br/>
      </w:r>
      <w:r w:rsidR="00593C75">
        <w:rPr>
          <w:rFonts w:ascii="Times New Roman" w:hAnsi="Times New Roman"/>
          <w:sz w:val="24"/>
        </w:rPr>
        <w:t xml:space="preserve">- ZAŁĄCZNIK </w:t>
      </w:r>
      <w:r>
        <w:rPr>
          <w:rFonts w:ascii="Times New Roman" w:hAnsi="Times New Roman"/>
          <w:sz w:val="24"/>
        </w:rPr>
        <w:t xml:space="preserve">III: Metoda obliczeniowa „Th-EBC 2020”, określająca zasady obliczania </w:t>
      </w:r>
      <w:r>
        <w:rPr>
          <w:rFonts w:ascii="Times New Roman" w:hAnsi="Times New Roman"/>
          <w:sz w:val="24"/>
        </w:rPr>
        <w:lastRenderedPageBreak/>
        <w:t xml:space="preserve">charakterystyki energetycznej; </w:t>
      </w:r>
      <w:r>
        <w:rPr>
          <w:rFonts w:ascii="Times New Roman" w:hAnsi="Times New Roman"/>
          <w:sz w:val="24"/>
        </w:rPr>
        <w:br/>
      </w:r>
      <w:r w:rsidR="00593C75">
        <w:rPr>
          <w:rFonts w:ascii="Times New Roman" w:hAnsi="Times New Roman"/>
          <w:sz w:val="24"/>
        </w:rPr>
        <w:t xml:space="preserve">- </w:t>
      </w:r>
      <w:r>
        <w:rPr>
          <w:rFonts w:ascii="Times New Roman" w:hAnsi="Times New Roman"/>
          <w:sz w:val="24"/>
        </w:rPr>
        <w:t xml:space="preserve">ZAŁĄCZNIK IV: Zasady „Th-Bat 2020” umożliwiające ustalenie danych wejściowych do obliczeń charakterystyki energetycznej </w:t>
      </w:r>
      <w:r>
        <w:rPr>
          <w:rFonts w:ascii="Times New Roman" w:hAnsi="Times New Roman"/>
          <w:sz w:val="24"/>
        </w:rPr>
        <w:br/>
        <w:t xml:space="preserve">Odniesienia: pisemny tekst zmieniony niniejszym rozporządzeniem jest dostępny na stronie internetowej Légifrance (www.legifrance.gouv.fr). </w:t>
      </w:r>
    </w:p>
    <w:p w14:paraId="6425698B"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ds. Przemian Ekologicznych oraz Minister Delegowany ds. Przemian Ekologicznych, właściwy do spraw mieszkalnictwa, uwzględniając dyrektywę Parlamentu Europejskiego i Rady 2010/31/UE z dnia 19 maja 2010 r. w sprawie charakterystyki energetycznej budynków, zmienioną dyrektywą Parlamentu Europejskiego i Rady 2018/844 z dnia 30 maja 2018 r., w szczególności jej art. 3,</w:t>
      </w:r>
      <w:r>
        <w:rPr>
          <w:rFonts w:ascii="Times New Roman" w:hAnsi="Times New Roman"/>
          <w:sz w:val="24"/>
        </w:rPr>
        <w:br/>
        <w:t>uwzględniając dyrektywę (UE) 2015/1535 Parlamentu Europejskiego i Rady z dnia 9 września 2015 r. ustanawiającą procedurę udzielania informacji w dziedzinie przepisów technicznych oraz zasad dotyczących usług społeczeństwa informacyjnego (tekst jednolity),</w:t>
      </w:r>
      <w:r>
        <w:rPr>
          <w:rFonts w:ascii="Times New Roman" w:hAnsi="Times New Roman"/>
          <w:sz w:val="24"/>
        </w:rPr>
        <w:br/>
        <w:t>uwzględniając Kodeks Budowlany i Mieszkaniowy, w szczególności jego art. L. 181-1, R. 172-1 do R. 172-9 i R. 126-16,</w:t>
      </w:r>
      <w:r>
        <w:rPr>
          <w:rFonts w:ascii="Times New Roman" w:hAnsi="Times New Roman"/>
          <w:sz w:val="24"/>
        </w:rPr>
        <w:br/>
        <w:t>uwzględniając Kodeks Energetyczny, w szczególności artykuły R. 241-26 i R. 241-30,</w:t>
      </w:r>
      <w:r>
        <w:rPr>
          <w:rFonts w:ascii="Times New Roman" w:hAnsi="Times New Roman"/>
          <w:sz w:val="24"/>
        </w:rPr>
        <w:br/>
        <w:t>uwzględniając kodeks urbanistyki, w szczególności jego artykuły L. 151-19, R*. 421-2 i R*. 421-5,</w:t>
      </w:r>
      <w:r>
        <w:rPr>
          <w:rFonts w:ascii="Times New Roman" w:hAnsi="Times New Roman"/>
          <w:sz w:val="24"/>
        </w:rPr>
        <w:br/>
        <w:t>uwzględniając rozporządzenie z dnia 3 maja 2007 r. w sprawie charakterystyki cieplnej i charakterystyki energetycznej istniejących budynków, zawierające wykaz wszystkich przedmiotowych robót oraz określające związane z nimi wymogi, zmienione rozporządzeniem z dnia 22 marca 2017 r.,</w:t>
      </w:r>
      <w:r>
        <w:rPr>
          <w:rFonts w:ascii="Times New Roman" w:hAnsi="Times New Roman"/>
          <w:sz w:val="24"/>
        </w:rPr>
        <w:br/>
        <w:t>uwzględniając rozporządzenie z dnia 13 czerwca 2008 r. w sprawie charakterystyki energetycznej budynków istniejących o powierzchni przekraczającej 1000 m², poddawanych większym remontom,</w:t>
      </w:r>
      <w:r>
        <w:rPr>
          <w:rFonts w:ascii="Times New Roman" w:hAnsi="Times New Roman"/>
          <w:sz w:val="24"/>
        </w:rPr>
        <w:br/>
        <w:t>uwzględniając rozporządzenie z dnia 26 października 2010 r. w sprawie charakterystyki cieplnej i wymagań dotyczących wydajności energetycznej nowych budynków i nowych części budynków,</w:t>
      </w:r>
      <w:r>
        <w:rPr>
          <w:rFonts w:ascii="Times New Roman" w:hAnsi="Times New Roman"/>
          <w:sz w:val="24"/>
        </w:rPr>
        <w:br/>
        <w:t>uwzględniając rozporządzenie z dnia 28 grudnia 2012 r. w sprawie charakterystyki cieplnej i wymogów w zakresie efektywności energetycznej i środowiskowej nowych budynków i nowych części budynków innych niż te, o których mowa w art. 2 dekretu z dnia 26 października 2010 r. w sprawie charakterystyki cieplnej i charakterystyki energetycznej budynków,</w:t>
      </w:r>
      <w:r>
        <w:rPr>
          <w:rFonts w:ascii="Times New Roman" w:hAnsi="Times New Roman"/>
          <w:sz w:val="24"/>
        </w:rPr>
        <w:br/>
        <w:t>uwzględniając opinię Wysokiej Rady ds. Energii z dnia 25 marca 2021 r.,</w:t>
      </w:r>
      <w:r>
        <w:rPr>
          <w:rFonts w:ascii="Times New Roman" w:hAnsi="Times New Roman"/>
          <w:sz w:val="24"/>
        </w:rPr>
        <w:br/>
        <w:t>uwzględniając opinię Wysokiej Rady ds. Budownictwa i Efektywności Energetycznej z dnia 13 kwietnia 2021 r.,</w:t>
      </w:r>
      <w:r>
        <w:rPr>
          <w:rFonts w:ascii="Times New Roman" w:hAnsi="Times New Roman"/>
          <w:sz w:val="24"/>
        </w:rPr>
        <w:br/>
        <w:t>uwzględniając opinie Krajowej Rady ds. Oceny Norm z dnia 1 kwietnia i 6 maja 2021 r.,</w:t>
      </w:r>
      <w:r>
        <w:rPr>
          <w:rFonts w:ascii="Times New Roman" w:hAnsi="Times New Roman"/>
          <w:sz w:val="24"/>
        </w:rPr>
        <w:br/>
        <w:t>uwzględniając notyfikacje nr 2020/791/F i 2020/792/F przesłane Komisji Europejskiej w dniu 14 grudnia 2020 r. oraz odpowiedź Komisji z dnia 15 czerwca 2021 r.,</w:t>
      </w:r>
      <w:r>
        <w:rPr>
          <w:rFonts w:ascii="Times New Roman" w:hAnsi="Times New Roman"/>
          <w:sz w:val="24"/>
        </w:rPr>
        <w:br/>
        <w:t>uwzględniając uwagi zgłoszone podczas konsultacji społecznych przeprowadzonych w dniach od 23 marca 2021 r. do 13 kwietnia 2021 r., w zastosowaniu art. L. 123-19-1 kodeksu środowiska,</w:t>
      </w:r>
      <w:r>
        <w:rPr>
          <w:rFonts w:ascii="Times New Roman" w:hAnsi="Times New Roman"/>
          <w:sz w:val="24"/>
        </w:rPr>
        <w:br/>
        <w:t xml:space="preserve"> rozporządza co następuje:</w:t>
      </w:r>
    </w:p>
    <w:p w14:paraId="0A4ED9D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Dział I: PRZEPISY OGÓLNE (art. 1-7)</w:t>
      </w:r>
    </w:p>
    <w:p w14:paraId="0E0870AB"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I: ZAKRES STOSOWANIA (art. 1-2)</w:t>
      </w:r>
    </w:p>
    <w:p w14:paraId="74D6F5E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Artykuł 1</w:t>
      </w:r>
    </w:p>
    <w:p w14:paraId="75A3CDE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Przepisy niniejszego rozporządzenia mają zastosowanie do budowy budynków i ich części o przeznaczeniu mieszkalnym, biurowym i szkolnictwa podstawowego lub średniego, które podlegają przepisom art. R. 172-1 Kodeksu budowlanego i mieszkaniowego, a także do budowy parkingów związanych z tymi budowlami.</w:t>
      </w:r>
      <w:r>
        <w:rPr>
          <w:rFonts w:ascii="Times New Roman" w:hAnsi="Times New Roman"/>
          <w:sz w:val="24"/>
        </w:rPr>
        <w:br/>
        <w:t>Nie mają one zastosowania do budynków położonych na Gwadelupie, Gujanie, Martynice, Reunion i Majotcie.</w:t>
      </w:r>
    </w:p>
    <w:p w14:paraId="281FA31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w:t>
      </w:r>
    </w:p>
    <w:p w14:paraId="60C0606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Część budynku można przystosować do jego głównego przeznaczenia stosując związane z tym wymagania, jeżeli spełnione są łącznie następujące warunki:</w:t>
      </w:r>
    </w:p>
    <w:p w14:paraId="4F4022D8" w14:textId="095F587A"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616FE3">
        <w:rPr>
          <w:rFonts w:ascii="Times New Roman" w:hAnsi="Times New Roman"/>
          <w:sz w:val="24"/>
        </w:rPr>
        <w:t>-</w:t>
      </w:r>
      <w:r>
        <w:rPr>
          <w:rFonts w:ascii="Times New Roman" w:hAnsi="Times New Roman"/>
          <w:sz w:val="24"/>
        </w:rPr>
        <w:t xml:space="preserve"> powierzchnia referencyjna części przedmiotowego budynku wynosi mniej niż 150 m² i mniej niż 10% powierzchni referencyjnej głównego przeznaczenia budynku;</w:t>
      </w:r>
      <w:r>
        <w:rPr>
          <w:rFonts w:ascii="Times New Roman" w:hAnsi="Times New Roman"/>
          <w:sz w:val="24"/>
        </w:rPr>
        <w:br/>
      </w:r>
      <w:r w:rsidR="00616FE3">
        <w:rPr>
          <w:rFonts w:ascii="Times New Roman" w:hAnsi="Times New Roman"/>
          <w:sz w:val="24"/>
        </w:rPr>
        <w:t>-</w:t>
      </w:r>
      <w:r>
        <w:rPr>
          <w:rFonts w:ascii="Times New Roman" w:hAnsi="Times New Roman"/>
          <w:sz w:val="24"/>
        </w:rPr>
        <w:t xml:space="preserve"> część budynku odpowiadająca głównemu przeznaczeniu podlega niniejszemu rozporządzeniu lub wyżej wymienionemu rozporządzeniu z dnia 26 października 2010 r., lub wyżej wymienionemu rozporządzeniu z dnia 28 grudnia 2012 r.</w:t>
      </w:r>
    </w:p>
    <w:p w14:paraId="6A858BD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Część budynku wykorzystywana jako pojedynczy dom nie można być przystosowana do innego przeznaczenia.</w:t>
      </w:r>
      <w:r>
        <w:rPr>
          <w:rFonts w:ascii="Times New Roman" w:hAnsi="Times New Roman"/>
          <w:sz w:val="24"/>
        </w:rPr>
        <w:br/>
        <w:t>Obszar referencyjny budynku, oznaczony jako SREF, jest określony w rozdziale I X załącznika do art. R. 172-4 kodeksu budowlanego i mieszkaniowego. O ile nie określono inaczej, dotyczy to powierzchni użytkowanej, o której mowa w niniejszym rozporządzeniu.</w:t>
      </w:r>
    </w:p>
    <w:p w14:paraId="20537D7F"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II: PROCEDURY DOTYCZĄCE OKRESOWEGO ZASTOSOWANIA (art. 3)</w:t>
      </w:r>
    </w:p>
    <w:p w14:paraId="3E022D4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w:t>
      </w:r>
    </w:p>
    <w:p w14:paraId="7490DDB4" w14:textId="2B3B9361"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616FE3">
        <w:rPr>
          <w:rFonts w:ascii="Times New Roman" w:hAnsi="Times New Roman"/>
          <w:sz w:val="24"/>
        </w:rPr>
        <w:t>-</w:t>
      </w:r>
      <w:r>
        <w:rPr>
          <w:rFonts w:ascii="Times New Roman" w:hAnsi="Times New Roman"/>
          <w:sz w:val="24"/>
        </w:rPr>
        <w:t xml:space="preserve"> Zgodnie z art. R. 172-1 pkt II kodeksu budowlanego i mieszkaniowego przepisy niniejszego rozporządzenia stosują się dopiero od dnia 1 stycznia 2023 r. do niewielkich mieszkań rekreacyjnych w rozumieniu art. R.* 421-2 kodeksu urbanistyki oraz do konstrukcji tymczasowych w rozumieniu art. R.* 421-5 tego samego kodeksu.</w:t>
      </w:r>
      <w:r>
        <w:rPr>
          <w:rFonts w:ascii="Times New Roman" w:hAnsi="Times New Roman"/>
          <w:sz w:val="24"/>
        </w:rPr>
        <w:br/>
        <w:t xml:space="preserve">II. </w:t>
      </w:r>
      <w:r w:rsidR="00126E24">
        <w:rPr>
          <w:rFonts w:ascii="Times New Roman" w:hAnsi="Times New Roman"/>
          <w:sz w:val="24"/>
        </w:rPr>
        <w:t>-</w:t>
      </w:r>
      <w:r>
        <w:rPr>
          <w:rFonts w:ascii="Times New Roman" w:hAnsi="Times New Roman"/>
          <w:sz w:val="24"/>
        </w:rPr>
        <w:t xml:space="preserve"> Zgodnie z art. R. 172-3 kodeksu budowlanego i mieszkaniowego przepisy niniejszego rozporządzenia stosuje się dopiero od dnia 1 stycznia 2023 r. do:</w:t>
      </w:r>
    </w:p>
    <w:p w14:paraId="74963075" w14:textId="4C2AB633"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616FE3">
        <w:rPr>
          <w:rFonts w:ascii="Times New Roman" w:hAnsi="Times New Roman"/>
          <w:sz w:val="24"/>
        </w:rPr>
        <w:t>-</w:t>
      </w:r>
      <w:r>
        <w:rPr>
          <w:rFonts w:ascii="Times New Roman" w:hAnsi="Times New Roman"/>
          <w:sz w:val="24"/>
        </w:rPr>
        <w:t xml:space="preserve"> budynków i rozbudowy budynków o powierzchni referencyjnej mniejszej niż 50 m²;</w:t>
      </w:r>
      <w:r>
        <w:rPr>
          <w:rFonts w:ascii="Times New Roman" w:hAnsi="Times New Roman"/>
          <w:sz w:val="24"/>
        </w:rPr>
        <w:br/>
      </w:r>
      <w:r w:rsidR="00616FE3">
        <w:rPr>
          <w:rFonts w:ascii="Times New Roman" w:hAnsi="Times New Roman"/>
          <w:sz w:val="24"/>
        </w:rPr>
        <w:t>-</w:t>
      </w:r>
      <w:r>
        <w:rPr>
          <w:rFonts w:ascii="Times New Roman" w:hAnsi="Times New Roman"/>
          <w:sz w:val="24"/>
        </w:rPr>
        <w:t xml:space="preserve"> rozbudowy domów wolnostojących lub połączonych o powierzchni referencyjnej </w:t>
      </w:r>
      <w:r>
        <w:rPr>
          <w:rFonts w:ascii="Times New Roman" w:hAnsi="Times New Roman"/>
          <w:sz w:val="24"/>
        </w:rPr>
        <w:lastRenderedPageBreak/>
        <w:t>dokładnie od 50 m² do 100 m²;</w:t>
      </w:r>
      <w:r>
        <w:rPr>
          <w:rFonts w:ascii="Times New Roman" w:hAnsi="Times New Roman"/>
          <w:sz w:val="24"/>
        </w:rPr>
        <w:br/>
      </w:r>
      <w:r w:rsidR="00616FE3">
        <w:rPr>
          <w:rFonts w:ascii="Times New Roman" w:hAnsi="Times New Roman"/>
          <w:sz w:val="24"/>
        </w:rPr>
        <w:t>-</w:t>
      </w:r>
      <w:r>
        <w:rPr>
          <w:rFonts w:ascii="Times New Roman" w:hAnsi="Times New Roman"/>
          <w:sz w:val="24"/>
        </w:rPr>
        <w:t xml:space="preserve"> rozbudowy z przeznaczeniem innym niż domy wolnostojące o powierzchni referencyjnej mniejszej niż 150 m² i 30% powierzchni referencyjnej istniejącego obiektu.</w:t>
      </w:r>
    </w:p>
    <w:p w14:paraId="40CDF24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Do tych budynków do dnia 31 grudnia 2022 r. zastosowanie mają wyłącznie przepisy ww. rozporządzenia z dnia 26 października 2010 r.</w:t>
      </w:r>
    </w:p>
    <w:p w14:paraId="37D3D4A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III: DEFINICJE (art. 4)</w:t>
      </w:r>
    </w:p>
    <w:p w14:paraId="5490C143"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4</w:t>
      </w:r>
    </w:p>
    <w:p w14:paraId="5052F796" w14:textId="3C3F2534"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Terminy niezbędne do zrozumienia niniejszego rozporządzenia zdefiniowane są w załączniku I. Wskaźniki Bbio, Cep, Cep, nr, Icenergy, Icbuilding, DH, Icbuilding, StockC, Ic Construction i Icded, jak również maksymalne wartości Bbio_max, Cep_max, Cep, nr_max, Icenergy_max, Icbuilding_max i DH_max, o których mowa w niniejszym rozporządzeniu, są określone w rozdziale I do IX załącznika do art. R. 172-4 kodeksu budowlanego i mieszkaniowego.</w:t>
      </w:r>
    </w:p>
    <w:p w14:paraId="19F123F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IV: WYMAGANIA DOTYCZĄCE CHARAKTERYSTYKI ENERGETYCZNEJ I ŚRODOWISKOWEJ ORAZ MINIMALNE CHARAKTERYSTYKI TECHNICZNE (art. 5-7)</w:t>
      </w:r>
    </w:p>
    <w:p w14:paraId="52FC7DF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5</w:t>
      </w:r>
    </w:p>
    <w:p w14:paraId="3B7A178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Budynki lub części budynków podlegające niniejszemu rozporządzeniu spełniają wymogi określone w art. R. 172-4 kodeksu budowlanego i mieszkaniowego i określone zgodnie z procedurami wskazanymi w załączniku do tego artykułu oraz w art. 8 niniejszego rozporządzenia.</w:t>
      </w:r>
    </w:p>
    <w:p w14:paraId="55E6180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6</w:t>
      </w:r>
    </w:p>
    <w:p w14:paraId="7734609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Minimalne właściwości techniczne niektórych elementów lub zespołów budynków objętych niniejszym rozporządzeniem muszą być zgodne z wymogami określonymi w dziale III niniejszego rozporządzenia.</w:t>
      </w:r>
    </w:p>
    <w:p w14:paraId="2F6971F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7</w:t>
      </w:r>
    </w:p>
    <w:p w14:paraId="7B46021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Budynki, których cechy są zgodne z uproszczonymi metodami składania wniosków, zatwierdzonymi zgodnie z warunkami opisanymi w dziale IV niniejszego rozporządzenia, uznaje się za zgodne z wymogami niniejszego rozporządzenia.</w:t>
      </w:r>
    </w:p>
    <w:p w14:paraId="47CB4C1A"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Dział II: SPECYFIKACJE DOTYCZĄCE WYRAŻANIA WYMAGAŃ W ZAKRESIE ENERGII I OCHRONY ŚRODOWISKA (art. 8-18)</w:t>
      </w:r>
    </w:p>
    <w:p w14:paraId="5D33652C"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lastRenderedPageBreak/>
        <w:t>Rozdział V: OCENA ZGODNOŚCI Z WYMOGAMI (art. 8-17)</w:t>
      </w:r>
    </w:p>
    <w:p w14:paraId="17BD402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8</w:t>
      </w:r>
    </w:p>
    <w:p w14:paraId="5251B7C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Zatwierdza się sposób obliczania określony w załącznikach od II do IV do niniejszego rozporządzenia i przewidziany w art. R. 172-6 kodeksu budowlanego i mieszkaniowego.</w:t>
      </w:r>
      <w:r>
        <w:rPr>
          <w:rFonts w:ascii="Times New Roman" w:hAnsi="Times New Roman"/>
          <w:sz w:val="24"/>
        </w:rPr>
        <w:br/>
        <w:t>Zgodnie z ust. I tego artykułu, metoda obliczeniowa określa charakterystykę energetyczną i środowiskową budynku ze szczególnym uwzględnieniem wskaźników opisanych w punktach I-IX rozdziału I załącznika do art. R. 172-4 tego kodeksu w oparciu o charakterystykę budynku i jego części składowych.</w:t>
      </w:r>
      <w:r>
        <w:rPr>
          <w:rFonts w:ascii="Times New Roman" w:hAnsi="Times New Roman"/>
          <w:sz w:val="24"/>
        </w:rPr>
        <w:br/>
        <w:t>W szczególności:</w:t>
      </w:r>
    </w:p>
    <w:p w14:paraId="240366CB" w14:textId="137B9649"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605054">
        <w:rPr>
          <w:rFonts w:ascii="Times New Roman" w:hAnsi="Times New Roman"/>
          <w:sz w:val="24"/>
        </w:rPr>
        <w:t>-</w:t>
      </w:r>
      <w:r>
        <w:rPr>
          <w:rFonts w:ascii="Times New Roman" w:hAnsi="Times New Roman"/>
          <w:sz w:val="24"/>
        </w:rPr>
        <w:t xml:space="preserve"> wskaźniki te oblicza się z naciskiem na konwencjonalne dane klimatyczne i dane dotyczące intensywności użytkowania ;</w:t>
      </w:r>
      <w:r>
        <w:rPr>
          <w:rFonts w:ascii="Times New Roman" w:hAnsi="Times New Roman"/>
          <w:sz w:val="24"/>
        </w:rPr>
        <w:br/>
      </w:r>
      <w:r w:rsidR="00605054">
        <w:rPr>
          <w:rFonts w:ascii="Times New Roman" w:hAnsi="Times New Roman"/>
          <w:sz w:val="24"/>
        </w:rPr>
        <w:t>-</w:t>
      </w:r>
      <w:r>
        <w:rPr>
          <w:rFonts w:ascii="Times New Roman" w:hAnsi="Times New Roman"/>
          <w:sz w:val="24"/>
        </w:rPr>
        <w:t xml:space="preserve"> wskaźniki Bbio, Cep, nr i Cep oblicza się w ciągu jednego roku;</w:t>
      </w:r>
      <w:r>
        <w:rPr>
          <w:rFonts w:ascii="Times New Roman" w:hAnsi="Times New Roman"/>
          <w:sz w:val="24"/>
        </w:rPr>
        <w:br/>
      </w:r>
      <w:r w:rsidR="00605054">
        <w:rPr>
          <w:rFonts w:ascii="Times New Roman" w:hAnsi="Times New Roman"/>
          <w:sz w:val="24"/>
        </w:rPr>
        <w:t>-</w:t>
      </w:r>
      <w:r>
        <w:rPr>
          <w:rFonts w:ascii="Times New Roman" w:hAnsi="Times New Roman"/>
          <w:sz w:val="24"/>
        </w:rPr>
        <w:t xml:space="preserve"> wskaźniki wpływu na zmiany klimatu: Icenergy, Icbuilding i Icbuilding oblicza się z zastosowaniem współczynników określonych w art. 11, przy czym długość życia budynku wynosi 50 lat, umownie;</w:t>
      </w:r>
      <w:r>
        <w:rPr>
          <w:rFonts w:ascii="Times New Roman" w:hAnsi="Times New Roman"/>
          <w:sz w:val="24"/>
        </w:rPr>
        <w:br/>
      </w:r>
      <w:r w:rsidR="00605054">
        <w:rPr>
          <w:rFonts w:ascii="Times New Roman" w:hAnsi="Times New Roman"/>
          <w:sz w:val="24"/>
        </w:rPr>
        <w:t>-</w:t>
      </w:r>
      <w:r>
        <w:rPr>
          <w:rFonts w:ascii="Times New Roman" w:hAnsi="Times New Roman"/>
          <w:sz w:val="24"/>
        </w:rPr>
        <w:t xml:space="preserve"> obliczenie wskaźnika Cep, nr uwzględnia współczynniki określone w art. 9;</w:t>
      </w:r>
      <w:r>
        <w:rPr>
          <w:rFonts w:ascii="Times New Roman" w:hAnsi="Times New Roman"/>
          <w:sz w:val="24"/>
        </w:rPr>
        <w:br/>
      </w:r>
      <w:r w:rsidR="00605054">
        <w:rPr>
          <w:rFonts w:ascii="Times New Roman" w:hAnsi="Times New Roman"/>
          <w:sz w:val="24"/>
        </w:rPr>
        <w:t>-</w:t>
      </w:r>
      <w:r>
        <w:rPr>
          <w:rFonts w:ascii="Times New Roman" w:hAnsi="Times New Roman"/>
          <w:sz w:val="24"/>
        </w:rPr>
        <w:t xml:space="preserve"> obliczenie wskaźnika Cep uwzględnia współczynniki określone w art. 9;</w:t>
      </w:r>
      <w:r>
        <w:rPr>
          <w:rFonts w:ascii="Times New Roman" w:hAnsi="Times New Roman"/>
          <w:sz w:val="24"/>
        </w:rPr>
        <w:br/>
      </w:r>
      <w:r w:rsidR="00605054">
        <w:rPr>
          <w:rFonts w:ascii="Times New Roman" w:hAnsi="Times New Roman"/>
          <w:sz w:val="24"/>
        </w:rPr>
        <w:t>-</w:t>
      </w:r>
      <w:r>
        <w:rPr>
          <w:rFonts w:ascii="Times New Roman" w:hAnsi="Times New Roman"/>
          <w:sz w:val="24"/>
        </w:rPr>
        <w:t xml:space="preserve"> obliczenie wskaźnika Icenergy uwzględnia współczynniki określone w art. 10.</w:t>
      </w:r>
    </w:p>
    <w:p w14:paraId="318B4101"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9</w:t>
      </w:r>
    </w:p>
    <w:p w14:paraId="4649933D" w14:textId="1EC89DE9"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3E656B">
        <w:rPr>
          <w:rFonts w:ascii="Times New Roman" w:hAnsi="Times New Roman"/>
          <w:sz w:val="24"/>
        </w:rPr>
        <w:t>-</w:t>
      </w:r>
      <w:r>
        <w:rPr>
          <w:rFonts w:ascii="Times New Roman" w:hAnsi="Times New Roman"/>
          <w:sz w:val="24"/>
        </w:rPr>
        <w:t xml:space="preserve"> Współczynniki przekształcenia energii wprowadzanej do budynku jako nieodnawialna energia pierwotna stosuje się przy określaniu wskaźnika Cep, nr opisanego w niniejszym rozporządzeniu i przyjmuje się umownie jako równe: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4"/>
        <w:gridCol w:w="5792"/>
      </w:tblGrid>
      <w:tr w:rsidR="001E2566" w:rsidRPr="001E2566" w14:paraId="03A442A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A256C4"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Rodzaj energii pobieranej przez budynek</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75B3E"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Współczynniki przekształcenia energii wprowadzanej do budynku jako nieodnawialna energia pierwotna</w:t>
            </w:r>
          </w:p>
        </w:tc>
      </w:tr>
      <w:tr w:rsidR="001E2566" w:rsidRPr="001E2566" w14:paraId="02F9CD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9DAE1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Drewno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BEB9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5071D2D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5847E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elektryczna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B1F0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6B34C0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B25BA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Sieć ciepłownicza (ogrzewanie)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2A51B" w14:textId="6DF71DD3"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1 </w:t>
            </w:r>
            <w:r w:rsidR="00D967A2">
              <w:rPr>
                <w:rFonts w:ascii="Times New Roman" w:hAnsi="Times New Roman"/>
                <w:sz w:val="24"/>
              </w:rPr>
              <w:t>-</w:t>
            </w:r>
            <w:r>
              <w:rPr>
                <w:rFonts w:ascii="Times New Roman" w:hAnsi="Times New Roman"/>
                <w:sz w:val="24"/>
              </w:rPr>
              <w:t xml:space="preserve"> Współczynnik odzysku energii ze źródeł odnawialnych lub sieci (ciepło)</w:t>
            </w:r>
          </w:p>
        </w:tc>
      </w:tr>
      <w:tr w:rsidR="001E2566" w:rsidRPr="001E2566" w14:paraId="11E3C0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C2D68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Sieć ciepłownicza (chłodzenie)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C5FC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1879306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59A24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Metan (naturalny) z sieci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2B29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5423AE2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43B7E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Energia odnawialna pozyskana w budynku lub na działce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531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5D18966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DC2AF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Inne źródła energii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0CB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134DC3EF" w14:textId="2D3CA793"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Współczynnik odzysku energii ze źródeł odnawialnych lub miejskiej sieci grzewczej określa się w kolejności dla każdej istniejącej infrastruktury.</w:t>
      </w:r>
      <w:r>
        <w:rPr>
          <w:rFonts w:ascii="Times New Roman" w:hAnsi="Times New Roman"/>
          <w:sz w:val="24"/>
        </w:rPr>
        <w:br/>
        <w:t xml:space="preserve">II. </w:t>
      </w:r>
      <w:r w:rsidR="0078180D">
        <w:rPr>
          <w:rFonts w:ascii="Times New Roman" w:hAnsi="Times New Roman"/>
          <w:sz w:val="24"/>
        </w:rPr>
        <w:t>-</w:t>
      </w:r>
      <w:r>
        <w:rPr>
          <w:rFonts w:ascii="Times New Roman" w:hAnsi="Times New Roman"/>
          <w:sz w:val="24"/>
        </w:rPr>
        <w:t xml:space="preserve"> Przy określaniu wskaźnika Cep stosuje się współczynniki przekształcenia energii wprowadzanej do budynku jako energia pierwotna i przyjmuje się je umownie jako równe: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2"/>
        <w:gridCol w:w="5544"/>
      </w:tblGrid>
      <w:tr w:rsidR="001E2566" w:rsidRPr="001E2566" w14:paraId="7F10621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62603F"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Rodzaj energii pobieranej przez budynek</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3221C"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Współczynniki przekształcenia energii wprowadzanej do budynku jako energia pierwotna</w:t>
            </w:r>
          </w:p>
        </w:tc>
      </w:tr>
      <w:tr w:rsidR="001E2566" w:rsidRPr="001E2566" w14:paraId="2E3006D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90D97D"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Drewno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45A1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3475E90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83E0E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elektryczna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762C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519FACF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797EF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Sieć miejska (ogrzewanie)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7D5B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1E8A945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BB82D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Sieć miejska (chłodzenie)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7E07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3C376AD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98B0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Metan (naturalny) z sieci</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8231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25C777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9D42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odnawialna pozyskana w budynku lub na działce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BC7A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3EAB93A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B283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Inne źródła energii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3C4A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574B6F5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Umownie energia wytworzona przez budynek w imieniu sieci, a także ewentualna ilość energii pobieranej przez budynek w celu wytworzenia tej energii nie mają wpływu na wskaźniki Cep, nr, Cep i Icenergy budynku.</w:t>
      </w:r>
    </w:p>
    <w:p w14:paraId="03FB2D0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10</w:t>
      </w:r>
    </w:p>
    <w:p w14:paraId="55FA556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Przy określaniu wskaźnika Icenergy stosuje się współczynniki przekształcenia energii wprowadzanej do budynku jako ilości emitowanych gazów cieplarnianych i przyjmuje się je umownie jako równe: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65"/>
        <w:gridCol w:w="4891"/>
      </w:tblGrid>
      <w:tr w:rsidR="001E2566" w:rsidRPr="001E2566" w14:paraId="67699F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AA5828"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Rodzaj energii na kWh EF LCV</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E247"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kg ekwiwalentu CO2 na kilowatogodzinę energii końcowej w LCV</w:t>
            </w:r>
          </w:p>
        </w:tc>
      </w:tr>
      <w:tr w:rsidR="001E2566" w:rsidRPr="001E2566" w14:paraId="433A56D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15E61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Drewno, biomasa – zrębki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839B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0,024</w:t>
            </w:r>
          </w:p>
        </w:tc>
      </w:tr>
      <w:tr w:rsidR="001E2566" w:rsidRPr="001E2566" w14:paraId="6FEE872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22C65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Drewno, biomasa – granulki (pellety) lub brykiety</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F7C4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3F76A03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C2DBB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Drewno, biomasa – pień</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32C4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1D8F843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ED6AE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elektryczna do ogrzewania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BACC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0,079</w:t>
            </w:r>
          </w:p>
        </w:tc>
      </w:tr>
      <w:tr w:rsidR="001E2566" w:rsidRPr="001E2566" w14:paraId="0521189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CF0CF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elektryczna do chłodzenia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220C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2BD2419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BA0517"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elektryczna DHW</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23D3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0,065</w:t>
            </w:r>
          </w:p>
        </w:tc>
      </w:tr>
      <w:tr w:rsidR="001E2566" w:rsidRPr="001E2566" w14:paraId="1FB47D15"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2C027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elektryczna do oświetlenia budynków usługowych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6A42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6BB14274"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2F4D7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elektryczna do oświetlenia budynków mieszkalnych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CC3D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0,069</w:t>
            </w:r>
          </w:p>
        </w:tc>
      </w:tr>
      <w:tr w:rsidR="001E2566" w:rsidRPr="001E2566" w14:paraId="25B9B5C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4F3CF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elektryczna do innych zastosowań</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203D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4D1590A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7F845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Metan (naturalny) z sieci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59AE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0,227</w:t>
            </w:r>
          </w:p>
        </w:tc>
      </w:tr>
      <w:tr w:rsidR="001E2566" w:rsidRPr="001E2566" w14:paraId="4269FA7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C0C1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Butan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9E1D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31935C4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BB007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Propan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D055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46FE021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48297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Inne paliwa kopalne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BCF5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0,324</w:t>
            </w:r>
          </w:p>
        </w:tc>
      </w:tr>
    </w:tbl>
    <w:p w14:paraId="19A2084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Współczynnik emisji dla miejskich sieci grzewczych lub chłodniczych jest określony w kolejności dla każdej istniejącej infrastruktury.</w:t>
      </w:r>
    </w:p>
    <w:p w14:paraId="7823D41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11</w:t>
      </w:r>
    </w:p>
    <w:p w14:paraId="118D84A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Współczynniki ważenia stosowane do obliczania wskaźników wpływu na zmianę klimatu Icenergy, Icbuilding i Icbuilding, w zależności od roku emisji i rodzaju emitowanego gazu, uznaje się za równe:</w:t>
      </w:r>
    </w:p>
    <w:p w14:paraId="7D27AB66"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75E75DF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Cały tekst wraz z obrazami z wyciągu z uwierzytelnionego elektronicznego Dziennika Urzędowego można wyświetlić na dole strony.</w:t>
      </w:r>
    </w:p>
    <w:p w14:paraId="480DAF84"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12</w:t>
      </w:r>
    </w:p>
    <w:p w14:paraId="5013377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Oprogramowanie umożliwiające przeprowadzenie całości lub części obliczenia wskaźników opisanych w rozdziale I-IX załącznika do art. R. 172-4 kodeksu budowlanego i mieszkaniowego w celu sprawdzenia zgodności z wyżej wymienionym artykułem i niniejszym rozporządzeniem musi być zgodne z metodą obliczeniową, o której mowa w art. 8.</w:t>
      </w:r>
      <w:r>
        <w:rPr>
          <w:rFonts w:ascii="Times New Roman" w:hAnsi="Times New Roman"/>
          <w:sz w:val="24"/>
        </w:rPr>
        <w:br/>
        <w:t>W tym celu musi ono opierać się na narzędziu obliczeniowym dla wskaźników Bbio, Cep, nr, Cep i DH, udostępnionych na żądanie, zgodnie z art. L. 121-2 kodeksu budowlanego i mieszkaniowego. Aktualizacje tego narzędzia są integrowane w danym oprogramowaniu w ciągu jednego miesiąca od ich wydania.</w:t>
      </w:r>
      <w:r>
        <w:rPr>
          <w:rFonts w:ascii="Times New Roman" w:hAnsi="Times New Roman"/>
          <w:sz w:val="24"/>
        </w:rPr>
        <w:br/>
        <w:t>Wszelkie wykorzystanie regulacyjne tego oprogramowania jest uprzednio zatwierdzane przez Ministra Energii oraz ministra właściwego do spraw budownictwa, w szczególności w celu sprawdzenia, czy uzyskane wyniki są zgodne z metodą obliczeniową oraz czy interfejs wejściowy minimalizuje ryzyko błędów wejściowych modelarza.</w:t>
      </w:r>
      <w:r>
        <w:rPr>
          <w:rFonts w:ascii="Times New Roman" w:hAnsi="Times New Roman"/>
          <w:sz w:val="24"/>
        </w:rPr>
        <w:br/>
        <w:t>Jako środek przejściowy oprogramowanie, które przeprowadziło samokontrolę, może być wykorzystywane do celów regulacyjnych do celów symulacji przeprowadzanych do dnia 30 czerwca 2022 r.</w:t>
      </w:r>
      <w:r>
        <w:rPr>
          <w:rFonts w:ascii="Times New Roman" w:hAnsi="Times New Roman"/>
          <w:sz w:val="24"/>
        </w:rPr>
        <w:br/>
        <w:t>W załączniku V opisano procedury samokontroli oraz procedurę zatwierdzania takiego oprogramowania.</w:t>
      </w:r>
      <w:r>
        <w:rPr>
          <w:rFonts w:ascii="Times New Roman" w:hAnsi="Times New Roman"/>
          <w:sz w:val="24"/>
        </w:rPr>
        <w:br/>
        <w:t>Zatwierdzenie odnawia się po okresowym przeglądzie zgodnie z następującymi warunkami:</w:t>
      </w:r>
    </w:p>
    <w:p w14:paraId="0C449CC4" w14:textId="77FB93FF"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48AB">
        <w:rPr>
          <w:rFonts w:ascii="Times New Roman" w:hAnsi="Times New Roman"/>
          <w:sz w:val="24"/>
        </w:rPr>
        <w:t>-</w:t>
      </w:r>
      <w:r>
        <w:rPr>
          <w:rFonts w:ascii="Times New Roman" w:hAnsi="Times New Roman"/>
          <w:sz w:val="24"/>
        </w:rPr>
        <w:t xml:space="preserve"> okres ważności pierwszej kontroli wynosi dwa lata;</w:t>
      </w:r>
      <w:r>
        <w:rPr>
          <w:rFonts w:ascii="Times New Roman" w:hAnsi="Times New Roman"/>
          <w:sz w:val="24"/>
        </w:rPr>
        <w:br/>
      </w:r>
      <w:r w:rsidR="004F48AB">
        <w:rPr>
          <w:rFonts w:ascii="Times New Roman" w:hAnsi="Times New Roman"/>
          <w:sz w:val="24"/>
        </w:rPr>
        <w:t>-</w:t>
      </w:r>
      <w:r>
        <w:rPr>
          <w:rFonts w:ascii="Times New Roman" w:hAnsi="Times New Roman"/>
          <w:sz w:val="24"/>
        </w:rPr>
        <w:t xml:space="preserve"> okres ważności zatwierdzenia przedłuża się o 5 lat po przeprowadzeniu przeglądu, który nie doprowadził do wykrycia istotnych odstępstw od metody obliczeniowej obowiązującej w momencie przedłożenia dokumentacji przeglądu.</w:t>
      </w:r>
      <w:r>
        <w:rPr>
          <w:rFonts w:ascii="Times New Roman" w:hAnsi="Times New Roman"/>
          <w:sz w:val="24"/>
        </w:rPr>
        <w:br/>
      </w:r>
      <w:r w:rsidR="004F48AB">
        <w:rPr>
          <w:rFonts w:ascii="Times New Roman" w:hAnsi="Times New Roman"/>
          <w:sz w:val="24"/>
        </w:rPr>
        <w:t>-</w:t>
      </w:r>
      <w:r>
        <w:rPr>
          <w:rFonts w:ascii="Times New Roman" w:hAnsi="Times New Roman"/>
          <w:sz w:val="24"/>
        </w:rPr>
        <w:t xml:space="preserve"> okres ważności zatwierdzenia przedłuża się o 2-5 lat po przeprowadzeniu przeglądu, który doprowadził do korekty istotnych odstępstw od metody obliczeniowej obowiązującej w momencie przedłożenia dokumentacji przeglądu.</w:t>
      </w:r>
    </w:p>
    <w:p w14:paraId="3F3EC35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Zatwierdzenie może zostać cofnięte w dowolnym momencie, w szczególności po stwierdzeniu znacznego odchylenia od metody obliczeniowej obowiązującej w momencie obserwacji lub po stwierdzeniu co najmniej trzech awarii w integracji niektórych systemów obecnych w metodzie obliczeniowej obowiązującej w chwili dokonania tego ustalenia.</w:t>
      </w:r>
    </w:p>
    <w:p w14:paraId="65D822DD"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13</w:t>
      </w:r>
    </w:p>
    <w:p w14:paraId="2FBE5EB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Wartości wykorzystane jako dane wejściowe do obliczeń określonych w art. 8 i opisujące charakterystykę geometryczną budynku muszą odpowiadać planom budowy, gdy budynek nie został ukończony lub ilościom faktycznie wykorzystanym po zakończeniu prac.</w:t>
      </w:r>
      <w:r>
        <w:rPr>
          <w:rFonts w:ascii="Times New Roman" w:hAnsi="Times New Roman"/>
          <w:sz w:val="24"/>
        </w:rPr>
        <w:br/>
        <w:t>Długość, strefy lub orientacja budynku i jego elementów składowych stanowią część danych opisujących charakterystykę geometryczną budynku.</w:t>
      </w:r>
    </w:p>
    <w:p w14:paraId="3544519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14</w:t>
      </w:r>
    </w:p>
    <w:p w14:paraId="18FA25A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Wartości wykorzystane jako dane wejściowe do obliczeń określonych w art. 8 i opisujące ilości wyrobów budowlanych lub urządzeń wykorzystywanych w budynku muszą odpowiadać szacunkowym ilościom niezbędnym do budowy budynku, jeżeli nie został on ukończony lub faktycznie wykorzystanych po zakończeniu prac.</w:t>
      </w:r>
    </w:p>
    <w:p w14:paraId="4F82784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15</w:t>
      </w:r>
    </w:p>
    <w:p w14:paraId="5B4D90D0" w14:textId="73875C9F"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4B5AA4">
        <w:rPr>
          <w:rFonts w:ascii="Times New Roman" w:hAnsi="Times New Roman"/>
          <w:sz w:val="24"/>
        </w:rPr>
        <w:t>-</w:t>
      </w:r>
      <w:r>
        <w:rPr>
          <w:rFonts w:ascii="Times New Roman" w:hAnsi="Times New Roman"/>
          <w:sz w:val="24"/>
        </w:rPr>
        <w:t xml:space="preserve"> Wartości wykorzystywane jako dane wejściowe do obliczeń określonych w art. 8 i opisujące charakterystykę cieplną elementów budynku odpowiadają cechom elementów przewidzianych do budowy budynku, jeżeli nie zostały one ukończone, lub cechom elementów faktycznie wykorzystanych po zakończeniu prac.</w:t>
      </w:r>
      <w:r>
        <w:rPr>
          <w:rFonts w:ascii="Times New Roman" w:hAnsi="Times New Roman"/>
          <w:sz w:val="24"/>
        </w:rPr>
        <w:br/>
        <w:t>Te właściwości charakterystyki cieplnej uzyskuje się w następujący sposób dla każdego elementu składowego:</w:t>
      </w:r>
    </w:p>
    <w:p w14:paraId="49B964E9" w14:textId="385A418C"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B5AA4">
        <w:rPr>
          <w:rFonts w:ascii="Times New Roman" w:hAnsi="Times New Roman"/>
          <w:sz w:val="24"/>
        </w:rPr>
        <w:t>-</w:t>
      </w:r>
      <w:r>
        <w:rPr>
          <w:rFonts w:ascii="Times New Roman" w:hAnsi="Times New Roman"/>
          <w:sz w:val="24"/>
        </w:rPr>
        <w:t xml:space="preserve"> jeżeli element jest objęty zharmonizowanymi specyfikacjami technicznymi rozporządzenia nr 305/2001 z dnia 9 marca 2011 r., zharmonizowanymi normami lub europejskimi dokumentami oceny, w którym to przypadku produkty będą opatrzone oznakowaniem CE i jeżeli wartość właściwości cieplnej jest określona w tych specyfikacjach, wówczas wartość tę stosuje się zgodnie z procedurami określonymi w art. 8;</w:t>
      </w:r>
      <w:r>
        <w:rPr>
          <w:rFonts w:ascii="Times New Roman" w:hAnsi="Times New Roman"/>
          <w:sz w:val="24"/>
        </w:rPr>
        <w:br/>
      </w:r>
      <w:r w:rsidR="004B5AA4">
        <w:rPr>
          <w:rFonts w:ascii="Times New Roman" w:hAnsi="Times New Roman"/>
          <w:sz w:val="24"/>
        </w:rPr>
        <w:t>-</w:t>
      </w:r>
      <w:r>
        <w:rPr>
          <w:rFonts w:ascii="Times New Roman" w:hAnsi="Times New Roman"/>
          <w:sz w:val="24"/>
        </w:rPr>
        <w:t xml:space="preserve"> jeżeli nie ma to miejsca, jeżeli właściwości cieplne uzyskuje się poprzez odniesienie do francuskich norm lub opinii technicznych lub równoważnych norm krajowych zaakceptowanych przez państwo członkowskie Unii Europejskiej lub stronę Porozumienia EOG lub przez Turcję, i są wydawane przez niezależną jednostkę trzecią notyfikowaną na mocy dyrektywy 305/2011, uznaną przez państwo członkowskie Unii Europejskiej lub państwo będące stroną Porozumienia ustanawiającego Europejski Obszar Gospodarczy, wartość tę stosuje się zgodnie z procedurami określonymi w art. 8. Korzyść wynikająca z tego przepisu ma zastosowanie wyłącznie w okresie poprzedzającym stosowanie zharmonizowanej normy europejskiej lub europejskiego zatwierdzenia technicznego. Niezależnie od zasad zaokrąglania ustanowionych w ww. różnych normach lub opiniach technicznych, wartość wykorzystana jako dane wejściowe nie może być korzystniejsza niż wartość uzyskana z dokonanego pomiaru.</w:t>
      </w:r>
    </w:p>
    <w:p w14:paraId="6861275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Jeżeli nie jest możliwe uzyskanie wartości charakterystycznej zgodnie z </w:t>
      </w:r>
      <w:r>
        <w:rPr>
          <w:rFonts w:ascii="Times New Roman" w:hAnsi="Times New Roman"/>
          <w:sz w:val="24"/>
        </w:rPr>
        <w:lastRenderedPageBreak/>
        <w:t>powyższymi procedurami, stosuje się wartość domyślną określoną metodą obliczeniową, o której mowa w art. 8 z wyjątkiem domyślnej użytecznej wartości przewodności cieplnej dla izolacji pochodzenia biologicznego, jak określono w załączniku XII do niniejszego rozporządzenia.</w:t>
      </w:r>
      <w:r>
        <w:rPr>
          <w:rFonts w:ascii="Times New Roman" w:hAnsi="Times New Roman"/>
          <w:sz w:val="24"/>
        </w:rPr>
        <w:br/>
        <w:t>II. W przypadku budynków mieszkalnych, w sytuacji, gdy w momencie oddania budynku, niektóre prace instalacyjne systemu energetycznego pozostają wciąż do wykonania, należy stosować domyślne dane zgodnie z metodą określoną w art. 8.</w:t>
      </w:r>
    </w:p>
    <w:p w14:paraId="722E451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16</w:t>
      </w:r>
    </w:p>
    <w:p w14:paraId="741E3895" w14:textId="750BCD2C"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643FEA">
        <w:rPr>
          <w:rFonts w:ascii="Times New Roman" w:hAnsi="Times New Roman"/>
          <w:sz w:val="24"/>
        </w:rPr>
        <w:t>-</w:t>
      </w:r>
      <w:r>
        <w:rPr>
          <w:rFonts w:ascii="Times New Roman" w:hAnsi="Times New Roman"/>
          <w:sz w:val="24"/>
        </w:rPr>
        <w:t xml:space="preserve"> Wartości wykorzystane jako dane wejściowe do obliczenia wskaźników Icbuilding i Icbuilding muszą odpowiadać cechom elementów planowanych do budowy, gdy budynek nie został ukończony lub cechom elementów faktycznie wykorzystanych po zakończeniu prac. W drodze odstępstwa od niniejszego przepisu możliwe jest zastosowanie wskaźnika wejściowego odpowiadającego elementowi o właściwościach przewyższających właściwości przewidywanego lub użytego elementu pod warunkiem, że są one częścią tego samego zakresu od tego samego producenta.</w:t>
      </w:r>
      <w:r>
        <w:rPr>
          <w:rFonts w:ascii="Times New Roman" w:hAnsi="Times New Roman"/>
          <w:sz w:val="24"/>
        </w:rPr>
        <w:br/>
        <w:t>Wartości te są uzyskiwane dla każdego składnika na podstawie deklaracji środowiskowych udostępnionych przez producentów zgodnie z zasadami określonymi w rozporządzeniu lub w przypadku braku takich danych za pomocą standardowych danych środowiskowych udostępnionych przez ministra właściwego do spraw budownictwa.</w:t>
      </w:r>
      <w:r>
        <w:rPr>
          <w:rFonts w:ascii="Times New Roman" w:hAnsi="Times New Roman"/>
          <w:sz w:val="24"/>
        </w:rPr>
        <w:br/>
        <w:t>Jeżeli w przypadku elementu budynku nie są dostępne żadne informacje spełniające cechy wymienione w poprzednim punkcie, element ten opisuje się w obliczeniach, a informacje dotyczące środowiska określone jako „puste” są z nim powiązane; ponadto wniosek o utworzenie domyślnego wskaźnika środowiskowego odpowiadającego elementowi składowemu składa się za pośrednictwem strony internetowej wskazanej na portalu ministerstwa odpowiedzialnego za budownictwo.</w:t>
      </w:r>
      <w:r>
        <w:rPr>
          <w:rFonts w:ascii="Times New Roman" w:hAnsi="Times New Roman"/>
          <w:sz w:val="24"/>
        </w:rPr>
        <w:br/>
        <w:t xml:space="preserve">II. </w:t>
      </w:r>
      <w:r w:rsidR="004F1AC4">
        <w:rPr>
          <w:rFonts w:ascii="Times New Roman" w:hAnsi="Times New Roman"/>
          <w:sz w:val="24"/>
        </w:rPr>
        <w:t>-</w:t>
      </w:r>
      <w:r>
        <w:rPr>
          <w:rFonts w:ascii="Times New Roman" w:hAnsi="Times New Roman"/>
          <w:sz w:val="24"/>
        </w:rPr>
        <w:t xml:space="preserve"> W przypadku, gdy po oddaniu budynku do wykonania pewne prace wciąż pozostają do wykonania, do ich opisania wykorzystuje się dane domyślne zgodnie z metodą określoną w art. 8.</w:t>
      </w:r>
      <w:r>
        <w:rPr>
          <w:rFonts w:ascii="Times New Roman" w:hAnsi="Times New Roman"/>
          <w:sz w:val="24"/>
        </w:rPr>
        <w:br/>
        <w:t xml:space="preserve">III. </w:t>
      </w:r>
      <w:r w:rsidR="004F1AC4">
        <w:rPr>
          <w:rFonts w:ascii="Times New Roman" w:hAnsi="Times New Roman"/>
          <w:sz w:val="24"/>
        </w:rPr>
        <w:t>-</w:t>
      </w:r>
      <w:r>
        <w:rPr>
          <w:rFonts w:ascii="Times New Roman" w:hAnsi="Times New Roman"/>
          <w:sz w:val="24"/>
        </w:rPr>
        <w:t xml:space="preserve"> W przypadku niektórych zestawów elementów budynku i w zależności od wykorzystania budynku możliwe jest opisanie ich wpływu na zmianę klimatu za pomocą stałych wartości w miejsce wymogów wymienionych w I i II niniejszego artykułu. Zestawy danych elementów i odpowiadające im wartości podano w załączniku XI. IV. </w:t>
      </w:r>
      <w:r>
        <w:rPr>
          <w:rFonts w:ascii="Times New Roman" w:hAnsi="Times New Roman"/>
          <w:sz w:val="24"/>
        </w:rPr>
        <w:br/>
      </w:r>
      <w:r w:rsidR="004F1AC4">
        <w:rPr>
          <w:rFonts w:ascii="Times New Roman" w:hAnsi="Times New Roman"/>
          <w:sz w:val="24"/>
        </w:rPr>
        <w:t>-</w:t>
      </w:r>
      <w:r>
        <w:rPr>
          <w:rFonts w:ascii="Times New Roman" w:hAnsi="Times New Roman"/>
          <w:sz w:val="24"/>
        </w:rPr>
        <w:t xml:space="preserve"> Dane, które mogą być wykorzystane zgodnie z pkt. I niniejszego artykułu są danymi dostępnymi w dniu zakończenia obliczeń wskaźników Icbuilding, Icded i Icbuilding. Jeżeli jednak dane zostały wykorzystane do wcześniejszego obliczenia tych wskaźników, a następnie zaktualizowane lub usunięte, pozostają one do wykorzystania na warunkach określonych w I niniejszego artykułu.</w:t>
      </w:r>
    </w:p>
    <w:p w14:paraId="466D9E3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17</w:t>
      </w:r>
    </w:p>
    <w:p w14:paraId="765CA2F0" w14:textId="4A537695"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EC7E75">
        <w:rPr>
          <w:rFonts w:ascii="Times New Roman" w:hAnsi="Times New Roman"/>
          <w:sz w:val="24"/>
        </w:rPr>
        <w:t>-</w:t>
      </w:r>
      <w:r>
        <w:rPr>
          <w:rFonts w:ascii="Times New Roman" w:hAnsi="Times New Roman"/>
          <w:sz w:val="24"/>
        </w:rPr>
        <w:t xml:space="preserve"> Wartość przepuszczalności powietrznej budynku uzyskuje się:</w:t>
      </w:r>
    </w:p>
    <w:p w14:paraId="5AE3B909" w14:textId="72CD87F5"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r>
      <w:r w:rsidR="00EC7E75">
        <w:rPr>
          <w:rFonts w:ascii="Times New Roman" w:hAnsi="Times New Roman"/>
          <w:sz w:val="24"/>
        </w:rPr>
        <w:t>-</w:t>
      </w:r>
      <w:r>
        <w:rPr>
          <w:rFonts w:ascii="Times New Roman" w:hAnsi="Times New Roman"/>
          <w:sz w:val="24"/>
        </w:rPr>
        <w:t xml:space="preserve"> w odniesieniu do budynków mieszkalnych, poprzez pomiar lub przyjęcie podejścia jakościowego w odniesieniu do szczelności budynku zgodnie z procedurami określonymi w załączniku VII do niniejszego rozporządzenia;</w:t>
      </w:r>
      <w:r>
        <w:rPr>
          <w:rFonts w:ascii="Times New Roman" w:hAnsi="Times New Roman"/>
          <w:sz w:val="24"/>
        </w:rPr>
        <w:br/>
      </w:r>
      <w:r w:rsidR="00EC7E75">
        <w:rPr>
          <w:rFonts w:ascii="Times New Roman" w:hAnsi="Times New Roman"/>
          <w:sz w:val="24"/>
        </w:rPr>
        <w:t>-</w:t>
      </w:r>
      <w:r>
        <w:rPr>
          <w:rFonts w:ascii="Times New Roman" w:hAnsi="Times New Roman"/>
          <w:sz w:val="24"/>
        </w:rPr>
        <w:t xml:space="preserve"> w przypadku innych typów budynków wartość przepuszczalności powietrznej budynku może być uzasadniona pomiarami zgodnie z metodami określonymi w załączniku VII do niniejszego rozporządzenia. W przypadku braku pomiaru zgodnie z tymi metodami, wartością, którą należy zastosować, jest wartość domyślna określona metodą obliczeniową, o której mowa w art. 8;</w:t>
      </w:r>
    </w:p>
    <w:p w14:paraId="6D3E852E" w14:textId="2168899B"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przypadku pomiaru przepuszczalności poprzez pobieranie próbek otrzymane wartości pomiarowe mnoży się przez 1,2.</w:t>
      </w:r>
      <w:r>
        <w:rPr>
          <w:rFonts w:ascii="Times New Roman" w:hAnsi="Times New Roman"/>
          <w:sz w:val="24"/>
        </w:rPr>
        <w:br/>
        <w:t>W przypadku gdy po oddaniu budynku wciąż pozostają do wykonania prace mogące mieć wpływ na przepuszczalność powietrzną w budynkach mieszkalnych oraz w przypadku braku zastrzeżenia uniemożliwiającego powstawanie nieszczelności podczas tych prac, uzyskane wartości przepuszczalności zwiększa się o 0,3 m³/(h.m²).</w:t>
      </w:r>
      <w:r>
        <w:rPr>
          <w:rFonts w:ascii="Times New Roman" w:hAnsi="Times New Roman"/>
          <w:sz w:val="24"/>
        </w:rPr>
        <w:br/>
        <w:t>W niniejszym rozporządzeniu oba te przyrosty mają charakter kumulatywny.</w:t>
      </w:r>
      <w:r>
        <w:rPr>
          <w:rFonts w:ascii="Times New Roman" w:hAnsi="Times New Roman"/>
          <w:sz w:val="24"/>
        </w:rPr>
        <w:br/>
        <w:t xml:space="preserve">II. </w:t>
      </w:r>
      <w:r w:rsidR="00663E97">
        <w:rPr>
          <w:rFonts w:ascii="Times New Roman" w:hAnsi="Times New Roman"/>
          <w:sz w:val="24"/>
        </w:rPr>
        <w:t>-</w:t>
      </w:r>
      <w:r>
        <w:rPr>
          <w:rFonts w:ascii="Times New Roman" w:hAnsi="Times New Roman"/>
          <w:sz w:val="24"/>
        </w:rPr>
        <w:t xml:space="preserve"> W odniesieniu do wszystkich budynków wartość przepuszczalności sieci wentylacyjnych uzyskuje się w drodze pomiaru lub przy zastosowaniu podejścia jakościowego w odniesieniu do szczelności sieci wentylacyjnych, zgodnie z procedurami określonymi w załączniku VII do niniejszego rozporządzenia. W przypadku braku pomiaru i podejścia jakościowego zgodnie z tymi metodami, wartością, jaką należy zastosować, jest wartość domyślna określona metodą obliczeniową, o której mowa w art. 8.</w:t>
      </w:r>
      <w:r>
        <w:rPr>
          <w:rFonts w:ascii="Times New Roman" w:hAnsi="Times New Roman"/>
          <w:sz w:val="24"/>
        </w:rPr>
        <w:br/>
        <w:t>Jeżeli przepuszczalność powietrzna budynku lub przepuszczalność sieci wentylacyjnych jest potwierdzona pomiarem, osoba dokonująca pomiaru musi być osobą uznaną za właściwą przez ministra właściwego do spraw budownictwa, niezależną od wnioskodawcy i organizacji zaangażowanych w realizację lub zarządzanie projektem dot. danych budynków.</w:t>
      </w:r>
    </w:p>
    <w:p w14:paraId="128819AB"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VI: UZASADNIENIE STOSOWANIA WYMOGÓW (art. 18)</w:t>
      </w:r>
    </w:p>
    <w:p w14:paraId="0A4D749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18</w:t>
      </w:r>
    </w:p>
    <w:p w14:paraId="587E729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Najpóźniej po zakończeniu prac właściciel budynku sporządza znormalizowane cyfrowe podsumowanie badań dotyczących energii i środowiska za pomocą oprogramowania spełniającego wymogi art. 12.</w:t>
      </w:r>
      <w:r>
        <w:rPr>
          <w:rFonts w:ascii="Times New Roman" w:hAnsi="Times New Roman"/>
          <w:sz w:val="24"/>
        </w:rPr>
        <w:br/>
        <w:t>Treść i format standardowego podsumowania badań dot. energii i środowiska, jakie należy sporządzić, opisano w załączniku VI.</w:t>
      </w:r>
      <w:r>
        <w:rPr>
          <w:rFonts w:ascii="Times New Roman" w:hAnsi="Times New Roman"/>
          <w:sz w:val="24"/>
        </w:rPr>
        <w:br/>
        <w:t>W przypadku, o którym mowa w dziale IV niniejszego rozporządzenia, gdy wymogi niniejszego rozporządzenia stosowane są zgodnie z zatwierdzonym uproszczonym procesem lub trybem stosowania, uproszczony proces lub tryb składania wniosków określa treść i format standardowego podsumowania badań dot. energii i środowiska, jakie należy sporządzić.</w:t>
      </w:r>
      <w:r>
        <w:rPr>
          <w:rFonts w:ascii="Times New Roman" w:hAnsi="Times New Roman"/>
          <w:sz w:val="24"/>
        </w:rPr>
        <w:br/>
        <w:t>Dane te są przechowywane i przekazywane przez właściciela budynku zgodnie z art. R. 172-8 kodeksu budowlanego i mieszkaniowego.</w:t>
      </w:r>
    </w:p>
    <w:p w14:paraId="05FDD083"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Dział III: CHARAKTERYSTYKA CIEPLNA I WYMAGANIA DOTYCZĄCE ŚRODKÓW (DLA KAŻDEGO ELEMENTU) (art. 19-40)</w:t>
      </w:r>
    </w:p>
    <w:p w14:paraId="7534EF07"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VII: WERYFIKACJA EFEKTYWNOŚCI ENERGETYCZNEJ I ŚRODOWISKOWEJ PO ZAKOŃCZENIU BUDOWY (art. 19-20)</w:t>
      </w:r>
    </w:p>
    <w:p w14:paraId="0AC2DDA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19</w:t>
      </w:r>
    </w:p>
    <w:p w14:paraId="70BDF7C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przypadku domów wolnostojących lub połączonych i mieszkalnych budynków zbiorowych przepuszczalność powietrzna przegród zewnętrznych budynku pod ciśnieniem 4 Pa, Q4Pa-surf, określona zgodnie z art. 17, jest mniejsza lub równa:</w:t>
      </w:r>
      <w:r>
        <w:rPr>
          <w:rFonts w:ascii="Times New Roman" w:hAnsi="Times New Roman"/>
          <w:sz w:val="24"/>
        </w:rPr>
        <w:br/>
        <w:t>0,60 m³/(h.m²) ścian zubożonych, z wyłączeniem niskiego piętra, w domu jednorodzinnym lub przyległym.</w:t>
      </w:r>
      <w:r>
        <w:rPr>
          <w:rFonts w:ascii="Times New Roman" w:hAnsi="Times New Roman"/>
          <w:sz w:val="24"/>
        </w:rPr>
        <w:br/>
        <w:t>1,00 m³/(h.m²) ścian odpornych na straty z wyłączeniem niskiego piętra, w budynku mieszkalnym zbiorowym.</w:t>
      </w:r>
    </w:p>
    <w:p w14:paraId="42D687C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20</w:t>
      </w:r>
    </w:p>
    <w:p w14:paraId="3B2376B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budynkach i częściach budynków przeznaczonych do użytku mieszkaniowego, w celu zapewnienia ich prawidłowego funkcjonowania, każdy system wentylacji jest sprawdzany, a jego właściwości mierzone przez osobę uznaną za właściwą przez ministra właściwego ds. budownictwa, zgodnie z przepisami określonymi w załączniku VIII. Jest to zgodne z protokołem weryfikacji systemu wentylacyjnego, o którym mowa w tym samym załączniku.</w:t>
      </w:r>
    </w:p>
    <w:p w14:paraId="5A8D543E"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VIII: IZOLACJA CIEPLNA (art. 21-22)</w:t>
      </w:r>
    </w:p>
    <w:p w14:paraId="7AE5B69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21</w:t>
      </w:r>
    </w:p>
    <w:p w14:paraId="599AF0E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Przegrody oddzielające stale zajmowane części budynku od części budynku, które nie są stale zajmowane muszą posiadać współczynnik przenikania ciepła U określony w metodzie obliczeniowej, o której mowa w art. 8, który nie może przekraczać średniej wartości 0,36 W/(m².K). Powierzchnia rozważana tutaj jest powierzchnią wyżej wymienionych przegród.</w:t>
      </w:r>
    </w:p>
    <w:p w14:paraId="2817FE1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22</w:t>
      </w:r>
    </w:p>
    <w:p w14:paraId="3B7CB3F1" w14:textId="4528CACF"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celu uniknięcia ryzyka fizycznego lub mikrobiologicznego rozkładu materiałów, takiego jak zagęszczanie izolacji lub pleśnienie, każdy budynek lub jego część musi być zaprojektowany i zbudowany w taki sposób, aby w normalnych warunkach obłożenia uniknąć sytuacji, które mogą prowadzić do pojawienia się kondensacji na powierzchni lub wewnątrz ścian, zarówno pojedynczych, jak i rozproszonych, chyba że kondensacja ma charakter jedynie tymczasowy.</w:t>
      </w:r>
      <w:r>
        <w:rPr>
          <w:rFonts w:ascii="Times New Roman" w:hAnsi="Times New Roman"/>
          <w:sz w:val="24"/>
        </w:rPr>
        <w:br/>
        <w:t>W tym celu musi spełniać jeden z wymogów pkt. I lub II niniejszego artykułu:</w:t>
      </w:r>
      <w:r>
        <w:rPr>
          <w:rFonts w:ascii="Times New Roman" w:hAnsi="Times New Roman"/>
          <w:sz w:val="24"/>
        </w:rPr>
        <w:br/>
        <w:t xml:space="preserve">I. </w:t>
      </w:r>
      <w:r w:rsidR="00FC49AF">
        <w:rPr>
          <w:rFonts w:ascii="Times New Roman" w:hAnsi="Times New Roman"/>
          <w:sz w:val="24"/>
        </w:rPr>
        <w:t>-</w:t>
      </w:r>
      <w:r>
        <w:rPr>
          <w:rFonts w:ascii="Times New Roman" w:hAnsi="Times New Roman"/>
          <w:sz w:val="24"/>
        </w:rPr>
        <w:t xml:space="preserve"> Temperatura powierzchni musi być niższa niż 15°C w warunkach zimowych </w:t>
      </w:r>
      <w:r>
        <w:rPr>
          <w:rFonts w:ascii="Times New Roman" w:hAnsi="Times New Roman"/>
          <w:sz w:val="24"/>
        </w:rPr>
        <w:lastRenderedPageBreak/>
        <w:t>przy pustym wnętrzu i pustym wnętrzu izolacji w dowolnym punkcie tych powierzchni.</w:t>
      </w:r>
      <w:r>
        <w:rPr>
          <w:rFonts w:ascii="Times New Roman" w:hAnsi="Times New Roman"/>
          <w:sz w:val="24"/>
        </w:rPr>
        <w:br/>
        <w:t xml:space="preserve">II. </w:t>
      </w:r>
      <w:r w:rsidR="00FC49AF">
        <w:rPr>
          <w:rFonts w:ascii="Times New Roman" w:hAnsi="Times New Roman"/>
          <w:sz w:val="24"/>
        </w:rPr>
        <w:t>-</w:t>
      </w:r>
      <w:r>
        <w:rPr>
          <w:rFonts w:ascii="Times New Roman" w:hAnsi="Times New Roman"/>
          <w:sz w:val="24"/>
        </w:rPr>
        <w:t xml:space="preserve"> Następujące wymagania są jednocześnie spełnione:</w:t>
      </w:r>
    </w:p>
    <w:p w14:paraId="3A1005BC" w14:textId="1B442533"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FC49AF">
        <w:rPr>
          <w:rFonts w:ascii="Times New Roman" w:hAnsi="Times New Roman"/>
          <w:sz w:val="24"/>
        </w:rPr>
        <w:t>-</w:t>
      </w:r>
      <w:r>
        <w:rPr>
          <w:rFonts w:ascii="Times New Roman" w:hAnsi="Times New Roman"/>
          <w:sz w:val="24"/>
        </w:rPr>
        <w:t xml:space="preserve"> ogólny średni liniowy współczynnik przenikania ciepła, stosunek π, mostków cieplnych budynku nie powinien przekraczać 0,33 W/(m²Sref. K).</w:t>
      </w:r>
    </w:p>
    <w:p w14:paraId="13B8C75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Stosunek ten odpowiada stratom cieplnym wszystkich mostków cieplnych budynków w stosunku do powierzchni referencyjnej budynku. Ustala się go metodą obliczeniową, o której mowa w art. 8.</w:t>
      </w:r>
    </w:p>
    <w:p w14:paraId="32C3A6A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średni liniowy współczynnik przenikania ciepła połączeń między średnimi kondygnacjami a ścianami zewnętrznymi lub ścianami wychodzącymi na pomieszczenia nieogrzewane, Ψ 9, nie powinien przekraczać 0,6 W/(liniowy m. K).</w:t>
      </w:r>
    </w:p>
    <w:p w14:paraId="16DE076D"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IX: DOSTĘP DO NATURALNEGO ŚWIATŁA (art. 23)</w:t>
      </w:r>
    </w:p>
    <w:p w14:paraId="5ECFAC8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23</w:t>
      </w:r>
    </w:p>
    <w:p w14:paraId="6019846A" w14:textId="7AA0E9B4"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Aby zapewnić wystarczające oświetlenie naturalne i widok na zewnątrz, budynki mieszkalne muszą spełniać jeden z wymogów określonych w pkt. I lub II niniejszego artykułu.</w:t>
      </w:r>
      <w:r>
        <w:rPr>
          <w:rFonts w:ascii="Times New Roman" w:hAnsi="Times New Roman"/>
          <w:sz w:val="24"/>
        </w:rPr>
        <w:br/>
        <w:t xml:space="preserve">I. </w:t>
      </w:r>
      <w:r w:rsidR="000727F7">
        <w:rPr>
          <w:rFonts w:ascii="Times New Roman" w:hAnsi="Times New Roman"/>
          <w:sz w:val="24"/>
        </w:rPr>
        <w:t>-</w:t>
      </w:r>
      <w:r>
        <w:rPr>
          <w:rFonts w:ascii="Times New Roman" w:hAnsi="Times New Roman"/>
          <w:sz w:val="24"/>
        </w:rPr>
        <w:t xml:space="preserve"> Każde miejsce zamieszkania posiada wszystkie z poniższych właściwości:</w:t>
      </w:r>
    </w:p>
    <w:p w14:paraId="4DF9AF26" w14:textId="7E31F91A"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727F7">
        <w:rPr>
          <w:rFonts w:ascii="Times New Roman" w:hAnsi="Times New Roman"/>
          <w:sz w:val="24"/>
        </w:rPr>
        <w:t>-</w:t>
      </w:r>
      <w:r>
        <w:rPr>
          <w:rFonts w:ascii="Times New Roman" w:hAnsi="Times New Roman"/>
          <w:sz w:val="24"/>
        </w:rPr>
        <w:t xml:space="preserve"> poziom oświetlenia wynoszący co najmniej 300 lx w 50% powierzchni mieszkalnej, z wyjątkiem pomieszczeń zajmowanych tymczasowo przez ponad połowę godzin dziennych w roku;</w:t>
      </w:r>
      <w:r>
        <w:rPr>
          <w:rFonts w:ascii="Times New Roman" w:hAnsi="Times New Roman"/>
          <w:sz w:val="24"/>
        </w:rPr>
        <w:br/>
      </w:r>
      <w:r w:rsidR="000727F7">
        <w:rPr>
          <w:rFonts w:ascii="Times New Roman" w:hAnsi="Times New Roman"/>
          <w:sz w:val="24"/>
        </w:rPr>
        <w:t>-</w:t>
      </w:r>
      <w:r>
        <w:rPr>
          <w:rFonts w:ascii="Times New Roman" w:hAnsi="Times New Roman"/>
          <w:sz w:val="24"/>
        </w:rPr>
        <w:t xml:space="preserve"> poziom oświetlenia wynoszący co najmniej 100 lx w 95% powierzchni mieszkalnej, z wyjątkiem pomieszczeń zajmowanych tymczasowo, przez ponad połowę godzin dziennych w roku;</w:t>
      </w:r>
      <w:r>
        <w:rPr>
          <w:rFonts w:ascii="Times New Roman" w:hAnsi="Times New Roman"/>
          <w:sz w:val="24"/>
        </w:rPr>
        <w:br/>
      </w:r>
      <w:r w:rsidR="000727F7">
        <w:rPr>
          <w:rFonts w:ascii="Times New Roman" w:hAnsi="Times New Roman"/>
          <w:sz w:val="24"/>
        </w:rPr>
        <w:t>-</w:t>
      </w:r>
      <w:r>
        <w:rPr>
          <w:rFonts w:ascii="Times New Roman" w:hAnsi="Times New Roman"/>
          <w:sz w:val="24"/>
        </w:rPr>
        <w:t xml:space="preserve"> w co najmniej jednej części mieszkalnej w rozumieniu R. 111-1 kodeksu budowlanego i mieszkaniowego użytkownik posiada, w odległości co najmniej 1 metra od elewacji, widok na zewnątrz, obejmujący zarówno niebo, jak i horyzont.</w:t>
      </w:r>
    </w:p>
    <w:p w14:paraId="7EC11A12" w14:textId="5233C33D"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II. </w:t>
      </w:r>
      <w:r w:rsidR="00D63D64">
        <w:rPr>
          <w:rFonts w:ascii="Times New Roman" w:hAnsi="Times New Roman"/>
          <w:sz w:val="24"/>
        </w:rPr>
        <w:t>-</w:t>
      </w:r>
      <w:r>
        <w:rPr>
          <w:rFonts w:ascii="Times New Roman" w:hAnsi="Times New Roman"/>
          <w:sz w:val="24"/>
        </w:rPr>
        <w:t xml:space="preserve"> Całkowita powierzchnia otworów, zmierzona w tabeli, jest większa lub równa 1/6 powierzchni referencyjnej.</w:t>
      </w:r>
      <w:r>
        <w:rPr>
          <w:rFonts w:ascii="Times New Roman" w:hAnsi="Times New Roman"/>
          <w:sz w:val="24"/>
        </w:rPr>
        <w:br/>
        <w:t>Jeżeli dostępna powierzchnia elewacji budynku jest mniejsza niż połowa powierzchni mieszkalnej budynku lub średnia powierzchnia mieszkalna w budynku jest mniejsza niż 25 m², może ona, w miejsce uprzednich wymagań, mieć całkowitą powierzchnię otworu, zmierzoną w tabeli, większą lub równą jednej trzeciej dostępnej powierzchni elewacji.</w:t>
      </w:r>
      <w:r>
        <w:rPr>
          <w:rFonts w:ascii="Times New Roman" w:hAnsi="Times New Roman"/>
          <w:sz w:val="24"/>
        </w:rPr>
        <w:br/>
        <w:t xml:space="preserve">Niniejszy artykuł nie ma zastosowania w przypadkach, gdy jego przestrzeganie byłoby sprzeczne z zatwierdzaniem planów na obszarach chronionych, obszarach </w:t>
      </w:r>
      <w:r>
        <w:rPr>
          <w:rFonts w:ascii="Times New Roman" w:hAnsi="Times New Roman"/>
          <w:sz w:val="24"/>
        </w:rPr>
        <w:lastRenderedPageBreak/>
        <w:t>ochrony dziedzictwa architektonicznego, miejskiego i krajobrazowego lub promowanych obszarach architektonicznych i dziedzictwa kulturowego, w otoczeniu zabytków historycznych, zarejestrowanych i sklasyfikowanych obiektów, w obiektach znajdujących się na liście światowego dziedzictwa UNESCO lub jakimikolwiek innymi zarządzeniami konserwacyjnymi wydanymi przez władze lokalne, a także w miejscach i sektorach wyznaczonych na podstawie art. L. 151-19 kodeksu urbanistyki.</w:t>
      </w:r>
    </w:p>
    <w:p w14:paraId="5112198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X: KOMFORT W LECIE (art. 24-25)</w:t>
      </w:r>
    </w:p>
    <w:p w14:paraId="3E69322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24</w:t>
      </w:r>
    </w:p>
    <w:p w14:paraId="64B6805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Z wyjątkiem otworów w pomieszczeniach zajmowanych tymczasowo, otwory te mają współczynnik całkowitej przepuszczalności energii słonecznej mniejszy lub równy współczynnikowi całkowitej przepuszczalności energii słonecznej określonemu w poniższej tabeli, przy czym urządzenie zaciemniające, jeśli występuje, należy rozpatrywać w pozycji całkowicie zamkniętej:</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4"/>
        <w:gridCol w:w="1799"/>
        <w:gridCol w:w="2024"/>
        <w:gridCol w:w="2039"/>
      </w:tblGrid>
      <w:tr w:rsidR="001E2566" w:rsidRPr="001E2566" w14:paraId="66A940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865CEC9"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Strefy H2a</w:t>
            </w:r>
          </w:p>
        </w:tc>
        <w:tc>
          <w:tcPr>
            <w:tcW w:w="0" w:type="auto"/>
            <w:tcBorders>
              <w:top w:val="outset" w:sz="6" w:space="0" w:color="auto"/>
              <w:left w:val="outset" w:sz="6" w:space="0" w:color="auto"/>
              <w:bottom w:val="outset" w:sz="6" w:space="0" w:color="auto"/>
              <w:right w:val="outset" w:sz="6" w:space="0" w:color="auto"/>
            </w:tcBorders>
            <w:vAlign w:val="bottom"/>
            <w:hideMark/>
          </w:tcPr>
          <w:p w14:paraId="04BADEA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Wszystkie wysokości</w:t>
            </w:r>
          </w:p>
        </w:tc>
        <w:tc>
          <w:tcPr>
            <w:tcW w:w="0" w:type="auto"/>
            <w:tcBorders>
              <w:top w:val="outset" w:sz="6" w:space="0" w:color="auto"/>
              <w:left w:val="outset" w:sz="6" w:space="0" w:color="auto"/>
              <w:bottom w:val="outset" w:sz="6" w:space="0" w:color="auto"/>
              <w:right w:val="outset" w:sz="6" w:space="0" w:color="auto"/>
            </w:tcBorders>
            <w:vAlign w:val="bottom"/>
            <w:hideMark/>
          </w:tcPr>
          <w:p w14:paraId="0FFD244F"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D66AA89" w14:textId="77777777" w:rsidR="001E2566" w:rsidRPr="001E2566" w:rsidRDefault="001E2566" w:rsidP="001E2566">
            <w:pPr>
              <w:spacing w:after="0" w:line="240" w:lineRule="auto"/>
              <w:jc w:val="center"/>
              <w:rPr>
                <w:rFonts w:ascii="Times New Roman" w:eastAsia="Times New Roman" w:hAnsi="Times New Roman" w:cs="Times New Roman"/>
                <w:sz w:val="20"/>
                <w:szCs w:val="20"/>
                <w:lang w:eastAsia="fr-FR"/>
              </w:rPr>
            </w:pPr>
          </w:p>
        </w:tc>
      </w:tr>
      <w:tr w:rsidR="001E2566" w:rsidRPr="001E2566" w14:paraId="2FBEBB7F"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23373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Strefy H1a, H1b i H2b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B0BC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Wysokość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0C63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Wysokość &lt; lub =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0E06E"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41BF8F8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2BC16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Strefy H1c i H2c</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6F36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Wysokość &gt;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429E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Wysokość &lt; lub =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764F"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407775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F2E40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Strefy H2d i H3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3EEB6" w14:textId="77777777" w:rsidR="001E2566" w:rsidRPr="001E2566" w:rsidRDefault="001E2566" w:rsidP="001E2566">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899F4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Wysokość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19A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Wysokość &lt; lub = 400 m</w:t>
            </w:r>
          </w:p>
        </w:tc>
      </w:tr>
      <w:tr w:rsidR="001E2566" w:rsidRPr="001E2566" w14:paraId="5905A079"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1EA6A8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 Odsłonięte otwory BR1 – sypialnie</w:t>
            </w:r>
          </w:p>
        </w:tc>
      </w:tr>
      <w:tr w:rsidR="001E2566" w:rsidRPr="001E2566" w14:paraId="0514104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EA1D3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Otwór pionowy skierowany na północ</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FD05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7D7F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51A7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6C0334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C0781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Otwór pionowy nieskierowany na północ</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BC21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23EA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B6DE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781509D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FAF0A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Otwór poziomy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E04D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D6AD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FB7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4C4C27A0"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A2804C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 Odsłonięte otwory BR2 lub BR3 – sypialnie</w:t>
            </w:r>
          </w:p>
        </w:tc>
      </w:tr>
      <w:tr w:rsidR="001E2566" w:rsidRPr="001E2566" w14:paraId="287CCF2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98FD1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Otwór pionowy skierowany na północ</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23EA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9C08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C595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1C9E635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22DB0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Otwór pionowy nieskierowany na północ</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DA8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36D9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014E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16B1DA0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55EBC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Otwór poziomy</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21B3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AC72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5EEA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25A5610F"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00547E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3. Odsłonięte otwory BR1 – inne niż w sypialniach</w:t>
            </w:r>
          </w:p>
        </w:tc>
      </w:tr>
      <w:tr w:rsidR="001E2566" w:rsidRPr="001E2566" w14:paraId="17A4DC1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894FF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Otwór pionowy nieskierowany na północ</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EB16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302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96A0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22F84EE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9D3B6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Otwór poziomy</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B887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059F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711F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561D3B23"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AF6B8D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4. Odsłonięte otwory – BR2 lub BR3 inne niż w sypialniach</w:t>
            </w:r>
          </w:p>
        </w:tc>
      </w:tr>
      <w:tr w:rsidR="001E2566" w:rsidRPr="001E2566" w14:paraId="3767857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72884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Otwór pionowy nieskierowany na północ</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3E2F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6F44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F36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52242EF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781859"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Otwór poziomy</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DA5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5E99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ECDA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bl>
    <w:p w14:paraId="5129EB5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Do otworów, które nie są wystawione na bezpośrednie działanie promieni słonecznych od kwietnia do października ze względu na odległe zacienienie słoneczne mogą stosować się jedynie wymogi dotyczące otworów skierowanych na północ.</w:t>
      </w:r>
    </w:p>
    <w:p w14:paraId="5036DC0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25</w:t>
      </w:r>
    </w:p>
    <w:p w14:paraId="63A497F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Otwory w tym samym pomieszczeniu, innym niż pomieszczenia zajmowane czasowo, powinny być otwarte na co najmniej 30% ich powierzchni, chyba że zabraniają tego przepisy dotyczące higieny lub bezpieczeństwa.</w:t>
      </w:r>
      <w:r>
        <w:rPr>
          <w:rFonts w:ascii="Times New Roman" w:hAnsi="Times New Roman"/>
          <w:sz w:val="24"/>
        </w:rPr>
        <w:br/>
        <w:t>Limit ten zmniejsza się do 10% w przypadku pomieszczeń, w których różnica wysokości między najniższym punktem najniższego otworu a najwyższym punktem najwyższego otworu jest równa lub większa niż 4 m.</w:t>
      </w:r>
    </w:p>
    <w:p w14:paraId="3C66D63E"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XI: ZUŻYCIE ENERGII (art. 26-28)</w:t>
      </w:r>
    </w:p>
    <w:p w14:paraId="5035D77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26</w:t>
      </w:r>
    </w:p>
    <w:p w14:paraId="3C990E3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Automatyzacja prowadząca do wzrostu zużycia energii:</w:t>
      </w:r>
    </w:p>
    <w:p w14:paraId="56C2F6BF" w14:textId="38264C31"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AE1DE0">
        <w:rPr>
          <w:rFonts w:ascii="Times New Roman" w:hAnsi="Times New Roman"/>
          <w:sz w:val="24"/>
        </w:rPr>
        <w:t>-</w:t>
      </w:r>
      <w:r>
        <w:rPr>
          <w:rFonts w:ascii="Times New Roman" w:hAnsi="Times New Roman"/>
          <w:sz w:val="24"/>
        </w:rPr>
        <w:t xml:space="preserve"> jest projektowana i wdrażana w taki sposób, aby była uruchamiana tylko wtedy, gdy jest to konieczne;</w:t>
      </w:r>
      <w:r>
        <w:rPr>
          <w:rFonts w:ascii="Times New Roman" w:hAnsi="Times New Roman"/>
          <w:sz w:val="24"/>
        </w:rPr>
        <w:br/>
      </w:r>
      <w:r w:rsidR="00AE1DE0">
        <w:rPr>
          <w:rFonts w:ascii="Times New Roman" w:hAnsi="Times New Roman"/>
          <w:sz w:val="24"/>
        </w:rPr>
        <w:t>-</w:t>
      </w:r>
      <w:r>
        <w:rPr>
          <w:rFonts w:ascii="Times New Roman" w:hAnsi="Times New Roman"/>
          <w:sz w:val="24"/>
        </w:rPr>
        <w:t xml:space="preserve"> jest ustawiana czasowo lub programowana w taki sposób, aby automatycznie </w:t>
      </w:r>
      <w:r>
        <w:rPr>
          <w:rFonts w:ascii="Times New Roman" w:hAnsi="Times New Roman"/>
          <w:sz w:val="24"/>
        </w:rPr>
        <w:lastRenderedPageBreak/>
        <w:t>zatrzymać wzrost zużycia energii, gdy tylko nie będzie to już konieczne;</w:t>
      </w:r>
      <w:r>
        <w:rPr>
          <w:rFonts w:ascii="Times New Roman" w:hAnsi="Times New Roman"/>
          <w:sz w:val="24"/>
        </w:rPr>
        <w:br/>
      </w:r>
      <w:r w:rsidR="00AE1DE0">
        <w:rPr>
          <w:rFonts w:ascii="Times New Roman" w:hAnsi="Times New Roman"/>
          <w:sz w:val="24"/>
        </w:rPr>
        <w:t>-</w:t>
      </w:r>
      <w:r>
        <w:rPr>
          <w:rFonts w:ascii="Times New Roman" w:hAnsi="Times New Roman"/>
          <w:sz w:val="24"/>
        </w:rPr>
        <w:t xml:space="preserve"> może być przystosowana przez przyszłego zarządcę budynku odpowiednio do warunków użytkowania budynku.</w:t>
      </w:r>
    </w:p>
    <w:p w14:paraId="1080E20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Automatyzacja umożliwia jedynie automatyczne uruchamianie sztucznego oświetlenia w domach, biurach, salach konferencyjnych, salach lekcyjnych i salach wielofunkcyjnych wyłącznie po ręcznym uruchomieniu przez osobę znajdującą się w danej sali lub w jej bezpośrednim sąsiedztwie w czasie krótszym niż 6 godzin wcześniej.</w:t>
      </w:r>
    </w:p>
    <w:p w14:paraId="3B6B8B1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27</w:t>
      </w:r>
    </w:p>
    <w:p w14:paraId="27C4EBA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Budynki mieszkalne lub ich części są wyposażone w systemy umożliwiające pomiar lub oszacowanie zużycia energii w każdym miejscu zamieszkania, z wyjątkiem zużycia poszczególnych instalacji drewnianych w domach wolnostojących lub połączonych.</w:t>
      </w:r>
      <w:r>
        <w:rPr>
          <w:rFonts w:ascii="Times New Roman" w:hAnsi="Times New Roman"/>
          <w:sz w:val="24"/>
        </w:rPr>
        <w:br/>
        <w:t>W przypadku zbiorowej produkcji energii przez „energię zużytą przez mieszkanie” rozumie się udział w całkowitym zużyciu energii przeznaczonym na to mieszkanie zgodnie ze schematem dystrybucji, który winien być zostać określony przez właściciela budynku podczas budowy budynku.</w:t>
      </w:r>
      <w:r>
        <w:rPr>
          <w:rFonts w:ascii="Times New Roman" w:hAnsi="Times New Roman"/>
          <w:sz w:val="24"/>
        </w:rPr>
        <w:br/>
        <w:t>Systemy te powinny zapewniać osobom przebywającym w nich dostęp do informacji o zużyciu energii co najmniej raz w miesiącu.</w:t>
      </w:r>
      <w:r>
        <w:rPr>
          <w:rFonts w:ascii="Times New Roman" w:hAnsi="Times New Roman"/>
          <w:sz w:val="24"/>
        </w:rPr>
        <w:br/>
        <w:t>Informacje te dostarczane są w przestrzeni mieszkalnej według rodzaju energii w podziale co najmniej na następujące elementy:</w:t>
      </w:r>
    </w:p>
    <w:p w14:paraId="4891DCEE" w14:textId="1E49C63D"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3D4F91">
        <w:rPr>
          <w:rFonts w:ascii="Times New Roman" w:hAnsi="Times New Roman"/>
          <w:sz w:val="24"/>
        </w:rPr>
        <w:t>-</w:t>
      </w:r>
      <w:r>
        <w:rPr>
          <w:rFonts w:ascii="Times New Roman" w:hAnsi="Times New Roman"/>
          <w:sz w:val="24"/>
        </w:rPr>
        <w:t xml:space="preserve"> ogrzewanie;</w:t>
      </w:r>
      <w:r>
        <w:rPr>
          <w:rFonts w:ascii="Times New Roman" w:hAnsi="Times New Roman"/>
          <w:sz w:val="24"/>
        </w:rPr>
        <w:br/>
      </w:r>
      <w:r w:rsidR="003D4F91">
        <w:rPr>
          <w:rFonts w:ascii="Times New Roman" w:hAnsi="Times New Roman"/>
          <w:sz w:val="24"/>
        </w:rPr>
        <w:t>-</w:t>
      </w:r>
      <w:r>
        <w:rPr>
          <w:rFonts w:ascii="Times New Roman" w:hAnsi="Times New Roman"/>
          <w:sz w:val="24"/>
        </w:rPr>
        <w:t xml:space="preserve"> chłodzenie;</w:t>
      </w:r>
      <w:r>
        <w:rPr>
          <w:rFonts w:ascii="Times New Roman" w:hAnsi="Times New Roman"/>
          <w:sz w:val="24"/>
        </w:rPr>
        <w:br/>
      </w:r>
      <w:r w:rsidR="003D4F91">
        <w:rPr>
          <w:rFonts w:ascii="Times New Roman" w:hAnsi="Times New Roman"/>
          <w:sz w:val="24"/>
        </w:rPr>
        <w:t>-</w:t>
      </w:r>
      <w:r>
        <w:rPr>
          <w:rFonts w:ascii="Times New Roman" w:hAnsi="Times New Roman"/>
          <w:sz w:val="24"/>
        </w:rPr>
        <w:t xml:space="preserve"> produkcja ciepłej wody użytkowej;</w:t>
      </w:r>
      <w:r>
        <w:rPr>
          <w:rFonts w:ascii="Times New Roman" w:hAnsi="Times New Roman"/>
          <w:sz w:val="24"/>
        </w:rPr>
        <w:br/>
      </w:r>
      <w:r w:rsidR="003D4F91">
        <w:rPr>
          <w:rFonts w:ascii="Times New Roman" w:hAnsi="Times New Roman"/>
          <w:sz w:val="24"/>
        </w:rPr>
        <w:t>-</w:t>
      </w:r>
      <w:r>
        <w:rPr>
          <w:rFonts w:ascii="Times New Roman" w:hAnsi="Times New Roman"/>
          <w:sz w:val="24"/>
        </w:rPr>
        <w:t xml:space="preserve"> gniazda sieciowe;</w:t>
      </w:r>
      <w:r>
        <w:rPr>
          <w:rFonts w:ascii="Times New Roman" w:hAnsi="Times New Roman"/>
          <w:sz w:val="24"/>
        </w:rPr>
        <w:br/>
      </w:r>
      <w:r w:rsidR="003D4F91">
        <w:rPr>
          <w:rFonts w:ascii="Times New Roman" w:hAnsi="Times New Roman"/>
          <w:sz w:val="24"/>
        </w:rPr>
        <w:t>-</w:t>
      </w:r>
      <w:r>
        <w:rPr>
          <w:rFonts w:ascii="Times New Roman" w:hAnsi="Times New Roman"/>
          <w:sz w:val="24"/>
        </w:rPr>
        <w:t xml:space="preserve"> inne.</w:t>
      </w:r>
    </w:p>
    <w:p w14:paraId="1ED5803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Podział ten może wykorzystywać dane z pomiarów lub dane szacunkowe oparte o wcześniej zdefiniowane ustawienia.</w:t>
      </w:r>
      <w:r>
        <w:rPr>
          <w:rFonts w:ascii="Times New Roman" w:hAnsi="Times New Roman"/>
          <w:sz w:val="24"/>
        </w:rPr>
        <w:br/>
        <w:t>Jednakże w przypadku właściciela projektu, który jest również przyszłym właścicielem i wynajmującym wybudowany budynek, w szczególności właścicieli mieszkań socjalnych, informacje te mogą być przekazywane mieszkańcom co najmniej raz w miesiącu z wykorzystaniem metod elektronicznych lub pocztowych, a nie bezpośrednio w przestrzeni mieszkalnej.</w:t>
      </w:r>
      <w:r>
        <w:rPr>
          <w:rFonts w:ascii="Times New Roman" w:hAnsi="Times New Roman"/>
          <w:sz w:val="24"/>
        </w:rPr>
        <w:br/>
        <w:t>Dowód potwierdzający uwzględnienie niniejszego artykułu dostarcza się zgodnie z wytycznymi zatytułowanymi „Systemy pomiaru lub szacowania zużycia w pomieszczeniach mieszkalnych”, w których określa się procedury jego stosowania.</w:t>
      </w:r>
    </w:p>
    <w:p w14:paraId="7FA37039"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28</w:t>
      </w:r>
    </w:p>
    <w:p w14:paraId="3C15432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Budynki niemieszkalne lub ich części są wyposażone w systemy umożliwiające pomiar lub obliczenie zużycia energii:</w:t>
      </w:r>
    </w:p>
    <w:p w14:paraId="16BE002B" w14:textId="01B92093"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CB4BB8">
        <w:rPr>
          <w:rFonts w:ascii="Times New Roman" w:hAnsi="Times New Roman"/>
          <w:sz w:val="24"/>
        </w:rPr>
        <w:t>-</w:t>
      </w:r>
      <w:r>
        <w:rPr>
          <w:rFonts w:ascii="Times New Roman" w:hAnsi="Times New Roman"/>
          <w:sz w:val="24"/>
        </w:rPr>
        <w:t xml:space="preserve"> dla ogrzewania: na każde 500 m² danej powierzchni lub dla każdego panelu elektrycznego, lub dla każdego piętra, lub dla każdego bezpośredniego kabla wyjściowego;</w:t>
      </w:r>
      <w:r>
        <w:rPr>
          <w:rFonts w:ascii="Times New Roman" w:hAnsi="Times New Roman"/>
          <w:sz w:val="24"/>
        </w:rPr>
        <w:br/>
      </w:r>
      <w:r w:rsidR="00CB4BB8">
        <w:rPr>
          <w:rFonts w:ascii="Times New Roman" w:hAnsi="Times New Roman"/>
          <w:sz w:val="24"/>
        </w:rPr>
        <w:t>-</w:t>
      </w:r>
      <w:r>
        <w:rPr>
          <w:rFonts w:ascii="Times New Roman" w:hAnsi="Times New Roman"/>
          <w:sz w:val="24"/>
        </w:rPr>
        <w:t xml:space="preserve"> dla chłodzenia: na każde 500 m² danej powierzchni lub dla każdego panelu elektrycznego, lub dla każdego piętra lub dla każdego bezpośredniego kabla wyjściowego;</w:t>
      </w:r>
      <w:r>
        <w:rPr>
          <w:rFonts w:ascii="Times New Roman" w:hAnsi="Times New Roman"/>
          <w:sz w:val="24"/>
        </w:rPr>
        <w:br/>
      </w:r>
      <w:r w:rsidR="00CB4BB8">
        <w:rPr>
          <w:rFonts w:ascii="Times New Roman" w:hAnsi="Times New Roman"/>
          <w:sz w:val="24"/>
        </w:rPr>
        <w:t>-</w:t>
      </w:r>
      <w:r>
        <w:rPr>
          <w:rFonts w:ascii="Times New Roman" w:hAnsi="Times New Roman"/>
          <w:sz w:val="24"/>
        </w:rPr>
        <w:t xml:space="preserve"> dla produkcji ciepłej wody użytkowej;</w:t>
      </w:r>
      <w:r>
        <w:rPr>
          <w:rFonts w:ascii="Times New Roman" w:hAnsi="Times New Roman"/>
          <w:sz w:val="24"/>
        </w:rPr>
        <w:br/>
      </w:r>
      <w:r w:rsidR="00CB4BB8">
        <w:rPr>
          <w:rFonts w:ascii="Times New Roman" w:hAnsi="Times New Roman"/>
          <w:sz w:val="24"/>
        </w:rPr>
        <w:t>-</w:t>
      </w:r>
      <w:r>
        <w:rPr>
          <w:rFonts w:ascii="Times New Roman" w:hAnsi="Times New Roman"/>
          <w:sz w:val="24"/>
        </w:rPr>
        <w:t xml:space="preserve"> dla oświetlenia: na każde 500 m² danej powierzchni lub dla każdego panelu elektrycznego lub dla każdego piętra;</w:t>
      </w:r>
      <w:r>
        <w:rPr>
          <w:rFonts w:ascii="Times New Roman" w:hAnsi="Times New Roman"/>
          <w:sz w:val="24"/>
        </w:rPr>
        <w:br/>
      </w:r>
      <w:r w:rsidR="00CB4BB8">
        <w:rPr>
          <w:rFonts w:ascii="Times New Roman" w:hAnsi="Times New Roman"/>
          <w:sz w:val="24"/>
        </w:rPr>
        <w:t>-</w:t>
      </w:r>
      <w:r>
        <w:rPr>
          <w:rFonts w:ascii="Times New Roman" w:hAnsi="Times New Roman"/>
          <w:sz w:val="24"/>
        </w:rPr>
        <w:t xml:space="preserve"> dla sieci gniazdek elektrycznych: dla każdej części o powierzchni 500 m² lub dla każdego panelu elektrycznego lub dla każdego piętra;</w:t>
      </w:r>
      <w:r>
        <w:rPr>
          <w:rFonts w:ascii="Times New Roman" w:hAnsi="Times New Roman"/>
          <w:sz w:val="24"/>
        </w:rPr>
        <w:br/>
      </w:r>
      <w:r w:rsidR="00CB4BB8">
        <w:rPr>
          <w:rFonts w:ascii="Times New Roman" w:hAnsi="Times New Roman"/>
          <w:sz w:val="24"/>
        </w:rPr>
        <w:t>-</w:t>
      </w:r>
      <w:r>
        <w:rPr>
          <w:rFonts w:ascii="Times New Roman" w:hAnsi="Times New Roman"/>
          <w:sz w:val="24"/>
        </w:rPr>
        <w:t xml:space="preserve"> dla systemów wentylacyjnych: dla każdej jednostki;</w:t>
      </w:r>
      <w:r>
        <w:rPr>
          <w:rFonts w:ascii="Times New Roman" w:hAnsi="Times New Roman"/>
          <w:sz w:val="24"/>
        </w:rPr>
        <w:br/>
      </w:r>
      <w:r w:rsidR="00CB4BB8">
        <w:rPr>
          <w:rFonts w:ascii="Times New Roman" w:hAnsi="Times New Roman"/>
          <w:sz w:val="24"/>
        </w:rPr>
        <w:t>-</w:t>
      </w:r>
      <w:r>
        <w:rPr>
          <w:rFonts w:ascii="Times New Roman" w:hAnsi="Times New Roman"/>
          <w:sz w:val="24"/>
        </w:rPr>
        <w:t xml:space="preserve"> dla każdego bezpośredniego wyjścia zasilania powyżej 80 amperów.</w:t>
      </w:r>
    </w:p>
    <w:p w14:paraId="121932A9"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XII: OGRZEWANIE I CHŁODZENIE (art. 29-34)</w:t>
      </w:r>
    </w:p>
    <w:p w14:paraId="6BB94A5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29</w:t>
      </w:r>
    </w:p>
    <w:p w14:paraId="3E6600B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Jednostki grzewcze muszą obejmować, dla każdego oddanego pomieszczenia, jedno lub więcej urządzeń, które można ręcznie zatrzymać lub automatycznie regulować w zależności od temperatury wewnątrz pomieszczenia.</w:t>
      </w:r>
      <w:r>
        <w:rPr>
          <w:rFonts w:ascii="Times New Roman" w:hAnsi="Times New Roman"/>
          <w:sz w:val="24"/>
        </w:rPr>
        <w:br/>
        <w:t>Jeżeli jednak ogrzewanie jest dostarczane przez ogrzewanie podłogowe przy użyciu ciepłej wody w niskiej temperaturze lub powietrza, lub przez niezależne urządzenie grzewcze na drewno, urządzenie to takie może być używane wspólnie przez pomieszczenia o maksymalnej całkowitej powierzchni 100 m².</w:t>
      </w:r>
      <w:r>
        <w:rPr>
          <w:rFonts w:ascii="Times New Roman" w:hAnsi="Times New Roman"/>
          <w:sz w:val="24"/>
        </w:rPr>
        <w:br/>
        <w:t>Automatyczna regulacja jest programowana w taki sposób, aby spełniała ona wymogi art. R. 241-26 kodeksu energetycznego.</w:t>
      </w:r>
    </w:p>
    <w:p w14:paraId="6A3631F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30</w:t>
      </w:r>
    </w:p>
    <w:p w14:paraId="3C26ACA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przypadku budynków niemieszkalnych lub ich części każda jednostka grzewcza dostarczająca ogrzewanie do pomieszczeń nie zajmowanych w sposób ciągły musi zawierać urządzenie, którym można ręcznie sterować i które można automatycznie zaprogramować, przy użyciu przynajmniej zegara, umożliwiające:</w:t>
      </w:r>
    </w:p>
    <w:p w14:paraId="32B9CAFF" w14:textId="01A8ED03"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F223C2">
        <w:rPr>
          <w:rFonts w:ascii="Times New Roman" w:hAnsi="Times New Roman"/>
          <w:sz w:val="24"/>
        </w:rPr>
        <w:t>-</w:t>
      </w:r>
      <w:r>
        <w:rPr>
          <w:rFonts w:ascii="Times New Roman" w:hAnsi="Times New Roman"/>
          <w:sz w:val="24"/>
        </w:rPr>
        <w:t xml:space="preserve"> dostarczanie ciepła zgodnie z następującymi czterema poziomami: komfortowy, niski, zapobieganie zamrożeniu i zatrzymanie;</w:t>
      </w:r>
      <w:r>
        <w:rPr>
          <w:rFonts w:ascii="Times New Roman" w:hAnsi="Times New Roman"/>
          <w:sz w:val="24"/>
        </w:rPr>
        <w:br/>
      </w:r>
      <w:r w:rsidR="00F223C2">
        <w:rPr>
          <w:rFonts w:ascii="Times New Roman" w:hAnsi="Times New Roman"/>
          <w:sz w:val="24"/>
        </w:rPr>
        <w:t>-</w:t>
      </w:r>
      <w:r>
        <w:rPr>
          <w:rFonts w:ascii="Times New Roman" w:hAnsi="Times New Roman"/>
          <w:sz w:val="24"/>
        </w:rPr>
        <w:t xml:space="preserve"> automatyczne przełączanie między tymi poziomami.</w:t>
      </w:r>
    </w:p>
    <w:p w14:paraId="1CAD740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Podczas przełączania między dwoma poziomami moc grzewcza musi mieć wartość zero lub maksymalną, aby zminimalizować czas trwania faz przejściowych.</w:t>
      </w:r>
      <w:r>
        <w:rPr>
          <w:rFonts w:ascii="Times New Roman" w:hAnsi="Times New Roman"/>
          <w:sz w:val="24"/>
        </w:rPr>
        <w:br/>
      </w:r>
      <w:r>
        <w:rPr>
          <w:rFonts w:ascii="Times New Roman" w:hAnsi="Times New Roman"/>
          <w:sz w:val="24"/>
        </w:rPr>
        <w:lastRenderedPageBreak/>
        <w:t>Urządzenie takie może być współdzielone tylko w pomieszczeniach o podobnym czasie zajęcia. To samo urządzenie może służyć powierzchni nie większej niż 5000 m².</w:t>
      </w:r>
    </w:p>
    <w:p w14:paraId="4549E14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31</w:t>
      </w:r>
    </w:p>
    <w:p w14:paraId="3E54305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Sieci zbiorcze rozprowadzające wodę grzewczą lub chłodzącą muszą być wyposażone w urządzenie równoważące u podstawy każdej kolumny.</w:t>
      </w:r>
      <w:r>
        <w:rPr>
          <w:rFonts w:ascii="Times New Roman" w:hAnsi="Times New Roman"/>
          <w:sz w:val="24"/>
        </w:rPr>
        <w:br/>
        <w:t>Pompy do instalacji grzewczych i chłodniczych są wyposażone w urządzenia do ich zatrzymywania.</w:t>
      </w:r>
    </w:p>
    <w:p w14:paraId="3ED05C3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32</w:t>
      </w:r>
    </w:p>
    <w:p w14:paraId="5A6F850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Agregaty chłodnicze muszą zawierać, dla każdego oddanego pomieszczenia, jedno lub więcej urządzeń, które mogą być ręcznie zatrzymane i które automatycznie regulują dopływ zimna w zależności od temperatury wewnątrz pomieszczenia.</w:t>
      </w:r>
      <w:r>
        <w:rPr>
          <w:rFonts w:ascii="Times New Roman" w:hAnsi="Times New Roman"/>
          <w:sz w:val="24"/>
        </w:rPr>
        <w:br/>
        <w:t>Jednakże:</w:t>
      </w:r>
    </w:p>
    <w:p w14:paraId="035004FD" w14:textId="3FB75A78"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2A23CA">
        <w:rPr>
          <w:rFonts w:ascii="Times New Roman" w:hAnsi="Times New Roman"/>
          <w:sz w:val="24"/>
        </w:rPr>
        <w:t>-</w:t>
      </w:r>
      <w:r>
        <w:rPr>
          <w:rFonts w:ascii="Times New Roman" w:hAnsi="Times New Roman"/>
          <w:sz w:val="24"/>
        </w:rPr>
        <w:t xml:space="preserve"> jeżeli chłodzenie jest dostarczane przez system zmiennego przepływu powietrza, urządzenie to może być stosowane w pomieszczeniach o maksymalnej łącznej powierzchni 100 m² pod warunkiem, że całkowite natężenie przepływu powietrza jest regulowane bez zwiększania strat ciśnienia;</w:t>
      </w:r>
      <w:r>
        <w:rPr>
          <w:rFonts w:ascii="Times New Roman" w:hAnsi="Times New Roman"/>
          <w:sz w:val="24"/>
        </w:rPr>
        <w:br/>
      </w:r>
      <w:r w:rsidR="002A23CA">
        <w:rPr>
          <w:rFonts w:ascii="Times New Roman" w:hAnsi="Times New Roman"/>
          <w:sz w:val="24"/>
        </w:rPr>
        <w:t>-</w:t>
      </w:r>
      <w:r>
        <w:rPr>
          <w:rFonts w:ascii="Times New Roman" w:hAnsi="Times New Roman"/>
          <w:sz w:val="24"/>
        </w:rPr>
        <w:t xml:space="preserve"> jeżeli chłodzenie jest dostarczane z zastosowaniem podłogi chłodniczej, urządzenie to może być stosowane w pomieszczeniach o maksymalnej łącznej powierzchni 100 m².</w:t>
      </w:r>
      <w:r>
        <w:rPr>
          <w:rFonts w:ascii="Times New Roman" w:hAnsi="Times New Roman"/>
          <w:sz w:val="24"/>
        </w:rPr>
        <w:br/>
      </w:r>
      <w:r w:rsidR="002A23CA">
        <w:rPr>
          <w:rFonts w:ascii="Times New Roman" w:hAnsi="Times New Roman"/>
          <w:sz w:val="24"/>
        </w:rPr>
        <w:t>-</w:t>
      </w:r>
      <w:r>
        <w:rPr>
          <w:rFonts w:ascii="Times New Roman" w:hAnsi="Times New Roman"/>
          <w:sz w:val="24"/>
        </w:rPr>
        <w:t xml:space="preserve"> w przypadku „dwuprzewodowych konwektorów wentylatorowych wyłączne zimnych” wymóg określony w ust. 1 uznaje się za spełniony, jeżeli sterowanie każdym wentylatorem opiera się na temperaturze wewnętrznej, a instalacje do produkcji i dystrybucji zimnej wody są wyposażone w urządzenie umożliwiające ich programowanie;</w:t>
      </w:r>
      <w:r>
        <w:rPr>
          <w:rFonts w:ascii="Times New Roman" w:hAnsi="Times New Roman"/>
          <w:sz w:val="24"/>
        </w:rPr>
        <w:br/>
      </w:r>
      <w:r w:rsidR="002A23CA">
        <w:rPr>
          <w:rFonts w:ascii="Times New Roman" w:hAnsi="Times New Roman"/>
          <w:sz w:val="24"/>
        </w:rPr>
        <w:t>-</w:t>
      </w:r>
      <w:r>
        <w:rPr>
          <w:rFonts w:ascii="Times New Roman" w:hAnsi="Times New Roman"/>
          <w:sz w:val="24"/>
        </w:rPr>
        <w:t xml:space="preserve"> w przypadku budynków lub części budynków chłodzonych poprzez chłodzenie świeżego powietrza bez zwiększania natężenia przepływu przetworzonego powyżej dwukrotnego natężenia przepływu, wymóg określony w ust. 1 uznaje się za spełniony, jeżeli nawiew zimna jest po pierwsze, dostosowany co najmniej do temperatury powietrza powrotnego i temperatury zewnętrznej, a po drugie zabroniony w okresach grzewczych.</w:t>
      </w:r>
    </w:p>
    <w:p w14:paraId="2FDC196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Automatyczna regulacja jest programowana w taki sposób, aby spełniała ona wymogi art. R. 241-30 kodeksu energetycznego.</w:t>
      </w:r>
    </w:p>
    <w:p w14:paraId="29C766C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33</w:t>
      </w:r>
    </w:p>
    <w:p w14:paraId="61BFA3E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Drzwi wejściowe do stref chłodzonych powinny być wyposażone w urządzenie samozamykające.</w:t>
      </w:r>
    </w:p>
    <w:p w14:paraId="0FFFE88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Artykuł 34</w:t>
      </w:r>
    </w:p>
    <w:p w14:paraId="6788567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Przed ostatecznym dostarczeniem do pomieszczenia, z wyjątkiem sytuacji, gdy ogrzewanie uzyskuje się w wyniku rekuperacji z produkcji chłodu, powietrze nie powinno być ogrzewane, a następnie chłodzone lub odwrotnie, przez energochłonne urządzenia przeznaczone do ogrzewania lub chłodzenia powietrza.</w:t>
      </w:r>
    </w:p>
    <w:p w14:paraId="7468E6E4"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XIII: OŚWIETLENIE (art. 35-38)</w:t>
      </w:r>
    </w:p>
    <w:p w14:paraId="776EC1B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35</w:t>
      </w:r>
    </w:p>
    <w:p w14:paraId="6F0AAAA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strefach chodnikowych, pionowych i poziomych wspólnych pomieszczeniach i parkingach wszystkie instalacje oświetleniowe powinny obejmować, dla każdego pomieszczenia, automatyczne urządzenie umożliwiające, w przypadku gdy pomieszczenie lub parking nie są zajmowane:</w:t>
      </w:r>
    </w:p>
    <w:p w14:paraId="0741976C" w14:textId="2B14643A"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627236">
        <w:rPr>
          <w:rFonts w:ascii="Times New Roman" w:hAnsi="Times New Roman"/>
          <w:sz w:val="24"/>
        </w:rPr>
        <w:t>-</w:t>
      </w:r>
      <w:r>
        <w:rPr>
          <w:rFonts w:ascii="Times New Roman" w:hAnsi="Times New Roman"/>
          <w:sz w:val="24"/>
        </w:rPr>
        <w:t xml:space="preserve"> przyciemnienie oświetlenia do minimalnego poziomu regulacyjnego;</w:t>
      </w:r>
      <w:r>
        <w:rPr>
          <w:rFonts w:ascii="Times New Roman" w:hAnsi="Times New Roman"/>
          <w:sz w:val="24"/>
        </w:rPr>
        <w:br/>
      </w:r>
      <w:r w:rsidR="00627236">
        <w:rPr>
          <w:rFonts w:ascii="Times New Roman" w:hAnsi="Times New Roman"/>
          <w:sz w:val="24"/>
        </w:rPr>
        <w:t>-</w:t>
      </w:r>
      <w:r>
        <w:rPr>
          <w:rFonts w:ascii="Times New Roman" w:hAnsi="Times New Roman"/>
          <w:sz w:val="24"/>
        </w:rPr>
        <w:t xml:space="preserve"> lub wyłączanie sztucznych źródeł światła, jeżeli regulacja nie narzuca minimalnego poziomu.</w:t>
      </w:r>
    </w:p>
    <w:p w14:paraId="7A5ABA1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Ponadto jeżeli pomieszczenie ma dostęp do światła naturalnego, powinno ono posiadać urządzenie umożliwiające automatyczne wyłączenie systemu oświetlenia w sytuacji, gdy naturalne światło ma wystarczające natężenie.</w:t>
      </w:r>
      <w:r>
        <w:rPr>
          <w:rFonts w:ascii="Times New Roman" w:hAnsi="Times New Roman"/>
          <w:sz w:val="24"/>
        </w:rPr>
        <w:br/>
        <w:t>Pojedyncze urządzenie powinno obsługiwać co najwyżej:</w:t>
      </w:r>
    </w:p>
    <w:p w14:paraId="05A2C700" w14:textId="6AC63A69"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627236">
        <w:rPr>
          <w:rFonts w:ascii="Times New Roman" w:hAnsi="Times New Roman"/>
          <w:sz w:val="24"/>
        </w:rPr>
        <w:t>-</w:t>
      </w:r>
      <w:r>
        <w:rPr>
          <w:rFonts w:ascii="Times New Roman" w:hAnsi="Times New Roman"/>
          <w:sz w:val="24"/>
        </w:rPr>
        <w:t xml:space="preserve"> maksymalną powierzchnię 100 m² i jeden poziom dla poziomych chodników i wewnętrznych pomieszczeń wspólnych;</w:t>
      </w:r>
      <w:r>
        <w:rPr>
          <w:rFonts w:ascii="Times New Roman" w:hAnsi="Times New Roman"/>
          <w:sz w:val="24"/>
        </w:rPr>
        <w:br/>
      </w:r>
      <w:r w:rsidR="00627236">
        <w:rPr>
          <w:rFonts w:ascii="Times New Roman" w:hAnsi="Times New Roman"/>
          <w:sz w:val="24"/>
        </w:rPr>
        <w:t>-</w:t>
      </w:r>
      <w:r>
        <w:rPr>
          <w:rFonts w:ascii="Times New Roman" w:hAnsi="Times New Roman"/>
          <w:sz w:val="24"/>
        </w:rPr>
        <w:t xml:space="preserve"> trzy poziomy dla chodników pionowych;</w:t>
      </w:r>
      <w:r>
        <w:rPr>
          <w:rFonts w:ascii="Times New Roman" w:hAnsi="Times New Roman"/>
          <w:sz w:val="24"/>
        </w:rPr>
        <w:br/>
      </w:r>
      <w:r w:rsidR="00627236">
        <w:rPr>
          <w:rFonts w:ascii="Times New Roman" w:hAnsi="Times New Roman"/>
          <w:sz w:val="24"/>
        </w:rPr>
        <w:t>-</w:t>
      </w:r>
      <w:r>
        <w:rPr>
          <w:rFonts w:ascii="Times New Roman" w:hAnsi="Times New Roman"/>
          <w:sz w:val="24"/>
        </w:rPr>
        <w:t xml:space="preserve"> jeden poziom i co najwyżej 500 m² dla miejsc parkingowych.</w:t>
      </w:r>
    </w:p>
    <w:p w14:paraId="50B9042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36</w:t>
      </w:r>
    </w:p>
    <w:p w14:paraId="64E1D62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budynkach niemieszkalnych lub ich częściach każde pomieszczenie musi być wyposażone w ręczne urządzenie do włączania i wyłączania oświetlenia lub automatyczne urządzenie w zależności od stopnia obłożenia.</w:t>
      </w:r>
    </w:p>
    <w:p w14:paraId="46E1DC5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37</w:t>
      </w:r>
    </w:p>
    <w:p w14:paraId="61CF536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W budynkach niemieszkalnych lub ich częściach każde pomieszczenie, w którym za sterowanie oświetleniem odpowiedzialny jest personel zarządzający, musi, nawet w okresach ich stałego zajmowania, obejmować urządzenie umożliwiające włączanie i wyłączanie oświetlenia. Jeżeli urządzenie to nie znajduje się w danym </w:t>
      </w:r>
      <w:r>
        <w:rPr>
          <w:rFonts w:ascii="Times New Roman" w:hAnsi="Times New Roman"/>
          <w:sz w:val="24"/>
        </w:rPr>
        <w:lastRenderedPageBreak/>
        <w:t>pomieszczeniu, musi ono umożliwiać podgląd stanu oświetlenia w tym pomieszczeniu z punktu sterowania.</w:t>
      </w:r>
    </w:p>
    <w:p w14:paraId="69BF165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38</w:t>
      </w:r>
    </w:p>
    <w:p w14:paraId="62C900D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budynkach lub częściach budynków przeznaczonych do użytku niemieszkalnego, w tym samym pomieszczeniu, sztucznie oświetlone punkty umieszczone w odległości mniejszej niż 5 m od otworu muszą być wyposażone w oddzielne od innych punktów oświetlenia sterowanie w sytuacji, gdy całkowita moc zainstalowana w każdym z tych punktów przekracza 200 W.</w:t>
      </w:r>
    </w:p>
    <w:p w14:paraId="54320DE6"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Rozdział XIV: Wentylacja (art. 39-40)</w:t>
      </w:r>
    </w:p>
    <w:p w14:paraId="1F4C099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39</w:t>
      </w:r>
    </w:p>
    <w:p w14:paraId="4317F7C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przypadku budynków niemieszkalnych lub ich części, pomieszczenia lub grupy pomieszczeń, które są zajmowane lub użytkowane do szeregu bardzo zróżnicowanych celów muszą być obsługiwane przez niezależne systemy wentylacji.</w:t>
      </w:r>
    </w:p>
    <w:p w14:paraId="0989BA6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Artykuł 40</w:t>
      </w:r>
    </w:p>
    <w:p w14:paraId="03BFE55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 przypadku budynków niemieszkalnych lub ich części, które są wyposażone w specjalne zmechanizowane systemy wentylacji, każde ręczne urządzenie do zmiany przepływu powietrza w pomieszczeniu musi być obsługiwane za pomocą zegara.</w:t>
      </w:r>
    </w:p>
    <w:p w14:paraId="73CE2D18"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Dział IV: WNIOSEK DOTYCZĄCY UPROSZCZONYCH METOD STOSOWANIA W POSZCZEGÓLNYCH DOMACH (art. 41-42)</w:t>
      </w:r>
    </w:p>
    <w:p w14:paraId="47A4E08A"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41</w:t>
      </w:r>
    </w:p>
    <w:p w14:paraId="1B46DA7D"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Uproszczona metoda stosowania jest połączeniem cech architektonicznych, efektywności energetycznej i środowiskowej robót i urządzeń związanych z określoną kategorią indywidualnych domów, uważanych za zgodne z przepisami działów I-III niniejszego rozporządzenia w odniesieniu do wszystkich budynków tej kategorii.</w:t>
      </w:r>
      <w:r>
        <w:rPr>
          <w:rFonts w:ascii="Times New Roman" w:hAnsi="Times New Roman"/>
          <w:sz w:val="24"/>
        </w:rPr>
        <w:br/>
        <w:t>Uproszczoną metodę stosowania można wykorzystywać wyłącznie w postaci integralnej.</w:t>
      </w:r>
    </w:p>
    <w:p w14:paraId="0838A46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42</w:t>
      </w:r>
    </w:p>
    <w:p w14:paraId="00081010"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Wniosek dotyczący uproszczonej metody stosowania przesyłany jest ministrowi właściwemu do spraw energetyki oraz ministrowi właściwemu do spraw budownictwa, wraz z dokumentacją badawczą określoną w załączniku IX.</w:t>
      </w:r>
    </w:p>
    <w:p w14:paraId="505CE6F7"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Dział V PRZYPADKI SPECJALNE (art. 43-44)</w:t>
      </w:r>
    </w:p>
    <w:p w14:paraId="17157191"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43</w:t>
      </w:r>
    </w:p>
    <w:p w14:paraId="2CB29501"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 przypadku gdy metoda obliczeniowa, o której mowa w art. 8, nie uwzględnia specyfiki projektu budowlanego, wniosek o zatwierdzenie przedsięwzięcia przesyłany jest do ministra właściwego do spraw energetyki oraz do ministra właściwego do spraw budownictwa.</w:t>
      </w:r>
      <w:r>
        <w:rPr>
          <w:rFonts w:ascii="Times New Roman" w:hAnsi="Times New Roman"/>
          <w:sz w:val="24"/>
        </w:rPr>
        <w:br/>
        <w:t>W następujących przypadkach do ministra właściwego do spraw energetyki i ministra właściwego do spraw budownictwa można przesłać wniosek o zatwierdzenie projektu lub sposób uzasadnienia działania systemu lub sieci ciepłowniczej lub chłodniczej:</w:t>
      </w:r>
    </w:p>
    <w:p w14:paraId="5A0B0C39" w14:textId="468378F2"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27383">
        <w:rPr>
          <w:rFonts w:ascii="Times New Roman" w:hAnsi="Times New Roman"/>
          <w:sz w:val="24"/>
        </w:rPr>
        <w:t>-</w:t>
      </w:r>
      <w:r>
        <w:rPr>
          <w:rFonts w:ascii="Times New Roman" w:hAnsi="Times New Roman"/>
          <w:sz w:val="24"/>
        </w:rPr>
        <w:t xml:space="preserve"> jeżeli metoda obliczania, o której mowa w art. 8 nie uwzględnia specyfiki systemu;</w:t>
      </w:r>
      <w:r>
        <w:rPr>
          <w:rFonts w:ascii="Times New Roman" w:hAnsi="Times New Roman"/>
          <w:sz w:val="24"/>
        </w:rPr>
        <w:br/>
      </w:r>
      <w:r w:rsidR="00027383">
        <w:rPr>
          <w:rFonts w:ascii="Times New Roman" w:hAnsi="Times New Roman"/>
          <w:sz w:val="24"/>
        </w:rPr>
        <w:t>-</w:t>
      </w:r>
      <w:r>
        <w:rPr>
          <w:rFonts w:ascii="Times New Roman" w:hAnsi="Times New Roman"/>
          <w:sz w:val="24"/>
        </w:rPr>
        <w:t xml:space="preserve"> w przypadku utworzenia miejskiej sieci grzewczej lub chłodniczej;</w:t>
      </w:r>
      <w:r>
        <w:rPr>
          <w:rFonts w:ascii="Times New Roman" w:hAnsi="Times New Roman"/>
          <w:sz w:val="24"/>
        </w:rPr>
        <w:br/>
      </w:r>
      <w:r w:rsidR="00027383">
        <w:rPr>
          <w:rFonts w:ascii="Times New Roman" w:hAnsi="Times New Roman"/>
          <w:sz w:val="24"/>
        </w:rPr>
        <w:t>-</w:t>
      </w:r>
      <w:r>
        <w:rPr>
          <w:rFonts w:ascii="Times New Roman" w:hAnsi="Times New Roman"/>
          <w:sz w:val="24"/>
        </w:rPr>
        <w:t xml:space="preserve"> jeżeli prace mające na celu zmianę sieci grzewczej lub chłodniczej mogą spowodować znaczącą zmianę jej współczynnika emisji, jak przewidziano w art. 10.</w:t>
      </w:r>
    </w:p>
    <w:p w14:paraId="74E0BDC5"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Do wniosku o zatwierdzenie dołącza się dokumentację badania zgodnie z załącznikiem X, która określa w szczególności sposób, w jaki metoda obliczania, o której mowa w art. 8, nie uwzględnia, stosownie do przypadku, specyfiki projektu budowlanego lub systemu budowlanego.</w:t>
      </w:r>
      <w:r>
        <w:rPr>
          <w:rFonts w:ascii="Times New Roman" w:hAnsi="Times New Roman"/>
          <w:sz w:val="24"/>
        </w:rPr>
        <w:br/>
        <w:t>Zatwierdzenie projektu budowlanego nie jest obowiązkowe, jeżeli świadectwo zgodności z celami, w rozumieniu art. L. 112-9 i odnoszące się do przedmiotu innego niż charakterystyka energetyczna, zawiera dane wejściowe specyficzne dla danych rozwiązań o skutku równoważnym, umożliwiające zastosowanie metody obliczeniowej, o której mowa w art. 8.</w:t>
      </w:r>
    </w:p>
    <w:p w14:paraId="6CDD3150"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44</w:t>
      </w:r>
    </w:p>
    <w:p w14:paraId="7CB9C8E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Minister właściwy do spraw energetyki oraz minister właściwy do spraw budownictwa mogą zatwierdzić wniosek o uwzględnienie projektu budowlanego, systemu lub sieci grzewczej lub chłodniczej, po konsultacji z komitetem ekspertów utworzonym w tym celu.</w:t>
      </w:r>
      <w:r>
        <w:rPr>
          <w:rFonts w:ascii="Times New Roman" w:hAnsi="Times New Roman"/>
          <w:sz w:val="24"/>
        </w:rPr>
        <w:br/>
        <w:t>W odniesieniu do tworzenia sieci ciepłowniczych lub chłodniczych zatwierdzenie jest ważne przez okres maksymalnie trzech lat; w przypadku prac mających na celu zmianę sieci ciepłowniczych lub chłodniczych, zatwierdzenie jest ważne przez okres maksymalnie pięciu lat z możliwością przedłużenia o dwa lata po wydaniu opinii przez komitet ekspertów.</w:t>
      </w:r>
    </w:p>
    <w:p w14:paraId="7E5DA6C6"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Dział VI: INNE PRZEPISY (art. 45-52)</w:t>
      </w:r>
    </w:p>
    <w:p w14:paraId="69D3FE2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45</w:t>
      </w:r>
    </w:p>
    <w:p w14:paraId="04CAF51E"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Jeżeli budynek lub część budynku jest oddawana bez systemu grzewczego, ocenia się go na podstawie domyślnego systemu grzewczego przewidzianego w metodzie, o </w:t>
      </w:r>
      <w:r>
        <w:rPr>
          <w:rFonts w:ascii="Times New Roman" w:hAnsi="Times New Roman"/>
          <w:sz w:val="24"/>
        </w:rPr>
        <w:lastRenderedPageBreak/>
        <w:t>której mowa w art. 8. Jeżeli metoda dla danego budynku nie przewiduje domyślnego systemu ogrzewania, może on spełniać jedynie wymogi dotyczące zasobów określone w dziale III oraz wymagania określone w art. R. 172-4 ust. 1, 4 i 5 kodeksu budowlanego i mieszkaniowego oraz określone zgodnie z procedurami określonymi w załączniku do tego samego artykułu.</w:t>
      </w:r>
    </w:p>
    <w:p w14:paraId="792A4188"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46</w:t>
      </w:r>
    </w:p>
    <w:p w14:paraId="6521031A" w14:textId="1F5B87B5"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150A88">
        <w:rPr>
          <w:rFonts w:ascii="Times New Roman" w:hAnsi="Times New Roman"/>
          <w:sz w:val="24"/>
        </w:rPr>
        <w:t>-</w:t>
      </w:r>
      <w:r>
        <w:rPr>
          <w:rFonts w:ascii="Times New Roman" w:hAnsi="Times New Roman"/>
          <w:sz w:val="24"/>
        </w:rPr>
        <w:t xml:space="preserve"> Wymogi określone w ww. rozporządzeniach z dnia 26 października 2010 r. i z dnia 28 grudnia 2012 r. uznaje się za spełnione, jeżeli spełnione są wymogi określone w art. R. 172-4 kodeksu budowlanego i mieszkaniowego, określone zgodnie z procedurami określonymi w załączniku do tego samego artykułu, jak również wymogi określone w niniejszym rozporządzeniu.</w:t>
      </w:r>
      <w:r>
        <w:rPr>
          <w:rFonts w:ascii="Times New Roman" w:hAnsi="Times New Roman"/>
          <w:sz w:val="24"/>
        </w:rPr>
        <w:br/>
        <w:t xml:space="preserve">II. </w:t>
      </w:r>
      <w:r w:rsidR="00150A88">
        <w:rPr>
          <w:rFonts w:ascii="Times New Roman" w:hAnsi="Times New Roman"/>
          <w:sz w:val="24"/>
        </w:rPr>
        <w:t>-</w:t>
      </w:r>
      <w:r>
        <w:rPr>
          <w:rFonts w:ascii="Times New Roman" w:hAnsi="Times New Roman"/>
          <w:sz w:val="24"/>
        </w:rPr>
        <w:t xml:space="preserve"> Wymogi określone w ww. rozporządzeniach z dnia 13 czerwca 2008 r. i z dnia 3 maja 2007 r., uznaje się za spełnione, jeżeli spełnione są wymogi określone w art. R. 172-4 ust. 1-3 i 5 kodeksu budowlanego i mieszkaniowego, określone zgodnie z procedurami określonymi w załączniku do tego samego artykułu, jak również z wymogami określonymi w dziale III niniejszego rozporządzenia.</w:t>
      </w:r>
    </w:p>
    <w:p w14:paraId="3E80F0A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47</w:t>
      </w:r>
    </w:p>
    <w:p w14:paraId="739D52A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Przepisy niniejszego rozporządzenia nie mogą naruszać obowiązujących środków ustawodawczych i administracyjnych w zakresie zdrowia, infrastruktury sanitarnej, higieny i bezpieczeństwa.</w:t>
      </w:r>
    </w:p>
    <w:p w14:paraId="75794AB3"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48</w:t>
      </w:r>
    </w:p>
    <w:p w14:paraId="4933BA79"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 art. 11 i 12 wyżej wymienionego rozporządzenia z dnia 26 października 2010 r. słowa „1 września 2021 r.” zastępuje się słowami „31 grudnia 2021 r.”.</w:t>
      </w:r>
    </w:p>
    <w:p w14:paraId="6085A120"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49</w:t>
      </w:r>
    </w:p>
    <w:p w14:paraId="01833B6B" w14:textId="4E036266"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53316A">
        <w:rPr>
          <w:rFonts w:ascii="Times New Roman" w:hAnsi="Times New Roman"/>
          <w:sz w:val="24"/>
        </w:rPr>
        <w:t>-</w:t>
      </w:r>
      <w:r>
        <w:rPr>
          <w:rFonts w:ascii="Times New Roman" w:hAnsi="Times New Roman"/>
          <w:sz w:val="24"/>
        </w:rPr>
        <w:t xml:space="preserve"> Artykuł 10 rozporządzenia z dnia 26 października 2010 r. i art. 10 ww. rozporządzenia z dnia 28 grudnia 2012 r. otrzymuje brzmienie:</w:t>
      </w:r>
    </w:p>
    <w:p w14:paraId="228B35D7" w14:textId="7FBA6BC2"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„Artykuł 10. </w:t>
      </w:r>
      <w:r w:rsidR="0053316A">
        <w:rPr>
          <w:rFonts w:ascii="Times New Roman" w:hAnsi="Times New Roman"/>
          <w:sz w:val="24"/>
        </w:rPr>
        <w:t>-</w:t>
      </w:r>
      <w:r>
        <w:rPr>
          <w:rFonts w:ascii="Times New Roman" w:hAnsi="Times New Roman"/>
          <w:sz w:val="24"/>
        </w:rPr>
        <w:t xml:space="preserve"> Najpóźniej do dnia 1 stycznia 2013 r. oprogramowanie wykorzystywane do przeprowadzania obliczeń Cep, Bbio i Tic musi zostać ocenione przez ministra właściwego do spraw budownictwa oraz przez ministra właściwego do spraw energii, zgodnie z procedurą określoną w załączniku X. Po zakończeniu oceny sporządza się sprawozdanie z oceny. Ocena ta powinna być poddawana przeglądowi co dwa lata w dniu rocznicy wydania sprawozdania z oceny lub co najmniej raz od dnia 1 stycznia 2018 r.”</w:t>
      </w:r>
    </w:p>
    <w:p w14:paraId="519D34E6" w14:textId="741A18C1"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II. </w:t>
      </w:r>
      <w:r w:rsidR="0053316A">
        <w:rPr>
          <w:rFonts w:ascii="Times New Roman" w:hAnsi="Times New Roman"/>
          <w:sz w:val="24"/>
        </w:rPr>
        <w:t>-</w:t>
      </w:r>
      <w:r>
        <w:rPr>
          <w:rFonts w:ascii="Times New Roman" w:hAnsi="Times New Roman"/>
          <w:sz w:val="24"/>
        </w:rPr>
        <w:t xml:space="preserve"> Na początku 5 załącznika X do ww. rozporządzenia z dnia 26 października 2010 </w:t>
      </w:r>
      <w:r>
        <w:rPr>
          <w:rFonts w:ascii="Times New Roman" w:hAnsi="Times New Roman"/>
          <w:sz w:val="24"/>
        </w:rPr>
        <w:lastRenderedPageBreak/>
        <w:t>r. oraz na początku 5 załącznika VI do ww. rozporządzenia z dnia 28 grudnia 2012 r. dodaje się zdanie w brzmieniu: „Następujący ustęp nie ma zastosowania do oprogramowania, które było przedmiotem przeglądu oceny po dniu 1 stycznia 2018 r.”</w:t>
      </w:r>
    </w:p>
    <w:p w14:paraId="17033EF3"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50</w:t>
      </w:r>
    </w:p>
    <w:p w14:paraId="7292B4E9"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Na końcu art. 49 ww. rozporządzenia z dnia 26 października 2010 r. oraz na końcu art. 39 ww. rozporządzenia z dnia 28 grudnia 2012 r. dodaje się ustęp w brzmieniu: </w:t>
      </w:r>
      <w:r>
        <w:rPr>
          <w:rFonts w:ascii="Times New Roman" w:hAnsi="Times New Roman"/>
          <w:sz w:val="24"/>
        </w:rPr>
        <w:br/>
        <w:t>„Zatwierdzenie projektu budowlanego nie jest obowiązkowe, jeżeli świadectwo zgodności z celami w rozumieniu art. L. 112-9 kodeksu budowlanego i mieszkaniowego i odnoszące się do przedmiotu innego niż charakterystyka energetyczna zawiera dane wejściowe specyficzne dla danych rozwiązań o skutku równoważnym, umożliwiające zastosowanie metody obliczeniowej Th-B-C-E 2012.”</w:t>
      </w:r>
    </w:p>
    <w:p w14:paraId="0133372C"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51</w:t>
      </w:r>
    </w:p>
    <w:p w14:paraId="24D85573" w14:textId="573E5C1C"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EF5BC6">
        <w:rPr>
          <w:rFonts w:ascii="Times New Roman" w:hAnsi="Times New Roman"/>
          <w:sz w:val="24"/>
        </w:rPr>
        <w:t>-</w:t>
      </w:r>
      <w:r>
        <w:rPr>
          <w:rFonts w:ascii="Times New Roman" w:hAnsi="Times New Roman"/>
          <w:sz w:val="24"/>
        </w:rPr>
        <w:t xml:space="preserve"> Przepisy art. 48-50 wchodzą w życie następnego dnia po opublikowaniu niniejszego rozporządzenia.</w:t>
      </w:r>
      <w:r>
        <w:rPr>
          <w:rFonts w:ascii="Times New Roman" w:hAnsi="Times New Roman"/>
          <w:sz w:val="24"/>
        </w:rPr>
        <w:br/>
        <w:t xml:space="preserve">II. </w:t>
      </w:r>
      <w:r w:rsidR="00EF5BC6">
        <w:rPr>
          <w:rFonts w:ascii="Times New Roman" w:hAnsi="Times New Roman"/>
          <w:sz w:val="24"/>
        </w:rPr>
        <w:t>-</w:t>
      </w:r>
      <w:r>
        <w:rPr>
          <w:rFonts w:ascii="Times New Roman" w:hAnsi="Times New Roman"/>
          <w:sz w:val="24"/>
        </w:rPr>
        <w:t xml:space="preserve"> Przepisy pozostałych artykułów wchodzą w życie z dniem 1 stycznia 2022 r.</w:t>
      </w:r>
    </w:p>
    <w:p w14:paraId="1A52D4A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 52</w:t>
      </w:r>
    </w:p>
    <w:p w14:paraId="76B5C327"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Niniejsze rozporządzenie zostanie opublikowane w Dzienniku Urzędowym Republiki Francuskiej.</w:t>
      </w:r>
    </w:p>
    <w:p w14:paraId="360CB09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Załącznik</w:t>
      </w:r>
    </w:p>
    <w:p w14:paraId="1FE00F17"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w:t>
      </w:r>
    </w:p>
    <w:p w14:paraId="71AFA498"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ZAŁĄCZNIKI</w:t>
      </w:r>
    </w:p>
    <w:p w14:paraId="7A4A40BE"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0DA2BE06"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Cały tekst wraz z obrazami z wyciągu z uwierzytelnionego elektronicznego Dziennika Urzędowego można wyświetlić na dole strony.</w:t>
      </w:r>
    </w:p>
    <w:p w14:paraId="3760AF8B"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Dnia 4 sierpnia 2021 r.</w:t>
      </w:r>
    </w:p>
    <w:p w14:paraId="133B264A"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Minister delegowany przy Ministrze ds. Przemian Ekologicznych, odpowiedzialny za mieszkalnictwo, </w:t>
      </w:r>
      <w:r>
        <w:rPr>
          <w:rFonts w:ascii="Times New Roman" w:hAnsi="Times New Roman"/>
          <w:sz w:val="24"/>
        </w:rPr>
        <w:br/>
        <w:t>W imieniu Ministra i z upoważnienia:</w:t>
      </w:r>
      <w:r>
        <w:rPr>
          <w:rFonts w:ascii="Times New Roman" w:hAnsi="Times New Roman"/>
          <w:sz w:val="24"/>
        </w:rPr>
        <w:br/>
      </w:r>
      <w:r>
        <w:rPr>
          <w:rFonts w:ascii="Times New Roman" w:hAnsi="Times New Roman"/>
          <w:sz w:val="24"/>
        </w:rPr>
        <w:lastRenderedPageBreak/>
        <w:t>Dyrektor ds. Mieszkalnictwa, Urbanistyki i Ochrony Krajobrazu</w:t>
      </w:r>
      <w:r>
        <w:rPr>
          <w:rFonts w:ascii="Times New Roman" w:hAnsi="Times New Roman"/>
          <w:sz w:val="24"/>
        </w:rPr>
        <w:br/>
        <w:t>F. Adam</w:t>
      </w:r>
    </w:p>
    <w:p w14:paraId="1A7604DF" w14:textId="17FF67D5" w:rsidR="007570FC" w:rsidRDefault="001E2566" w:rsidP="00053FD1">
      <w:pPr>
        <w:spacing w:before="100" w:beforeAutospacing="1" w:after="100" w:afterAutospacing="1" w:line="240" w:lineRule="auto"/>
      </w:pPr>
      <w:r>
        <w:rPr>
          <w:rFonts w:ascii="Times New Roman" w:hAnsi="Times New Roman"/>
          <w:sz w:val="24"/>
        </w:rPr>
        <w:br/>
        <w:t>Minister Transformacji Ekologicznej</w:t>
      </w:r>
      <w:r>
        <w:rPr>
          <w:rFonts w:ascii="Times New Roman" w:hAnsi="Times New Roman"/>
          <w:sz w:val="24"/>
        </w:rPr>
        <w:br/>
        <w:t>W imieniu Minister i z jej upoważnienia:</w:t>
      </w:r>
      <w:r>
        <w:rPr>
          <w:rFonts w:ascii="Times New Roman" w:hAnsi="Times New Roman"/>
          <w:sz w:val="24"/>
        </w:rPr>
        <w:br/>
        <w:t>Dyrektor ds. Mieszkalnictwa, Urbanistyki i Ochrony Krajobrazu,</w:t>
      </w:r>
      <w:r>
        <w:rPr>
          <w:rFonts w:ascii="Times New Roman" w:hAnsi="Times New Roman"/>
          <w:sz w:val="24"/>
        </w:rPr>
        <w:br/>
        <w:t>F. Adam</w:t>
      </w:r>
      <w:r>
        <w:rPr>
          <w:rFonts w:ascii="Times New Roman" w:hAnsi="Times New Roman"/>
          <w:sz w:val="24"/>
        </w:rPr>
        <w:br/>
        <w:t>Dyrektor Generalny ds. Energii i Klimatu,</w:t>
      </w:r>
      <w:r>
        <w:rPr>
          <w:rFonts w:ascii="Times New Roman" w:hAnsi="Times New Roman"/>
          <w:sz w:val="24"/>
        </w:rPr>
        <w:br/>
        <w:t>L. Michel</w:t>
      </w:r>
    </w:p>
    <w:sectPr w:rsidR="00757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C81"/>
    <w:multiLevelType w:val="multilevel"/>
    <w:tmpl w:val="B5BA3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66"/>
    <w:rsid w:val="00027383"/>
    <w:rsid w:val="00053FD1"/>
    <w:rsid w:val="000727F7"/>
    <w:rsid w:val="00126E24"/>
    <w:rsid w:val="00150A88"/>
    <w:rsid w:val="001E2566"/>
    <w:rsid w:val="002A23CA"/>
    <w:rsid w:val="002C3EE4"/>
    <w:rsid w:val="003D4F91"/>
    <w:rsid w:val="003E656B"/>
    <w:rsid w:val="004B5AA4"/>
    <w:rsid w:val="004F1AC4"/>
    <w:rsid w:val="004F48AB"/>
    <w:rsid w:val="0053316A"/>
    <w:rsid w:val="00593C75"/>
    <w:rsid w:val="00605054"/>
    <w:rsid w:val="00616FE3"/>
    <w:rsid w:val="00627236"/>
    <w:rsid w:val="00643FEA"/>
    <w:rsid w:val="00663E97"/>
    <w:rsid w:val="007570FC"/>
    <w:rsid w:val="0078180D"/>
    <w:rsid w:val="00AE1DE0"/>
    <w:rsid w:val="00BA2550"/>
    <w:rsid w:val="00CB4BB8"/>
    <w:rsid w:val="00D63D64"/>
    <w:rsid w:val="00D967A2"/>
    <w:rsid w:val="00EC7E75"/>
    <w:rsid w:val="00EF5BC6"/>
    <w:rsid w:val="00F223C2"/>
    <w:rsid w:val="00FC49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8BB4"/>
  <w15:chartTrackingRefBased/>
  <w15:docId w15:val="{FAB69077-0BEA-44D7-AE59-CF747B96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93C75"/>
    <w:pPr>
      <w:spacing w:before="100" w:beforeAutospacing="1" w:after="100" w:afterAutospacing="1" w:line="240" w:lineRule="auto"/>
      <w:outlineLvl w:val="1"/>
    </w:pPr>
    <w:rPr>
      <w:rFonts w:ascii="Times New Roman" w:hAnsi="Times New Roman"/>
      <w:b/>
      <w:sz w:val="36"/>
    </w:rPr>
  </w:style>
  <w:style w:type="character" w:customStyle="1" w:styleId="BodyTextChar">
    <w:name w:val="Body Text Char"/>
    <w:basedOn w:val="DefaultParagraphFont"/>
    <w:link w:val="BodyText"/>
    <w:uiPriority w:val="99"/>
    <w:rsid w:val="00593C75"/>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4505">
      <w:bodyDiv w:val="1"/>
      <w:marLeft w:val="0"/>
      <w:marRight w:val="0"/>
      <w:marTop w:val="0"/>
      <w:marBottom w:val="0"/>
      <w:divBdr>
        <w:top w:val="none" w:sz="0" w:space="0" w:color="auto"/>
        <w:left w:val="none" w:sz="0" w:space="0" w:color="auto"/>
        <w:bottom w:val="none" w:sz="0" w:space="0" w:color="auto"/>
        <w:right w:val="none" w:sz="0" w:space="0" w:color="auto"/>
      </w:divBdr>
      <w:divsChild>
        <w:div w:id="577636511">
          <w:marLeft w:val="0"/>
          <w:marRight w:val="0"/>
          <w:marTop w:val="0"/>
          <w:marBottom w:val="0"/>
          <w:divBdr>
            <w:top w:val="none" w:sz="0" w:space="0" w:color="auto"/>
            <w:left w:val="none" w:sz="0" w:space="0" w:color="auto"/>
            <w:bottom w:val="none" w:sz="0" w:space="0" w:color="auto"/>
            <w:right w:val="none" w:sz="0" w:space="0" w:color="auto"/>
          </w:divBdr>
          <w:divsChild>
            <w:div w:id="1546795609">
              <w:marLeft w:val="0"/>
              <w:marRight w:val="0"/>
              <w:marTop w:val="0"/>
              <w:marBottom w:val="0"/>
              <w:divBdr>
                <w:top w:val="none" w:sz="0" w:space="0" w:color="auto"/>
                <w:left w:val="none" w:sz="0" w:space="0" w:color="auto"/>
                <w:bottom w:val="none" w:sz="0" w:space="0" w:color="auto"/>
                <w:right w:val="none" w:sz="0" w:space="0" w:color="auto"/>
              </w:divBdr>
            </w:div>
            <w:div w:id="1435978361">
              <w:marLeft w:val="0"/>
              <w:marRight w:val="0"/>
              <w:marTop w:val="0"/>
              <w:marBottom w:val="0"/>
              <w:divBdr>
                <w:top w:val="none" w:sz="0" w:space="0" w:color="auto"/>
                <w:left w:val="none" w:sz="0" w:space="0" w:color="auto"/>
                <w:bottom w:val="none" w:sz="0" w:space="0" w:color="auto"/>
                <w:right w:val="none" w:sz="0" w:space="0" w:color="auto"/>
              </w:divBdr>
            </w:div>
            <w:div w:id="1425611674">
              <w:marLeft w:val="0"/>
              <w:marRight w:val="0"/>
              <w:marTop w:val="0"/>
              <w:marBottom w:val="0"/>
              <w:divBdr>
                <w:top w:val="none" w:sz="0" w:space="0" w:color="auto"/>
                <w:left w:val="none" w:sz="0" w:space="0" w:color="auto"/>
                <w:bottom w:val="none" w:sz="0" w:space="0" w:color="auto"/>
                <w:right w:val="none" w:sz="0" w:space="0" w:color="auto"/>
              </w:divBdr>
            </w:div>
            <w:div w:id="1233852019">
              <w:marLeft w:val="0"/>
              <w:marRight w:val="0"/>
              <w:marTop w:val="0"/>
              <w:marBottom w:val="0"/>
              <w:divBdr>
                <w:top w:val="none" w:sz="0" w:space="0" w:color="auto"/>
                <w:left w:val="none" w:sz="0" w:space="0" w:color="auto"/>
                <w:bottom w:val="none" w:sz="0" w:space="0" w:color="auto"/>
                <w:right w:val="none" w:sz="0" w:space="0" w:color="auto"/>
              </w:divBdr>
            </w:div>
            <w:div w:id="799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6228</Words>
  <Characters>40671</Characters>
  <Application>Microsoft Office Word</Application>
  <DocSecurity>0</DocSecurity>
  <Lines>1129</Lines>
  <Paragraphs>339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2022-02-11T11:13:00Z</dcterms:created>
  <dcterms:modified xsi:type="dcterms:W3CDTF">2022-02-11T11:13:00Z</dcterms:modified>
</cp:coreProperties>
</file>