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2B5019">
      <w:pPr>
        <w:pStyle w:val="Heading10"/>
        <w:keepNext/>
        <w:keepLines/>
      </w:pPr>
      <w:bookmarkStart w:id="0" w:name="bookmark0"/>
      <w:r>
        <w:rPr>
          <w:rStyle w:val="Heading1"/>
        </w:rPr>
        <w:t>Projekty wniosków ustawodawczych</w:t>
      </w:r>
      <w:bookmarkEnd w:id="0"/>
    </w:p>
    <w:p w14:paraId="08A98031" w14:textId="77777777" w:rsidR="00AA0AC6" w:rsidRDefault="002B5019">
      <w:pPr>
        <w:pStyle w:val="Heading20"/>
        <w:keepNext/>
        <w:keepLines/>
      </w:pPr>
      <w:bookmarkStart w:id="1" w:name="bookmark2"/>
      <w:r>
        <w:rPr>
          <w:rStyle w:val="Heading2"/>
        </w:rPr>
        <w:t>Uzupełnienia i poprawki zapisano kursywą.</w:t>
      </w:r>
      <w:bookmarkEnd w:id="1"/>
    </w:p>
    <w:p w14:paraId="69A787FA" w14:textId="77777777" w:rsidR="00AA0AC6" w:rsidRDefault="002B5019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>Projekt nowelizacji ustawy nr 14 z dnia 9 marca 1973 r. dotyczącej zapobiegania szkodliwym skutkom tytoniu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>§ 30. Znormalizowany wzór i oznaczanie opakowań i produktów</w:t>
      </w:r>
    </w:p>
    <w:p w14:paraId="55131F6E" w14:textId="77777777" w:rsidR="00AA0AC6" w:rsidRDefault="002B5019">
      <w:pPr>
        <w:pStyle w:val="BodyText"/>
        <w:ind w:firstLine="580"/>
      </w:pPr>
      <w:r>
        <w:rPr>
          <w:rStyle w:val="BodyTextChar"/>
        </w:rPr>
        <w:t>Zabrania się przywozu do Norwegii oraz sprzedaży opakowań na wyroby tytoniowe oraz wyrobó</w:t>
      </w:r>
      <w:r>
        <w:rPr>
          <w:rStyle w:val="BodyTextChar"/>
        </w:rPr>
        <w:t xml:space="preserve">w tytoniowych, które nie posiadają znormalizowanego wzoru zgodnie ze szczegółowymi przepisami ustanowionymi przez ministerstwo w rozporządzeniach. </w:t>
      </w:r>
      <w:r>
        <w:rPr>
          <w:rStyle w:val="BodyTextChar"/>
          <w:i/>
        </w:rPr>
        <w:t>To samo dotyczy papierosów elektronicznych i pojemników zapasowych, niezależnie od zawartości nikotyny.</w:t>
      </w:r>
      <w:r>
        <w:rPr>
          <w:rStyle w:val="BodyTextChar"/>
        </w:rPr>
        <w:t xml:space="preserve"> Norma</w:t>
      </w:r>
      <w:r>
        <w:rPr>
          <w:rStyle w:val="BodyTextChar"/>
        </w:rPr>
        <w:t>lizacja może dotyczyć m.in. koloru, kształtu, wyglądu, materiału i oznaczania, w tym stosowania nazw marek, logo i innych elementów związanych z marką.</w:t>
      </w:r>
    </w:p>
    <w:p w14:paraId="59A9A310" w14:textId="77777777" w:rsidR="00AA0AC6" w:rsidRDefault="002B5019">
      <w:pPr>
        <w:pStyle w:val="BodyText"/>
        <w:spacing w:after="540"/>
        <w:ind w:firstLine="580"/>
      </w:pPr>
      <w:r>
        <w:rPr>
          <w:rStyle w:val="BodyTextChar"/>
        </w:rPr>
        <w:t>Ministerstwo może wydawać przepisy dotyczące podobnej normalizacji oznaczania i wzoru opakowań akcesorió</w:t>
      </w:r>
      <w:r>
        <w:rPr>
          <w:rStyle w:val="BodyTextChar"/>
        </w:rPr>
        <w:t>w do palenia i zamienników tytoniu oraz wprowadzać zwolnienia dla określonych kategorii produktów. W przepisach ministerstwo może ograniczać rodzaj punktów sprzedaży detalicznej dopuszczonych do sprzedaży produktów zwolnionych z obowiązku normalizacji.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>§ 30a. Ostrzeżenie zdrowotne i prezentacja produktu</w:t>
      </w:r>
    </w:p>
    <w:p w14:paraId="776E89D9" w14:textId="652A9ACA" w:rsidR="00AA0AC6" w:rsidRDefault="002B5019">
      <w:pPr>
        <w:pStyle w:val="BodyText"/>
        <w:spacing w:after="200" w:line="240" w:lineRule="auto"/>
        <w:ind w:firstLine="500"/>
      </w:pPr>
      <w:r>
        <w:rPr>
          <w:rStyle w:val="BodyTextChar"/>
        </w:rPr>
        <w:t>Zabrania się przywozu do Norwegii oraz sprzedaży wyrobów tytoniowych, papierosów elektronicznych i pojemników zapasowych, a także produktów ziołowych do palenia, które nie są oznakowane ostrzeżeniami zdrowot</w:t>
      </w:r>
      <w:r>
        <w:rPr>
          <w:rStyle w:val="BodyTextChar"/>
        </w:rPr>
        <w:t>nymi.</w:t>
      </w:r>
    </w:p>
    <w:p w14:paraId="66AB4B62" w14:textId="77777777" w:rsidR="00AA0AC6" w:rsidRDefault="002B5019">
      <w:pPr>
        <w:pStyle w:val="BodyText"/>
        <w:spacing w:line="240" w:lineRule="auto"/>
        <w:ind w:firstLine="500"/>
      </w:pPr>
      <w:r>
        <w:rPr>
          <w:rStyle w:val="BodyTextChar"/>
        </w:rPr>
        <w:t>[Zabrania się przywozu do Norwegii oraz sprzedaży wyrobów tytoniowych, produktów ziołowych do palenia, papierosów elektronicznych i pojemników zapasowych oznakowanych dowolnymi elementami lub cechami, w tym tekstami, nazwami, znakami towarowymi, symb</w:t>
      </w:r>
      <w:r>
        <w:rPr>
          <w:rStyle w:val="BodyTextChar"/>
        </w:rPr>
        <w:t>olami, znakami graficznymi lub innymi znakami, które:</w:t>
      </w:r>
    </w:p>
    <w:p w14:paraId="5477CAB0" w14:textId="77777777" w:rsidR="00AA0AC6" w:rsidRDefault="002B5019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promują wyrób tytoniowy lub zachęcają do jego spożycia, stwarzając błędne wrażenie co do cech tego wyrobu, jego skutków dla zdrowia, związanych z nim zagrożeń i wydzielanych przez niego substancji;</w:t>
      </w:r>
    </w:p>
    <w:p w14:paraId="12A7A4D9" w14:textId="77777777" w:rsidR="00AA0AC6" w:rsidRDefault="002B5019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zawi</w:t>
      </w:r>
      <w:r>
        <w:rPr>
          <w:rStyle w:val="BodyTextChar"/>
        </w:rPr>
        <w:t>erają dowolne informacje na temat zawartości nikotyny, smoły lub tlenku węgla w wyrobie tytoniowym;</w:t>
      </w:r>
    </w:p>
    <w:p w14:paraId="446BC351" w14:textId="77777777" w:rsidR="00AA0AC6" w:rsidRDefault="002B5019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sugerują, że dany produkt jest mniej szkodliwy niż inne lub ma właściwości pobudzające, energetyczne, lecznicze, odmładzające, naturalne, organiczne lub nie</w:t>
      </w:r>
      <w:r>
        <w:rPr>
          <w:rStyle w:val="BodyTextChar"/>
        </w:rPr>
        <w:t>sie inne korzyści dla zdrowia lub stylu życia;</w:t>
      </w:r>
    </w:p>
    <w:p w14:paraId="7530D3E3" w14:textId="77777777" w:rsidR="00AA0AC6" w:rsidRDefault="002B5019" w:rsidP="002B5019">
      <w:pPr>
        <w:pStyle w:val="BodyText"/>
        <w:numPr>
          <w:ilvl w:val="0"/>
          <w:numId w:val="2"/>
        </w:numPr>
        <w:tabs>
          <w:tab w:val="left" w:pos="732"/>
        </w:tabs>
        <w:ind w:left="740" w:hanging="360"/>
      </w:pPr>
      <w:r>
        <w:rPr>
          <w:rStyle w:val="BodyTextChar"/>
        </w:rPr>
        <w:t>odnoszą się do smaku, zapachu, środków aromatyzujących lub innych dodatków bądź ich braku;</w:t>
      </w:r>
    </w:p>
    <w:p w14:paraId="6D3DA705" w14:textId="77777777" w:rsidR="00AA0AC6" w:rsidRDefault="002B5019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przypominają żywność lub produkt kosmetyczny;</w:t>
      </w:r>
    </w:p>
    <w:p w14:paraId="713D58E2" w14:textId="77777777" w:rsidR="00AA0AC6" w:rsidRDefault="002B5019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>sugerują, że dany wyrób tytoniowy niesie korzyści środowiskowe lub finansowe.</w:t>
      </w:r>
    </w:p>
    <w:p w14:paraId="5987CFDC" w14:textId="77777777" w:rsidR="00AA0AC6" w:rsidRDefault="002B5019">
      <w:pPr>
        <w:pStyle w:val="BodyText"/>
        <w:spacing w:after="200" w:line="240" w:lineRule="auto"/>
        <w:ind w:firstLine="500"/>
      </w:pPr>
      <w:r>
        <w:rPr>
          <w:rStyle w:val="BodyTextChar"/>
        </w:rPr>
        <w:t>Przepisy akapitu pierwszego</w:t>
      </w:r>
      <w:r>
        <w:rPr>
          <w:rStyle w:val="BodyTextChar"/>
          <w:strike/>
        </w:rPr>
        <w:t xml:space="preserve"> i drugiego</w:t>
      </w:r>
      <w:r>
        <w:rPr>
          <w:rStyle w:val="BodyTextChar"/>
        </w:rPr>
        <w:t xml:space="preserve"> nie mają zastosowania do jednorazowych papierosów elektronicznych bez nikotyny i pojemników zapasowych bez nikotyny. Zakaz podawania inform</w:t>
      </w:r>
      <w:r>
        <w:rPr>
          <w:rStyle w:val="BodyTextChar"/>
        </w:rPr>
        <w:t xml:space="preserve">acji o zawartości nikotyny w drugim akapicie lit. b </w:t>
      </w:r>
      <w:r>
        <w:rPr>
          <w:rStyle w:val="BodyTextChar"/>
          <w:strike/>
        </w:rPr>
        <w:t xml:space="preserve">oraz odniesienia do środków aromatyzujących w lit. d </w:t>
      </w:r>
      <w:r>
        <w:rPr>
          <w:rStyle w:val="BodyTextChar"/>
        </w:rPr>
        <w:t xml:space="preserve">nie </w:t>
      </w:r>
      <w:r>
        <w:rPr>
          <w:rStyle w:val="BodyTextChar"/>
          <w:i/>
        </w:rPr>
        <w:t>dotyczy</w:t>
      </w:r>
      <w:r>
        <w:rPr>
          <w:rStyle w:val="BodyTextChar"/>
        </w:rPr>
        <w:t xml:space="preserve"> papierosów elektronicznych i pojemników </w:t>
      </w:r>
      <w:r>
        <w:rPr>
          <w:rStyle w:val="BodyTextChar"/>
        </w:rPr>
        <w:lastRenderedPageBreak/>
        <w:t>zapasowych. Akapit drugi lit. d i lit. f nie mają zastosowania do produktów ziołowych do palenia, n</w:t>
      </w:r>
      <w:r>
        <w:rPr>
          <w:rStyle w:val="BodyTextChar"/>
        </w:rPr>
        <w:t>iemniej jednak nie wolno stwierdzać, że produkt jest wolny od dodatków lub środków aromatyzujących.</w:t>
      </w:r>
    </w:p>
    <w:p w14:paraId="4A3E0B34" w14:textId="77777777" w:rsidR="00AA0AC6" w:rsidRDefault="002B5019">
      <w:pPr>
        <w:pStyle w:val="BodyText"/>
        <w:spacing w:after="200" w:line="240" w:lineRule="auto"/>
        <w:ind w:firstLine="500"/>
      </w:pPr>
      <w:r>
        <w:rPr>
          <w:rStyle w:val="BodyTextChar"/>
        </w:rPr>
        <w:t>Ministerstwo może w przepisach ustanowić postanowienia uzupełniające do wymagań zawartych w pierwszym i drugim akapicie oraz wprowadzić od nich odstępstwa.</w:t>
      </w:r>
    </w:p>
    <w:p w14:paraId="4940B364" w14:textId="77777777" w:rsidR="00AA0AC6" w:rsidRDefault="002B5019" w:rsidP="001F37DB">
      <w:pPr>
        <w:pStyle w:val="BodyText"/>
        <w:keepNext/>
        <w:spacing w:after="140"/>
        <w:ind w:firstLine="0"/>
      </w:pPr>
      <w:r>
        <w:rPr>
          <w:rStyle w:val="BodyTextChar"/>
        </w:rPr>
        <w:t>Nowy § 32 lit. a) Zakaz charakterystycznych aromatów w papierosach elektronicznych itp.</w:t>
      </w:r>
    </w:p>
    <w:p w14:paraId="522ED393" w14:textId="77777777" w:rsidR="00AA0AC6" w:rsidRDefault="002B5019">
      <w:pPr>
        <w:pStyle w:val="BodyText"/>
        <w:ind w:firstLine="580"/>
      </w:pPr>
      <w:r>
        <w:rPr>
          <w:rStyle w:val="BodyTextChar"/>
          <w:i/>
        </w:rPr>
        <w:t>Zabrania się przywozu do Norwegii oraz sprzedaży papierosów elektronicznych i pojemników zapasowych, niezależnie od zawartości nikotyny, o charakterystycznych aromatach</w:t>
      </w:r>
      <w:r>
        <w:rPr>
          <w:rStyle w:val="BodyTextChar"/>
          <w:i/>
        </w:rPr>
        <w:t>. To samo dotyczy oddzielnych pojemników z dodatkami aromatyzującymi stosowanymi w papierosach elektronicznych.</w:t>
      </w:r>
    </w:p>
    <w:p w14:paraId="69779CD8" w14:textId="77777777" w:rsidR="00AA0AC6" w:rsidRDefault="002B5019">
      <w:pPr>
        <w:pStyle w:val="BodyText"/>
        <w:ind w:firstLine="580"/>
      </w:pPr>
      <w:r>
        <w:rPr>
          <w:rStyle w:val="BodyTextChar"/>
          <w:i/>
        </w:rPr>
        <w:t>Zakaz zawarty w akapicie pierwszym ma również zastosowanie do urządzeń i komponentów używanych w związku z papierosami elektronicznymi, które um</w:t>
      </w:r>
      <w:r>
        <w:rPr>
          <w:rStyle w:val="BodyTextChar"/>
          <w:i/>
        </w:rPr>
        <w:t>ożliwiają zmianę smaku lub zapachu produktów.</w:t>
      </w:r>
    </w:p>
    <w:p w14:paraId="2CC900A2" w14:textId="77777777" w:rsidR="00AA0AC6" w:rsidRDefault="002B5019">
      <w:pPr>
        <w:pStyle w:val="BodyText"/>
        <w:spacing w:after="420"/>
        <w:ind w:firstLine="580"/>
      </w:pPr>
      <w:r>
        <w:rPr>
          <w:rStyle w:val="BodyTextChar"/>
          <w:i/>
        </w:rPr>
        <w:t>Ministerstwo może uchwalać przepisy uzupełniające dotyczące zakazów określonych w akapicie pierwszym i drugim, wprowadzać zwolnienia, ustalać maksymalne poziomy dodatków lub kombinacji dodatków, które nadają ch</w:t>
      </w:r>
      <w:r>
        <w:rPr>
          <w:rStyle w:val="BodyTextChar"/>
          <w:i/>
        </w:rPr>
        <w:t>arakterystyczny aromat, oraz ustalać opłaty na pokrycie kosztów postępowania związanych z zakazami i nadzorem nad nimi. Ministerstwo może również w przepisach uchwalić wykaz, które dodatki aromatyzujące mogą być stosowane jako składniki w papierosach elekt</w:t>
      </w:r>
      <w:r>
        <w:rPr>
          <w:rStyle w:val="BodyTextChar"/>
          <w:i/>
        </w:rPr>
        <w:t>ronicznych i pojemnikach zapasowych.</w:t>
      </w:r>
    </w:p>
    <w:p w14:paraId="362A0B7D" w14:textId="77777777" w:rsidR="00AA0AC6" w:rsidRDefault="002B5019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>Projekt nowelizacji przepisów nr 141 z dnia 6 lutego 2003 r. w sprawie zawartości, oznaczania i wzoru wyrobów tytoniowych itp.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>§ 31. Minimalna wielkość i waga wyrobów tytoniowych</w:t>
      </w:r>
    </w:p>
    <w:p w14:paraId="6842D5C9" w14:textId="77777777" w:rsidR="00AA0AC6" w:rsidRDefault="002B5019">
      <w:pPr>
        <w:pStyle w:val="BodyText"/>
        <w:ind w:firstLine="580"/>
      </w:pPr>
      <w:r>
        <w:rPr>
          <w:rStyle w:val="BodyTextChar"/>
        </w:rPr>
        <w:t>Opakowanie jednostkowe przeznaczone do s</w:t>
      </w:r>
      <w:r>
        <w:rPr>
          <w:rStyle w:val="BodyTextChar"/>
        </w:rPr>
        <w:t>przedaży konsumentom zawierające</w:t>
      </w:r>
    </w:p>
    <w:p w14:paraId="67107DAC" w14:textId="77777777" w:rsidR="00AA0AC6" w:rsidRDefault="002B5019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>papierosy zawiera co najmniej 20 papierosów</w:t>
      </w:r>
    </w:p>
    <w:p w14:paraId="7EB220C6" w14:textId="77777777" w:rsidR="00AA0AC6" w:rsidRDefault="002B5019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>tytoń do samodzielnego skręcania papierosów zawiera co najmniej 30 gramów</w:t>
      </w:r>
    </w:p>
    <w:p w14:paraId="12A03E59" w14:textId="77777777" w:rsidR="00AA0AC6" w:rsidRDefault="002B5019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>porcje tytoniu do stosowania doustnego zawiera co najmniej 20 porcji i 15 gramów</w:t>
      </w:r>
    </w:p>
    <w:p w14:paraId="28849DE5" w14:textId="77777777" w:rsidR="00AA0AC6" w:rsidRDefault="002B5019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>luźny tytoń do żucia zaw</w:t>
      </w:r>
      <w:r>
        <w:rPr>
          <w:rStyle w:val="BodyTextChar"/>
          <w:i/>
        </w:rPr>
        <w:t>iera co najmniej 30 gramów.</w:t>
      </w:r>
    </w:p>
    <w:p w14:paraId="02AA3190" w14:textId="77777777" w:rsidR="00AA0AC6" w:rsidRDefault="002B5019">
      <w:pPr>
        <w:pStyle w:val="BodyText"/>
        <w:ind w:firstLine="580"/>
      </w:pPr>
      <w:r>
        <w:rPr>
          <w:rStyle w:val="BodyTextChar"/>
        </w:rPr>
        <w:t>Te opakowania jednostkowe nie mogą zawierać mniejszych pakietów i nie mogą być dzielone na mniejsze pakiety.</w:t>
      </w:r>
    </w:p>
    <w:p w14:paraId="563C0CD8" w14:textId="77777777" w:rsidR="00AA0AC6" w:rsidRDefault="002B5019">
      <w:pPr>
        <w:pStyle w:val="BodyText"/>
        <w:spacing w:after="80"/>
        <w:ind w:firstLine="580"/>
      </w:pPr>
      <w:r>
        <w:rPr>
          <w:rStyle w:val="BodyTextChar"/>
        </w:rPr>
        <w:t>Cygara mogą być sprzedawane indywidualnie z ostrzeżeniami zdrowotnymi na opakowaniu.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2B50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2B5019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FE45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87.95pt;width:2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t2fwEAAP4CAAAOAAAAZHJzL2Uyb0RvYy54bWysUsFqwzAMvQ/2D8b3NWkL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" filled="f" stroked="f">
              <v:textbox style="mso-fit-shape-to-text:t" inset="0,0,0,0">
                <w:txbxContent>
                  <w:p w14:paraId="20A706FC" w14:textId="77777777" w:rsidR="00AA0AC6" w:rsidRDefault="002B5019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B5019"/>
    <w:rsid w:val="002E616B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3</cp:revision>
  <dcterms:created xsi:type="dcterms:W3CDTF">2023-01-30T12:45:00Z</dcterms:created>
  <dcterms:modified xsi:type="dcterms:W3CDTF">2023-02-06T09:16:00Z</dcterms:modified>
</cp:coreProperties>
</file>