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GOSPODARKA I GOSPODARKA MORSKA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Biuro sekretarza stanu ds. gospodarki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Zarządzenie nr 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Podsumowanie: Zarządzenie ustanawiające rozporządzenie w sprawie prawnej kontroli metrologicznej dymomierzy.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Kontrola metrologiczna metod i przyrządów pomiarowych w Portugalii jest zgodna z ogólnym systemem zatwierdzonym dekretem z mocą ustawy nr 29/2022 z dnia 7 kwietnia 2022 r., ogólnymi przepisami wykonawczymi zawartymi w ogólnym rozporządzeniu w sprawie kontroli metrologicznej zatwierdzonym rozporządzeniem nr 211/2022 z dnia 23 sierpnia 2022 r., a także z przepisami zawartymi w szczegółowych rozporządzeniach dotyczących każdego przyrządu pomiarowego.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W związku z publikacją tego stanowiska prawnego konieczne staje się przyjęcie szczególnego rozporządzenia, któremu musi odpowiadać kontrola metrologiczna dymomierzy, uchylając zarządzenie nr 797/2009 z dnia 1 grudnia 2009 r.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Niniejsze zarządzenie zostało objęte procedurą informacyjną w dziedzinie przepisów technicznych i zasad dotyczących usług społeczeństwa informacyjnego, o której mowa w dyrektywie Parlamentu Europejskiego i Rady (UE) 2015/1535 z dnia 9 września 2015 r.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Wobec powyższego: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Zgodnie z art. 2 lit. a) i art. 25 ust. 1 dekretu z mocą ustawy nr 29/2022 z dnia 7 kwietnia 2022 r. w związku z przepisami art. 1 ust. 4 rozporządzenia załączonego do zarządzenia nr 211/2022 z dnia 23 sierpnia 2022 r., rząd, za pośrednictwem sekretarza stanu ds. gospodarki, wydaje, co następuje: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Artykuł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Przedmiot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Niniejszym zatwierdza się rozporządzenie w sprawie prawnej kontroli metrologicznej dymomierzy załączone do niniejszego zarządzenia, którego stanowi ono integralną część.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Klauzula uchylająca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Niniejszym uchyla się zarządzenie nr 797/2009 z dnia 1 grudnia 2009 r.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Wejście w życie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Niniejsze zarządzenie wchodzi w życie następnego dnia po jego opublikowaniu.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xx xxxxxx 2023 r. – Sekretarz stanu ds. gospodarki, </w:t>
      </w:r>
      <w:r>
        <w:rPr>
          <w:rFonts w:ascii="Garamond" w:hAnsi="Garamond"/>
          <w:i/>
          <w:sz w:val="24"/>
        </w:rPr>
        <w:t>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ZAŁĄCZNIK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ROZPORZĄDZENIE W SPRAWIE PRAWNEJ KONTROLI METROLOGICZNEJ DYMOMIERZY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Zakres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Niniejsze rozporządzenie stosuje się do dymomierzy przeznaczonych do pomiaru nieprzezroczystości emisji spalin emitowanych przez pojazdy z silnikami wysokoprężnymi.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Definicja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Do celów niniejszego rozporządzenia dymomierze oznaczają przyrządy przeznaczone do ciągłego pomiaru nieprzezroczystości spalin emitowanych przez pojazdy.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Artykuł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Oddawanie do użytku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Dymomierze muszą spełniać wymagania metrologiczne i techniczne określone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w </w:t>
      </w:r>
      <w:bookmarkEnd w:id="2"/>
      <w:bookmarkEnd w:id="3"/>
      <w:r>
        <w:rPr>
          <w:rFonts w:ascii="Garamond" w:hAnsi="Garamond"/>
          <w:sz w:val="24"/>
        </w:rPr>
        <w:t>normie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Wskazanie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Wskazanie dymomierzy wyraża się współczynnikiem pochłaniania światła, przedstawianym za pomocą symbolu k i w jednostce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Wartości nieprzezroczystości są procentowe i są wyrażone symbolem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Gdy współczynnik przeliczeniowy jest należycie wyrażony, można przyjąć inne równoważne jednostki na podstawie jednostek Międzynarodowego Układu Jednostek Miar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Artykuł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Prawna kontrola metrologiczna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Za prawną kontrolę metrologiczną </w:t>
      </w:r>
      <w:bookmarkStart w:id="4" w:name="_Hlk106875133"/>
      <w:r>
        <w:rPr>
          <w:rFonts w:ascii="Garamond" w:hAnsi="Garamond"/>
          <w:sz w:val="24"/>
        </w:rPr>
        <w:t>dymomierzy</w:t>
      </w:r>
      <w:bookmarkEnd w:id="4"/>
      <w:r>
        <w:rPr>
          <w:rFonts w:ascii="Garamond" w:hAnsi="Garamond"/>
          <w:sz w:val="24"/>
        </w:rPr>
        <w:t xml:space="preserve"> odpowiada portugalski Instytut Jakości, I. P. (IPQ, I. P.) i obejmuje zatwierdzenie modelu, legalizację pierwotną, legalizację okresową i legalizację specjalną.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Zatwierdzenie modelu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Wzór zatwierdzenia musi być zgodny z wymogami określonymi w art. 7 dekretu z mocą ustawy nr 29/2022 z dnia 7 kwietnia 2022 r. oraz w art. 2 rozporządzenia załączonego do zarządzenia nr 211/2022 z dnia 23 sierpnia 2022 r.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W okresie ważności zatwierdzenia modelu każda zmiana dokonana w zatwierdzonym modelu poprzez zastąpienie elementów, dodanie dodatkowych urządzeń, </w:t>
      </w:r>
      <w:r>
        <w:rPr>
          <w:rFonts w:ascii="Garamond" w:hAnsi="Garamond"/>
          <w:color w:val="000000"/>
          <w:sz w:val="24"/>
        </w:rPr>
        <w:t xml:space="preserve">zmianę zainstalowanego oprogramowania </w:t>
      </w:r>
      <w:r>
        <w:rPr>
          <w:rFonts w:ascii="Garamond" w:hAnsi="Garamond"/>
          <w:i/>
          <w:iCs/>
          <w:color w:val="000000"/>
          <w:sz w:val="24"/>
        </w:rPr>
        <w:t>(software)</w:t>
      </w:r>
      <w:r>
        <w:rPr>
          <w:rFonts w:ascii="Garamond" w:hAnsi="Garamond"/>
          <w:color w:val="000000"/>
          <w:sz w:val="24"/>
        </w:rPr>
        <w:t xml:space="preserve"> lub zmiany mogące wpłynąć na wyniki pomiarów lub zalecane warunki użytkowania, wymaga dodatkowego zatwierdzenia modelu.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(3) Oprogramowanie stosowane przez dymomierze musi gwarantować integralność i poufność gromadzonych i prezentowanych danych oraz musi podlegać unikalnej i jednoznacznej identyfikacji.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Legalizacja pierwotna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Legalizację pierwotną przeprowadza się przed wprowadzeniem przyrządu do obrotu lub po jego naprawie oraz za każdym razem, gdy dochodzi do naruszenia systemu uszczelniającego, bez legalizacji okresowej w danym roku i o takim samym okresie ważności.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Badania w ramach legalizacji pierwotnej przeprowadza się zgodnie z wymogami metrologicznymi i technicznymi określonymi w art. 3 niniejszego rozporządzenia.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5" w:name="_Hlk63414812"/>
      <w:r>
        <w:rPr>
          <w:rFonts w:ascii="Garamond" w:hAnsi="Garamond"/>
          <w:sz w:val="24"/>
        </w:rPr>
        <w:t>(3)</w:t>
      </w:r>
      <w:bookmarkEnd w:id="5"/>
      <w:r>
        <w:rPr>
          <w:rFonts w:ascii="Garamond" w:hAnsi="Garamond"/>
          <w:sz w:val="24"/>
        </w:rPr>
        <w:t xml:space="preserve"> Maksymalne dopuszczalne wartości błędu dla legalizacji pierwotnej są równe ±2 % nieprzezroczystości,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A652C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Artykuł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Legalizacja okresowa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6" w:name="_Hlk107869984"/>
      <w:bookmarkStart w:id="7" w:name="_Hlk107936171"/>
      <w:r>
        <w:rPr>
          <w:rFonts w:ascii="Garamond" w:hAnsi="Garamond"/>
          <w:sz w:val="24"/>
        </w:rPr>
        <w:t>(1) Legalizacja okresowa ma częstotliwość roczną i jest ważna przez rok po jej dokonaniu.</w:t>
      </w:r>
    </w:p>
    <w:bookmarkEnd w:id="6"/>
    <w:bookmarkEnd w:id="7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Badania legalizacji okresowej są takie same jak badania ustanowione dla legalizacji pierwotnej.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Wartości maksymalnych dopuszczalnych błędów podczas legalizacji okresowej są równe wartościom maksymalnych dopuszczalnych błędów ustalonych dla legalizacji pierwotnej.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Legalizacja specjalna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Legalizacja specjalna obejmuje badania legalizacji okresowej.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Podczas legalizacji specjalnej wartości maksymalnych dopuszczalnych błędów są równe wartościom maksymalnych dopuszczalnych błędów ustalonych dla legalizacji okresowej.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Artykuł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Napisy i oznaczenia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8" w:name="_Hlk82391725"/>
      <w:bookmarkStart w:id="9" w:name="_Hlk82391591"/>
      <w:r>
        <w:rPr>
          <w:rFonts w:ascii="Garamond" w:hAnsi="Garamond"/>
          <w:sz w:val="24"/>
        </w:rPr>
        <w:t>(1) Na dymomierzach w sposób widoczny i czytelny umieszcza się napisy i oznaczenia wskazujące na spełnienie wymagań metrologicznych określonych w art. 3 niniejszego rozporządzenia.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8"/>
      <w:r>
        <w:rPr>
          <w:rFonts w:ascii="Garamond" w:hAnsi="Garamond"/>
          <w:sz w:val="24"/>
        </w:rPr>
        <w:t xml:space="preserve"> Dymomierze opatrzone są również symbolem zatwierdzenia modelu oraz innymi symbolami lub odniesieniami korzystnymi do ich stosowania.</w:t>
      </w:r>
    </w:p>
    <w:bookmarkEnd w:id="9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0" w:name="_Hlk63417111"/>
      <w:r>
        <w:rPr>
          <w:rFonts w:ascii="Garamond" w:hAnsi="Garamond"/>
          <w:sz w:val="24"/>
        </w:rPr>
        <w:t>Artykuł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Przepis przejściowy</w:t>
      </w:r>
    </w:p>
    <w:bookmarkEnd w:id="10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Przyrządy mogą pozostać w użyciu, jeżeli są w dobrym stanie i jeżeli w badaniach legalizacji metrologicznej uzyskają błędy, które nie przekraczają maksymalnych błędów dopuszczalnych.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Artykuł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Postanowienia końcowe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Przepisy poprzednich artykułów nie stanowią przeszkody dla wprowadzania do obrotu lub dalszego stosowania dymomierzy, którym towarzyszą świadectwa oceny zgodności wydane przez jednostki uznane na mocy mającego zastosowanie prawodawstwa Unii Europejskiej, w zakresie działalności metrologii prawnej, w oparciu o specyfikacje i procedury zapewniające jakość metrologiczną zgodną z zamierzoną w niniejszym rozporządzeniu, przy czym równoważność jest oceniana przez IPQ, I. 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A652C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3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