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DC9D" w14:textId="282E5D0C" w:rsidR="007A1FAA" w:rsidRPr="00153F89" w:rsidRDefault="007A1FAA" w:rsidP="00C54A0E">
      <w:pPr>
        <w:jc w:val="center"/>
        <w:rPr>
          <w:b/>
        </w:rPr>
      </w:pPr>
      <w:r>
        <w:rPr>
          <w:b/>
        </w:rPr>
        <w:t>Zákon […] z roku 2023,</w:t>
      </w:r>
    </w:p>
    <w:p w14:paraId="4A900911" w14:textId="77777777" w:rsidR="007A1FAA" w:rsidRPr="00153F89" w:rsidRDefault="007A1FAA" w:rsidP="00C54A0E">
      <w:pPr>
        <w:jc w:val="center"/>
        <w:rPr>
          <w:b/>
        </w:rPr>
      </w:pPr>
    </w:p>
    <w:p w14:paraId="3305083E" w14:textId="28A6A7D7" w:rsidR="007A1FAA" w:rsidRDefault="007A1FAA" w:rsidP="00C54A0E">
      <w:pPr>
        <w:jc w:val="center"/>
        <w:rPr>
          <w:b/>
        </w:rPr>
      </w:pPr>
      <w:r>
        <w:rPr>
          <w:b/>
        </w:rPr>
        <w:t xml:space="preserve">kterým se mění zákon XLII z roku 1999 </w:t>
      </w:r>
      <w:r>
        <w:rPr>
          <w:rStyle w:val="Emphasis"/>
          <w:b/>
          <w:i w:val="0"/>
        </w:rPr>
        <w:t>o ochraně nekuřáků</w:t>
      </w:r>
      <w:r>
        <w:rPr>
          <w:b/>
        </w:rPr>
        <w:t xml:space="preserve"> a o některých pravidlech pro spotřebu a distribuci tabákových výrobků a zákon CXXXIV z roku 2012 o potlačování kouření nezletilých a o maloobchodním prodeji tabákových výrobků</w:t>
      </w:r>
    </w:p>
    <w:p w14:paraId="60E721BE" w14:textId="1C81A8B7" w:rsidR="007A1FAA" w:rsidRDefault="007A1FAA" w:rsidP="00C54A0E">
      <w:pPr>
        <w:jc w:val="center"/>
        <w:rPr>
          <w:b/>
        </w:rPr>
      </w:pPr>
    </w:p>
    <w:p w14:paraId="35324481" w14:textId="647AE267" w:rsidR="00396C85" w:rsidRDefault="00396C85" w:rsidP="00C54A0E">
      <w:pPr>
        <w:jc w:val="center"/>
        <w:rPr>
          <w:b/>
        </w:rPr>
      </w:pPr>
    </w:p>
    <w:p w14:paraId="594C6594" w14:textId="62E1C8A3" w:rsidR="00396C85" w:rsidRDefault="00396C85" w:rsidP="00C54A0E">
      <w:pPr>
        <w:jc w:val="center"/>
        <w:rPr>
          <w:b/>
        </w:rPr>
      </w:pPr>
    </w:p>
    <w:p w14:paraId="0ADB084F" w14:textId="3753FB14" w:rsidR="00396C85" w:rsidRPr="00153F89" w:rsidRDefault="00396C85" w:rsidP="00913058">
      <w:pPr>
        <w:jc w:val="center"/>
        <w:rPr>
          <w:rFonts w:eastAsia="Noto Sans CJK SC"/>
          <w:b/>
          <w:kern w:val="2"/>
        </w:rPr>
      </w:pPr>
      <w:r>
        <w:rPr>
          <w:b/>
        </w:rPr>
        <w:t xml:space="preserve">1. Změna zákona XLII z roku 1999 </w:t>
      </w:r>
      <w:r>
        <w:rPr>
          <w:rStyle w:val="Emphasis"/>
          <w:b/>
          <w:i w:val="0"/>
        </w:rPr>
        <w:t>o ochraně nekuřáků</w:t>
      </w:r>
      <w:r>
        <w:rPr>
          <w:b/>
        </w:rPr>
        <w:t xml:space="preserve"> a o některých pravidlech o spotřebě a distribuci tabákových výrobků</w:t>
      </w:r>
    </w:p>
    <w:p w14:paraId="77B62EF7" w14:textId="77777777" w:rsidR="007A1FAA" w:rsidRDefault="007A1FAA" w:rsidP="00C54A0E">
      <w:pPr>
        <w:jc w:val="center"/>
        <w:rPr>
          <w:rFonts w:eastAsia="Noto Sans CJK SC"/>
          <w:b/>
          <w:kern w:val="2"/>
          <w:lang w:eastAsia="zh-CN" w:bidi="hi-IN"/>
        </w:rPr>
      </w:pPr>
    </w:p>
    <w:p w14:paraId="37AE6481" w14:textId="77777777" w:rsidR="007A1FAA" w:rsidRDefault="007A1FAA" w:rsidP="00C54A0E">
      <w:pPr>
        <w:jc w:val="center"/>
        <w:rPr>
          <w:rFonts w:eastAsia="Noto Sans CJK SC"/>
          <w:b/>
          <w:kern w:val="2"/>
          <w:lang w:eastAsia="zh-CN" w:bidi="hi-IN"/>
        </w:rPr>
      </w:pPr>
    </w:p>
    <w:p w14:paraId="7602B97D" w14:textId="1DC3F8E9" w:rsidR="00C54A0E" w:rsidRPr="00C54A0E" w:rsidRDefault="00835734" w:rsidP="00C54A0E">
      <w:pPr>
        <w:jc w:val="center"/>
        <w:rPr>
          <w:rFonts w:eastAsia="Noto Sans CJK SC"/>
          <w:b/>
          <w:kern w:val="2"/>
        </w:rPr>
      </w:pPr>
      <w:r>
        <w:rPr>
          <w:b/>
        </w:rPr>
        <w:t>§ 1</w:t>
      </w:r>
    </w:p>
    <w:p w14:paraId="59207714" w14:textId="77777777" w:rsidR="00C54A0E" w:rsidRDefault="00C54A0E" w:rsidP="00DB125E">
      <w:pPr>
        <w:jc w:val="both"/>
        <w:rPr>
          <w:rFonts w:eastAsia="Noto Sans CJK SC"/>
          <w:kern w:val="2"/>
          <w:lang w:eastAsia="zh-CN" w:bidi="hi-IN"/>
        </w:rPr>
      </w:pPr>
    </w:p>
    <w:p w14:paraId="1103FA69" w14:textId="1C54AF0F" w:rsidR="00DB125E" w:rsidRDefault="004049B2" w:rsidP="00DB125E">
      <w:pPr>
        <w:jc w:val="both"/>
      </w:pPr>
      <w:r>
        <w:t xml:space="preserve">(1) V zákoně XLII z roku 1999 o ochraně nekuřáků a o některých pravidlech pro spotřebu a distribuci tabákových výrobků (dále jen „protikuřácký zákon“) se § 1 písm. </w:t>
      </w:r>
      <w:r>
        <w:rPr>
          <w:i/>
        </w:rPr>
        <w:t xml:space="preserve">s) </w:t>
      </w:r>
      <w:r>
        <w:t xml:space="preserve">a </w:t>
      </w:r>
      <w:r>
        <w:rPr>
          <w:i/>
        </w:rPr>
        <w:t>t) a</w:t>
      </w:r>
      <w:r>
        <w:t xml:space="preserve"> nahrazuje tímto: </w:t>
      </w:r>
    </w:p>
    <w:p w14:paraId="60AA4A3C" w14:textId="77777777" w:rsidR="00DB125E" w:rsidRDefault="00DB125E" w:rsidP="00DB125E">
      <w:pPr>
        <w:jc w:val="both"/>
      </w:pPr>
    </w:p>
    <w:p w14:paraId="7FEED38F" w14:textId="77777777" w:rsidR="00DB125E" w:rsidRPr="00E5303B" w:rsidRDefault="00DB125E" w:rsidP="00DB125E">
      <w:pPr>
        <w:suppressAutoHyphens/>
        <w:jc w:val="both"/>
        <w:rPr>
          <w:rFonts w:eastAsia="Noto Sans CJK SC"/>
          <w:i/>
          <w:iCs/>
          <w:kern w:val="2"/>
        </w:rPr>
      </w:pPr>
      <w:r>
        <w:rPr>
          <w:i/>
        </w:rPr>
        <w:t>(Pro účely tohoto zákona)</w:t>
      </w:r>
    </w:p>
    <w:p w14:paraId="08370725" w14:textId="77777777" w:rsidR="00DB125E" w:rsidRPr="005A143B" w:rsidRDefault="00DB125E" w:rsidP="00DB125E">
      <w:pPr>
        <w:jc w:val="both"/>
      </w:pPr>
    </w:p>
    <w:p w14:paraId="4219C306" w14:textId="77777777" w:rsidR="00DB125E" w:rsidRPr="00164E2E" w:rsidRDefault="00DB125E" w:rsidP="00DB125E">
      <w:pPr>
        <w:jc w:val="both"/>
      </w:pPr>
      <w:r>
        <w:t>„</w:t>
      </w:r>
      <w:r>
        <w:rPr>
          <w:i/>
        </w:rPr>
        <w:t>s)</w:t>
      </w:r>
      <w:r>
        <w:t xml:space="preserve"> </w:t>
      </w:r>
      <w:r>
        <w:rPr>
          <w:i/>
        </w:rPr>
        <w:t>elektronické zařízení pro napodobování kouření</w:t>
      </w:r>
      <w:r>
        <w:t xml:space="preserve"> je elektronický výrobek pro jednorázové použití (jednorázový) nebo výrobek s náhradní náplní bez nikotinu, která má být znovu naplněna, nebo používán se zásobníkem bez nikotinu (pro více použití), který může být použit k inhalaci výparů bez nikotinu prostřednictvím náustku; nebo jakákoliv součást tohoto výrobku, včetně nádob, nebo jakéhokoli zařízení bez zásobníku nebo nádoby;</w:t>
      </w:r>
    </w:p>
    <w:p w14:paraId="715B99F0" w14:textId="77777777" w:rsidR="00DB125E" w:rsidRPr="00164E2E" w:rsidRDefault="00DB125E" w:rsidP="00DB125E">
      <w:pPr>
        <w:jc w:val="both"/>
      </w:pPr>
      <w:r>
        <w:rPr>
          <w:i/>
        </w:rPr>
        <w:t>t) náhradní náplň bez nikotinu</w:t>
      </w:r>
      <w:r>
        <w:t xml:space="preserve"> je nádoba obsahující tekutinu bez nikotinu pro opětovné naplnění elektronického zařízení pro napodobování kouření;“</w:t>
      </w:r>
    </w:p>
    <w:p w14:paraId="622D8771" w14:textId="77777777" w:rsidR="00DB125E" w:rsidRDefault="00DB125E" w:rsidP="00DB125E">
      <w:pPr>
        <w:jc w:val="both"/>
      </w:pPr>
    </w:p>
    <w:p w14:paraId="07B1F29D" w14:textId="747BAB26" w:rsidR="00DB125E" w:rsidRDefault="00DB125E" w:rsidP="00DB125E">
      <w:pPr>
        <w:jc w:val="both"/>
      </w:pPr>
      <w:r>
        <w:t xml:space="preserve">(2) V protikuřáckém zákoně se v § 1 doplňuje nové písmeno </w:t>
      </w:r>
      <w:r>
        <w:rPr>
          <w:i/>
        </w:rPr>
        <w:t>z)</w:t>
      </w:r>
      <w:r>
        <w:t xml:space="preserve">, který zní: </w:t>
      </w:r>
    </w:p>
    <w:p w14:paraId="7979A114" w14:textId="77777777" w:rsidR="00AF7221" w:rsidRDefault="00AF7221" w:rsidP="00DB125E">
      <w:pPr>
        <w:suppressAutoHyphens/>
        <w:jc w:val="both"/>
        <w:rPr>
          <w:rFonts w:eastAsia="Noto Sans CJK SC"/>
          <w:i/>
          <w:iCs/>
          <w:kern w:val="2"/>
          <w:lang w:eastAsia="zh-CN" w:bidi="hi-IN"/>
        </w:rPr>
      </w:pPr>
    </w:p>
    <w:p w14:paraId="50B52E7A" w14:textId="77777777" w:rsidR="00DB125E" w:rsidRPr="00E5303B" w:rsidRDefault="00DB125E" w:rsidP="00DB125E">
      <w:pPr>
        <w:suppressAutoHyphens/>
        <w:jc w:val="both"/>
        <w:rPr>
          <w:rFonts w:eastAsia="Noto Sans CJK SC"/>
          <w:i/>
          <w:iCs/>
          <w:kern w:val="2"/>
        </w:rPr>
      </w:pPr>
      <w:r>
        <w:rPr>
          <w:i/>
        </w:rPr>
        <w:t>(Pro účely tohoto zákona)</w:t>
      </w:r>
    </w:p>
    <w:p w14:paraId="51C4D610" w14:textId="77777777" w:rsidR="00DB125E" w:rsidRPr="00164E2E" w:rsidRDefault="00DB125E" w:rsidP="00DB125E">
      <w:pPr>
        <w:jc w:val="both"/>
      </w:pPr>
    </w:p>
    <w:p w14:paraId="0754F231" w14:textId="77777777" w:rsidR="00DB125E" w:rsidRPr="00164E2E" w:rsidRDefault="00DB125E" w:rsidP="00DB125E">
      <w:pPr>
        <w:jc w:val="both"/>
      </w:pPr>
      <w:r>
        <w:rPr>
          <w:i/>
        </w:rPr>
        <w:t>„z) zásobník bez nikotinu</w:t>
      </w:r>
      <w:r>
        <w:t xml:space="preserve"> je druh náhradní náplně bez nikotinu, která je nutná pro použití určitých elektronických zařízení pro napodobování kouření a která je nádobou obsahující tekutinu bez nikotinu v jakékoli formě, obvykle pro jedno použití (není znovu plnitelná).“</w:t>
      </w:r>
    </w:p>
    <w:p w14:paraId="60DBF520" w14:textId="77777777" w:rsidR="00DB125E" w:rsidRPr="00E5303B" w:rsidRDefault="00DB125E" w:rsidP="00DB125E">
      <w:pPr>
        <w:pStyle w:val="BodyText"/>
        <w:spacing w:after="0"/>
      </w:pPr>
    </w:p>
    <w:p w14:paraId="7157B6B9" w14:textId="77F5D7FF" w:rsidR="00DB125E" w:rsidRPr="00E5303B" w:rsidRDefault="002D6BBD" w:rsidP="00DB125E">
      <w:pPr>
        <w:suppressAutoHyphens/>
        <w:jc w:val="center"/>
        <w:rPr>
          <w:rFonts w:eastAsia="Noto Sans CJK SC"/>
          <w:b/>
          <w:bCs/>
          <w:kern w:val="2"/>
        </w:rPr>
      </w:pPr>
      <w:r>
        <w:rPr>
          <w:b/>
        </w:rPr>
        <w:t xml:space="preserve">§ 2 </w:t>
      </w:r>
    </w:p>
    <w:p w14:paraId="4D09B8D7" w14:textId="77777777" w:rsidR="00DB125E" w:rsidRPr="00E5303B" w:rsidRDefault="00DB125E" w:rsidP="00DB125E">
      <w:pPr>
        <w:suppressAutoHyphens/>
        <w:jc w:val="center"/>
        <w:rPr>
          <w:rFonts w:eastAsia="Noto Sans CJK SC"/>
          <w:b/>
          <w:bCs/>
          <w:kern w:val="2"/>
          <w:lang w:eastAsia="zh-CN" w:bidi="hi-IN"/>
        </w:rPr>
      </w:pPr>
    </w:p>
    <w:p w14:paraId="0904DDA9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(1) § 7/D odst. 1 protikuřáckého zákona se nahrazuje tímto:</w:t>
      </w:r>
    </w:p>
    <w:p w14:paraId="1AB84FCC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BDA0FD0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„(1) Výrobci a dovozci elektronických cigaret, náhradní náplní a zásobníků, elektronických zařízení pro napodobování kouření, náhradních náplní bez nikotinu, zásobníků bez nikotinu a náhražek ke kouření obsahujících nikotin, a jejich distributoři v Maďarsku oznámí orgánu veřejného zdraví každý výrobek, který hodlají uvést na trh, šest měsíců před jeho uvedením na trh.“</w:t>
      </w:r>
    </w:p>
    <w:p w14:paraId="679D7C12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FADB2C1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(2) § 7/D odst. 3 protikuřáckého zákona se nahrazuje tímto:</w:t>
      </w:r>
    </w:p>
    <w:p w14:paraId="65AF6563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4D1678D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„(3) Orgánu veřejného zdraví se v souladu s odstavcem 1 oznámí:</w:t>
      </w:r>
    </w:p>
    <w:p w14:paraId="407E44DE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lastRenderedPageBreak/>
        <w:t>a) jakékoli změny elektronických cigaret, náhradních náplní a zásobníků, elektronických zařízení pro napodobování kouření, náhradních náplní bez nikotinu, zásobníků bez nikotinu a náhražek ke kouření obsahujících nikotin, které mají vliv na technické vlastnosti výrobku, jak jsou definovány v tomto zákoně nebo ve vládní vyhlášce vydané na základě autorizace tohoto zákona, a</w:t>
      </w:r>
    </w:p>
    <w:p w14:paraId="4724DEC7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b) změny v identitě a dostupnosti výrobce, dovozce nebo distributora elektronických cigaret, náhradních náplní a zásobníků, elektronických zařízení pro napodobování kouření, náhradních náplní bez nikotinu, zásobníků bez nikotinu a náhražek ke kouření obsahujících nikotin, v Maďarsku.“</w:t>
      </w:r>
    </w:p>
    <w:p w14:paraId="6C8341DF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282F017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(3) V protikuřáckém zákoně se v § 7/D doplňují nové odstavce 5 a 6, které znějí:</w:t>
      </w:r>
    </w:p>
    <w:p w14:paraId="7441615E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B414A24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„(5) Orgán veřejného zdraví vede záznamy o výrobcích oznámených podle odstavce 1, které obsahují:</w:t>
      </w:r>
    </w:p>
    <w:p w14:paraId="62C5FC5A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a) jméno oznamovatele, výrobce nebo dovozce, nebo distributora v Maďarsku,</w:t>
      </w:r>
    </w:p>
    <w:p w14:paraId="606EE827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b) identifikační číslo elektronické cigarety,</w:t>
      </w:r>
    </w:p>
    <w:p w14:paraId="19CD09BF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c) název obchodní značky a dílčí obchodní značky,</w:t>
      </w:r>
    </w:p>
    <w:p w14:paraId="69FB953D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d) druh výrobku,</w:t>
      </w:r>
    </w:p>
    <w:p w14:paraId="73992F7B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e) pořadové číslo osvědčení vydaného o oznámení, a</w:t>
      </w:r>
    </w:p>
    <w:p w14:paraId="56BF7838" w14:textId="77777777" w:rsidR="00DB125E" w:rsidRPr="00E5303B" w:rsidRDefault="00DB125E" w:rsidP="00DB125E">
      <w:pPr>
        <w:suppressAutoHyphens/>
        <w:ind w:left="426" w:hanging="426"/>
        <w:jc w:val="both"/>
        <w:rPr>
          <w:rFonts w:eastAsia="Noto Sans CJK SC"/>
          <w:kern w:val="2"/>
        </w:rPr>
      </w:pPr>
      <w:r>
        <w:t>f) první možný den pro uvedení na trh vypočtený podle odstavce 1.</w:t>
      </w:r>
    </w:p>
    <w:p w14:paraId="0A73E3F9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AFD82F4" w14:textId="77777777" w:rsidR="00DB125E" w:rsidRPr="00E5303B" w:rsidRDefault="00DB125E" w:rsidP="00DB125E">
      <w:pPr>
        <w:suppressAutoHyphens/>
        <w:jc w:val="both"/>
        <w:rPr>
          <w:rFonts w:eastAsia="Noto Sans CJK SC"/>
          <w:kern w:val="2"/>
        </w:rPr>
      </w:pPr>
      <w:r>
        <w:t>(6) Maďarský výrobce, dovozce a distributor se postará o stažení z trhu a o zpětný odkup všech výrobků, na které se vztahuje zákaz uvádění na trh a které jsou drženy na skladě maloobchodníkem s tabákovými výrobky.“</w:t>
      </w:r>
    </w:p>
    <w:p w14:paraId="0A9586A9" w14:textId="422B59D3" w:rsidR="00333428" w:rsidRDefault="00333428"/>
    <w:p w14:paraId="1421BAD6" w14:textId="29A4BA46" w:rsidR="002D6BBD" w:rsidRDefault="002D6BBD" w:rsidP="00153F89">
      <w:pPr>
        <w:jc w:val="center"/>
        <w:rPr>
          <w:b/>
        </w:rPr>
      </w:pPr>
      <w:r>
        <w:rPr>
          <w:b/>
        </w:rPr>
        <w:t>§ 3</w:t>
      </w:r>
    </w:p>
    <w:p w14:paraId="49A18EF4" w14:textId="77777777" w:rsidR="002D6BBD" w:rsidRPr="002D6BBD" w:rsidRDefault="002D6BBD" w:rsidP="00741559">
      <w:pPr>
        <w:suppressAutoHyphens/>
        <w:rPr>
          <w:rFonts w:eastAsia="Noto Sans CJK SC"/>
          <w:b/>
          <w:bCs/>
          <w:kern w:val="2"/>
          <w:lang w:eastAsia="zh-CN" w:bidi="hi-IN"/>
        </w:rPr>
      </w:pPr>
    </w:p>
    <w:p w14:paraId="55F5F8E9" w14:textId="77777777" w:rsidR="002D6BBD" w:rsidRPr="002D6BBD" w:rsidRDefault="002D6BBD" w:rsidP="002D6BBD">
      <w:pPr>
        <w:suppressAutoHyphens/>
        <w:jc w:val="both"/>
        <w:rPr>
          <w:rFonts w:eastAsia="Noto Sans CJK SC"/>
          <w:kern w:val="2"/>
        </w:rPr>
      </w:pPr>
      <w:r>
        <w:t xml:space="preserve">  Ustanovení § 8 odst. 5 písm. a) protikuřáckého zákona se nahrazuje tímto:</w:t>
      </w:r>
    </w:p>
    <w:p w14:paraId="585AED6B" w14:textId="77777777" w:rsidR="002D6BBD" w:rsidRPr="002D6BBD" w:rsidRDefault="002D6BBD" w:rsidP="002D6BBD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3352F57E" w14:textId="77777777" w:rsidR="002D6BBD" w:rsidRPr="002D6BBD" w:rsidRDefault="002D6BBD" w:rsidP="002D6BBD">
      <w:pPr>
        <w:suppressAutoHyphens/>
        <w:jc w:val="both"/>
        <w:rPr>
          <w:rFonts w:eastAsia="Noto Sans CJK SC"/>
          <w:i/>
          <w:iCs/>
          <w:kern w:val="2"/>
        </w:rPr>
      </w:pPr>
      <w:r>
        <w:rPr>
          <w:i/>
        </w:rPr>
        <w:t>(Vláda je tímto oprávněna stanovit a implementovat následující nařízení):</w:t>
      </w:r>
    </w:p>
    <w:p w14:paraId="10A0B187" w14:textId="77777777" w:rsidR="002D6BBD" w:rsidRPr="002D6BBD" w:rsidRDefault="002D6BBD" w:rsidP="002D6BBD">
      <w:pPr>
        <w:suppressAutoHyphens/>
        <w:jc w:val="both"/>
        <w:rPr>
          <w:rFonts w:eastAsia="Noto Sans CJK SC"/>
          <w:i/>
          <w:iCs/>
          <w:kern w:val="2"/>
          <w:lang w:eastAsia="zh-CN" w:bidi="hi-IN"/>
        </w:rPr>
      </w:pPr>
    </w:p>
    <w:p w14:paraId="455FABFB" w14:textId="7FC737D8" w:rsidR="002D6BBD" w:rsidRPr="00153F89" w:rsidRDefault="002D6BBD" w:rsidP="00153F89">
      <w:pPr>
        <w:jc w:val="both"/>
        <w:rPr>
          <w:b/>
        </w:rPr>
      </w:pPr>
      <w:r>
        <w:t>„a) kombinovaná varování, zdravotní varování a jejich podrobná pravidla použití, jakož i podrobná pravidla pro spotřebitelské obalové jednotky tabákových výrobků a balení elektronických cigaret, náhradních náplní a zásobníků, elektronických zařízení pro napodobování kouření, náhradních náplní bez nikotinu, zásobníků bez nikotinu a náhražek ke kouření obsahujících nikotin, obsah a formu značek a označení pro omezení kouření a vyhrazených kuřáckých prostor, jakož i těch, které slouží k používání elektronických cigaret a elektronických zařízení pro napodobování kouření, kromě dalších podmínek výroby, distribuce a kontroly tabákových výrobků, elektronických cigaret, náhradních náplní a zásobníků, elektronických zařízení pro napodobování kouření, náhradních náplní bez nikotinu, zásobníků bez nikotinu a náhražek ke kouření obsahujících nikotin, přičemž tyto podmínky nespadají do oblasti působnosti zákona o spotřební dani,“</w:t>
      </w:r>
    </w:p>
    <w:p w14:paraId="0D5D932B" w14:textId="77777777" w:rsidR="002D6BBD" w:rsidRDefault="002D6BBD"/>
    <w:p w14:paraId="255BC7D4" w14:textId="48DF91E1" w:rsidR="00DB125E" w:rsidRPr="00D55D42" w:rsidRDefault="00827692" w:rsidP="00DB125E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§ 4</w:t>
      </w:r>
    </w:p>
    <w:p w14:paraId="4D0DDFF7" w14:textId="77777777" w:rsidR="00DB125E" w:rsidRPr="007F65B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855D94E" w14:textId="77777777" w:rsidR="00DB125E" w:rsidRPr="00D55D42" w:rsidRDefault="00DB125E" w:rsidP="00DB125E">
      <w:pPr>
        <w:jc w:val="both"/>
      </w:pPr>
      <w:r>
        <w:t>V protikuřáckém zákoně se v § 10 doplňuje nový odstavec 4a, který zní:</w:t>
      </w:r>
    </w:p>
    <w:p w14:paraId="007E3F42" w14:textId="77777777" w:rsidR="00DB125E" w:rsidRPr="00D55D42" w:rsidRDefault="00DB125E" w:rsidP="00DB125E">
      <w:pPr>
        <w:jc w:val="center"/>
      </w:pPr>
    </w:p>
    <w:p w14:paraId="37B8ADF9" w14:textId="59AF2AF0" w:rsidR="005777D3" w:rsidRDefault="00DB125E" w:rsidP="005777D3">
      <w:pPr>
        <w:jc w:val="both"/>
      </w:pPr>
      <w:r>
        <w:t xml:space="preserve">„(4a) U náhradních náplní bez nikotinu, zásobníků bez nikotinu a náhražek ke kouření obsahujících nikotin již na trhu ke dni 1. září 2023 oznámení ve smyslu § 7/D odst. 1 podle § 2 zákona ... z roku 2023, kterým se mění zákon XLII z roku 1999 o ochraně nekuřáků a o </w:t>
      </w:r>
      <w:r>
        <w:lastRenderedPageBreak/>
        <w:t>některých pravidlech pro spotřebu a distribuci tabákových výrobků a zákon CXXXIV z roku 2012 o potlačování kouření nezletilých a o maloobchodním prodeji tabákových výrobků,</w:t>
      </w:r>
    </w:p>
    <w:p w14:paraId="064D8A1E" w14:textId="4F3F8F5C" w:rsidR="00DB125E" w:rsidRDefault="005777D3" w:rsidP="005777D3">
      <w:pPr>
        <w:jc w:val="both"/>
      </w:pPr>
      <w:r>
        <w:t xml:space="preserve">  musí být provedeno do 31. ledna 2024.“</w:t>
      </w:r>
    </w:p>
    <w:p w14:paraId="717F87AE" w14:textId="77777777" w:rsidR="00E91F8B" w:rsidRDefault="00E91F8B" w:rsidP="005777D3">
      <w:pPr>
        <w:jc w:val="both"/>
      </w:pPr>
    </w:p>
    <w:p w14:paraId="44851160" w14:textId="00604E87" w:rsidR="00E91F8B" w:rsidRDefault="00DC56BA" w:rsidP="00E91F8B">
      <w:pPr>
        <w:jc w:val="center"/>
        <w:rPr>
          <w:b/>
        </w:rPr>
      </w:pPr>
      <w:r>
        <w:rPr>
          <w:b/>
        </w:rPr>
        <w:t>§ 5</w:t>
      </w:r>
    </w:p>
    <w:p w14:paraId="664F8A47" w14:textId="77777777" w:rsidR="00E91F8B" w:rsidRDefault="00E91F8B" w:rsidP="00E91F8B">
      <w:pPr>
        <w:jc w:val="center"/>
        <w:rPr>
          <w:b/>
        </w:rPr>
      </w:pPr>
    </w:p>
    <w:p w14:paraId="1478B73D" w14:textId="09EACD72" w:rsidR="00E91F8B" w:rsidRPr="00E91F8B" w:rsidRDefault="00E91F8B" w:rsidP="00E91F8B">
      <w:pPr>
        <w:jc w:val="both"/>
      </w:pPr>
      <w:r>
        <w:t>Do protikuřáckého zákona se vkládá nový § 8/B, který zní:</w:t>
      </w:r>
    </w:p>
    <w:p w14:paraId="67B84AC8" w14:textId="77777777" w:rsidR="00DB125E" w:rsidRPr="00E91F8B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84A7AE2" w14:textId="4761C864" w:rsidR="00E91F8B" w:rsidRDefault="00E91F8B" w:rsidP="00E91F8B">
      <w:pPr>
        <w:suppressAutoHyphens/>
        <w:jc w:val="both"/>
      </w:pPr>
      <w:r>
        <w:t>„§ 8/B Následující oddíly stanovené zákonem ... z roku 2023, kterým se mění zákon XLII z roku 1999 o ochraně nekuřáků a o některých pravidlech pro spotřebu a distribuci tabákových výrobků, a zákon CXXXIV z roku 2012 o potlačování kouření nezletilých a o maloobchodním prodeji tabákových výrobků, jak je uvedeno níže, tj. § 1 písm. s), t) a z), § 7/C, § 7/D odst. 1, 3, 5 a 6. § 7/E odst. 1 až 6, § 7/F, § 7/G odst. 1 a 2, § 7/H, § 8 odst. 5 písm. a) a § 10 odst. 4a tohoto návrhu zákona byly předem oznámeny, jak je stanoveno v článcích 5–7 směrnice Evropského parlamentu a Rady (EU) 2015/1535 ze dne 9. září 2015 o postupu při poskytování informací v oblasti technických předpisů a pravidel pro služby informační společnosti.“</w:t>
      </w:r>
    </w:p>
    <w:p w14:paraId="1DD4D51B" w14:textId="77777777" w:rsidR="00F46F72" w:rsidRPr="00E91F8B" w:rsidRDefault="00F46F72" w:rsidP="00E91F8B">
      <w:pPr>
        <w:suppressAutoHyphens/>
        <w:jc w:val="both"/>
        <w:rPr>
          <w:rFonts w:eastAsia="Noto Sans CJK SC"/>
          <w:kern w:val="2"/>
        </w:rPr>
      </w:pPr>
    </w:p>
    <w:p w14:paraId="2419D499" w14:textId="0D517A46" w:rsidR="00DB125E" w:rsidRPr="00E5303B" w:rsidRDefault="00DC56BA" w:rsidP="00DB125E">
      <w:pPr>
        <w:suppressAutoHyphens/>
        <w:jc w:val="center"/>
        <w:rPr>
          <w:rFonts w:eastAsia="Noto Sans CJK SC"/>
          <w:b/>
          <w:bCs/>
          <w:kern w:val="2"/>
        </w:rPr>
      </w:pPr>
      <w:r>
        <w:rPr>
          <w:b/>
        </w:rPr>
        <w:t>§ 6</w:t>
      </w:r>
    </w:p>
    <w:p w14:paraId="0DFDC86D" w14:textId="77777777" w:rsidR="00DB125E" w:rsidRPr="00E5303B" w:rsidRDefault="00DB125E" w:rsidP="00DB125E">
      <w:pPr>
        <w:suppressAutoHyphens/>
        <w:jc w:val="center"/>
        <w:rPr>
          <w:rFonts w:eastAsia="Noto Sans CJK SC"/>
          <w:b/>
          <w:bCs/>
          <w:kern w:val="2"/>
          <w:lang w:eastAsia="zh-CN" w:bidi="hi-IN"/>
        </w:rPr>
      </w:pPr>
    </w:p>
    <w:p w14:paraId="5BFEC514" w14:textId="77777777" w:rsidR="00DB125E" w:rsidRPr="00220B1E" w:rsidRDefault="00DB125E" w:rsidP="00DB125E">
      <w:pPr>
        <w:suppressAutoHyphens/>
        <w:jc w:val="both"/>
        <w:rPr>
          <w:rFonts w:eastAsia="Noto Sans CJK SC"/>
          <w:kern w:val="2"/>
        </w:rPr>
      </w:pPr>
      <w:r>
        <w:t>V protikuřáckém zákoně</w:t>
      </w:r>
    </w:p>
    <w:p w14:paraId="122223BC" w14:textId="072F979E" w:rsidR="00DB125E" w:rsidRPr="00330FEB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a) v § 7/C se slova „elektronické cigarety“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42C19F9D" w14:textId="47D845C4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b) v § 7/E odst. 1 až 5 se slova „elektronické cigarety a náhradní náplně“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19152C58" w14:textId="4EF940FA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c) v § 7/E odst. 6 se slova „elektronické cigarety nebo náhradní náplně“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5C52EB6E" w14:textId="4B3E8951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d) v § 7/F se slova „elektronické cigarety a náhradní náplně“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741ED564" w14:textId="3926C1BE" w:rsidR="00DB125E" w:rsidRPr="00D55D42" w:rsidRDefault="00153F89" w:rsidP="00DB125E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e) v § 7/G odst. 1 se slova „elektronické cigarety nebo náhradní náplně“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5DED55E3" w14:textId="1EE35D48" w:rsidR="00DB125E" w:rsidRPr="00673F64" w:rsidRDefault="00153F89" w:rsidP="00DB125E">
      <w:pPr>
        <w:pStyle w:val="BodyText"/>
        <w:spacing w:after="0" w:line="240" w:lineRule="auto"/>
        <w:jc w:val="both"/>
      </w:pPr>
      <w:r>
        <w:rPr>
          <w:rFonts w:ascii="Times New Roman" w:hAnsi="Times New Roman"/>
        </w:rPr>
        <w:t>f) v § 7/G odst. 2 se slova „elektronické cigarety a náhradní náplně“ nahrazují slovy „elektronické cigarety, náhradní náplně, zásobníky, elektronická zařízení pro napodobování kouření, náhradní náplně bez nikotinu, zásobníky bez nikotinu a náhražky ke kouření obsahující nikotin“;</w:t>
      </w:r>
    </w:p>
    <w:p w14:paraId="7504C957" w14:textId="137E6308" w:rsidR="00DB125E" w:rsidRPr="00673F64" w:rsidRDefault="00153F89" w:rsidP="00DB125E">
      <w:pPr>
        <w:pStyle w:val="BodyText"/>
        <w:spacing w:after="0" w:line="240" w:lineRule="auto"/>
        <w:jc w:val="both"/>
      </w:pPr>
      <w:r>
        <w:rPr>
          <w:rFonts w:ascii="Times New Roman" w:hAnsi="Times New Roman"/>
        </w:rPr>
        <w:t xml:space="preserve">g) v § 7/H se slova „elektronické cigarety a elektronické napodobeniny pro kouření“ nahrazují slovy „elektronické cigarety, náhradní náplně, zásobníky, elektronická zařízení pro napodobování kouření, náhradní náplně bez nikotinu, zásobníky bez nikotinu a náhražky ke kouření obsahující nikotin“.  </w:t>
      </w:r>
    </w:p>
    <w:p w14:paraId="7B117976" w14:textId="6C5DAC8A" w:rsidR="00AD4247" w:rsidRPr="00206271" w:rsidRDefault="00AD4247" w:rsidP="00DB125E">
      <w:pPr>
        <w:suppressAutoHyphens/>
        <w:jc w:val="both"/>
        <w:rPr>
          <w:rFonts w:eastAsia="Noto Sans CJK SC"/>
          <w:kern w:val="2"/>
        </w:rPr>
      </w:pPr>
    </w:p>
    <w:p w14:paraId="31D8C477" w14:textId="77777777" w:rsidR="00DB125E" w:rsidRDefault="00DB125E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63F5E34B" w14:textId="09CC9006" w:rsidR="00DB125E" w:rsidRPr="00D55D42" w:rsidRDefault="00DC56BA" w:rsidP="00EC0B88">
      <w:pPr>
        <w:keepNext/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lastRenderedPageBreak/>
        <w:t>§ 7</w:t>
      </w:r>
    </w:p>
    <w:p w14:paraId="6B1D9AD2" w14:textId="77777777" w:rsidR="00DB125E" w:rsidRDefault="00DB125E" w:rsidP="00EC0B88">
      <w:pPr>
        <w:keepNext/>
        <w:suppressAutoHyphens/>
        <w:jc w:val="center"/>
        <w:rPr>
          <w:rFonts w:eastAsia="Noto Sans CJK SC"/>
          <w:kern w:val="2"/>
          <w:lang w:eastAsia="zh-CN" w:bidi="hi-IN"/>
        </w:rPr>
      </w:pPr>
    </w:p>
    <w:p w14:paraId="69C95DAD" w14:textId="00089198" w:rsidR="00DB125E" w:rsidRDefault="00DB125E" w:rsidP="00DB125E">
      <w:pPr>
        <w:suppressAutoHyphens/>
        <w:jc w:val="both"/>
        <w:rPr>
          <w:rFonts w:eastAsia="Noto Sans CJK SC"/>
          <w:kern w:val="2"/>
        </w:rPr>
      </w:pPr>
      <w:r>
        <w:t xml:space="preserve"> § 7/I protikuřáckého zákona se zrušuje.</w:t>
      </w:r>
    </w:p>
    <w:p w14:paraId="63C6352E" w14:textId="441D5254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33EC2E38" w14:textId="06B5DBAF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09B98B0A" w14:textId="59AFB0A9" w:rsidR="00396C85" w:rsidRPr="00153F89" w:rsidRDefault="00396C85" w:rsidP="00153F89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2. Změna zákona CXXXIV z roku 2012 o potlačování kouření nezletilých a o maloobchodním prodeji tabákových výrobků</w:t>
      </w:r>
    </w:p>
    <w:p w14:paraId="1908A397" w14:textId="7B789F09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4CC534DD" w14:textId="24BAC365" w:rsidR="006802D9" w:rsidRDefault="00DC56BA" w:rsidP="006802D9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§ 8</w:t>
      </w:r>
    </w:p>
    <w:p w14:paraId="0CFD6C4A" w14:textId="77777777" w:rsidR="006802D9" w:rsidRDefault="006802D9" w:rsidP="006802D9">
      <w:pPr>
        <w:suppressAutoHyphens/>
        <w:jc w:val="center"/>
      </w:pPr>
    </w:p>
    <w:p w14:paraId="2F519D6D" w14:textId="7C6EFEEE" w:rsidR="006802D9" w:rsidRDefault="006802D9" w:rsidP="006802D9">
      <w:pPr>
        <w:suppressAutoHyphens/>
        <w:jc w:val="both"/>
      </w:pPr>
      <w:r>
        <w:t>V zákoně CXXXIV z roku 2012 o potlačování kouření nezletilých a o maloobchodním prodeji tabákových výrobků (dále jen: Zákon o potlačování kouření nezletilých), v § 28 se doplňuje nový odstavec 4, který zní:</w:t>
      </w:r>
    </w:p>
    <w:p w14:paraId="71301D22" w14:textId="77777777" w:rsidR="006802D9" w:rsidRDefault="006802D9" w:rsidP="006802D9">
      <w:pPr>
        <w:suppressAutoHyphens/>
        <w:jc w:val="both"/>
        <w:rPr>
          <w:rFonts w:eastAsia="Noto Sans CJK SC"/>
          <w:b/>
          <w:kern w:val="2"/>
          <w:lang w:eastAsia="zh-CN" w:bidi="hi-IN"/>
        </w:rPr>
      </w:pPr>
    </w:p>
    <w:p w14:paraId="5F246645" w14:textId="07BDD953" w:rsidR="006802D9" w:rsidRPr="00E91F8B" w:rsidRDefault="006802D9" w:rsidP="006802D9">
      <w:pPr>
        <w:suppressAutoHyphens/>
        <w:jc w:val="both"/>
        <w:rPr>
          <w:rFonts w:eastAsia="Noto Sans CJK SC"/>
          <w:kern w:val="2"/>
        </w:rPr>
      </w:pPr>
      <w:r>
        <w:t>„(4) Návrh § 1 odst. 1 písm. e) a § 3 odst. 2 písm. e), zavedený zákonem ... z roku 2023, kterým se mění zákon XLII z roku 1999 o ochraně nekuřáků a o některých pravidlech pro spotřebu a distribuci tabákových výrobků, a zákon CXXXIV z roku 2012 o potlačování kouření nezletilých a o maloobchodním prodeji tabákových výrobků, byly předem oznámeny, jak je stanoveno v článcích 5–7 směrnice Evropského parlamentu a Rady (EU) 2015/1535 ze dne 9. září 2015 o postupu při poskytování informací v oblasti technických předpisů a předpisů pro služby informační společnosti.“</w:t>
      </w:r>
    </w:p>
    <w:p w14:paraId="0CD8ED42" w14:textId="77777777" w:rsidR="006802D9" w:rsidRDefault="006802D9" w:rsidP="006802D9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69112F5E" w14:textId="0F9E35C3" w:rsidR="006802D9" w:rsidRDefault="00DC56BA" w:rsidP="006802D9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§ 9</w:t>
      </w:r>
    </w:p>
    <w:p w14:paraId="2586615B" w14:textId="77777777" w:rsidR="006802D9" w:rsidRPr="006802D9" w:rsidRDefault="006802D9" w:rsidP="006802D9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012E5D30" w14:textId="1946FFE6" w:rsidR="00396C85" w:rsidRDefault="00402174" w:rsidP="00153F89">
      <w:pPr>
        <w:jc w:val="both"/>
      </w:pPr>
      <w:r>
        <w:t xml:space="preserve">V § 1 odst. 1 písm. </w:t>
      </w:r>
      <w:r>
        <w:rPr>
          <w:i/>
        </w:rPr>
        <w:t xml:space="preserve">e) </w:t>
      </w:r>
      <w:r>
        <w:t>a v § 3 odst. 2 písm.</w:t>
      </w:r>
      <w:r>
        <w:rPr>
          <w:i/>
        </w:rPr>
        <w:t xml:space="preserve"> e)</w:t>
      </w:r>
      <w:r>
        <w:t xml:space="preserve"> zákona o potlačování kouření nezletilých se slova „náhradní náplně bez nikotinu“ nahrazují slovy „náhradní náplně bez nikotinu, zásobníky bez nikotinu,“.</w:t>
      </w:r>
    </w:p>
    <w:p w14:paraId="5D7A0B89" w14:textId="77777777" w:rsidR="00396C85" w:rsidRDefault="00396C85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2C61ABF" w14:textId="24FCE190" w:rsidR="008848B7" w:rsidRDefault="008848B7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1466126E" w14:textId="15A9380C" w:rsidR="008848B7" w:rsidRPr="00153F89" w:rsidRDefault="005F4FA3" w:rsidP="00153F89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3. Závěrečná ustanovení</w:t>
      </w:r>
    </w:p>
    <w:p w14:paraId="163CB994" w14:textId="30D9ABEE" w:rsidR="008848B7" w:rsidRDefault="008848B7" w:rsidP="00DB125E">
      <w:pPr>
        <w:suppressAutoHyphens/>
        <w:jc w:val="both"/>
        <w:rPr>
          <w:rFonts w:eastAsia="Noto Sans CJK SC"/>
          <w:kern w:val="2"/>
          <w:lang w:eastAsia="zh-CN" w:bidi="hi-IN"/>
        </w:rPr>
      </w:pPr>
    </w:p>
    <w:p w14:paraId="29A59FA1" w14:textId="53D3DD9D" w:rsidR="008246FC" w:rsidRDefault="00DC56BA" w:rsidP="008246FC">
      <w:pPr>
        <w:suppressAutoHyphens/>
        <w:jc w:val="center"/>
        <w:rPr>
          <w:rFonts w:eastAsia="Noto Sans CJK SC"/>
          <w:b/>
          <w:kern w:val="2"/>
        </w:rPr>
      </w:pPr>
      <w:r>
        <w:rPr>
          <w:b/>
        </w:rPr>
        <w:t>§ 10</w:t>
      </w:r>
    </w:p>
    <w:p w14:paraId="2974E0DE" w14:textId="77777777" w:rsidR="00741559" w:rsidRPr="008246FC" w:rsidRDefault="00741559" w:rsidP="008246FC">
      <w:pPr>
        <w:suppressAutoHyphens/>
        <w:jc w:val="center"/>
        <w:rPr>
          <w:rFonts w:eastAsia="Noto Sans CJK SC"/>
          <w:b/>
          <w:kern w:val="2"/>
          <w:lang w:eastAsia="zh-CN" w:bidi="hi-IN"/>
        </w:rPr>
      </w:pPr>
    </w:p>
    <w:p w14:paraId="478AF8B4" w14:textId="27448AA5" w:rsidR="008246FC" w:rsidRDefault="008246FC" w:rsidP="004049B2">
      <w:pPr>
        <w:pStyle w:val="ListParagraph"/>
        <w:suppressAutoHyphens/>
        <w:ind w:left="0"/>
        <w:jc w:val="both"/>
        <w:rPr>
          <w:rFonts w:eastAsia="Noto Sans CJK SC"/>
          <w:kern w:val="2"/>
        </w:rPr>
      </w:pPr>
      <w:r>
        <w:t>Tento zákon nabývá účinnosti dne 1. listopadu 2023.</w:t>
      </w:r>
    </w:p>
    <w:p w14:paraId="6B8F11CF" w14:textId="77777777" w:rsidR="00020F6A" w:rsidRDefault="00020F6A" w:rsidP="004049B2">
      <w:pPr>
        <w:pStyle w:val="ListParagraph"/>
        <w:suppressAutoHyphens/>
        <w:ind w:left="0"/>
        <w:jc w:val="both"/>
        <w:rPr>
          <w:rFonts w:eastAsia="Noto Sans CJK SC"/>
          <w:kern w:val="2"/>
          <w:lang w:eastAsia="zh-CN" w:bidi="hi-IN"/>
        </w:rPr>
      </w:pPr>
    </w:p>
    <w:p w14:paraId="7FC9F906" w14:textId="02636919" w:rsidR="00704C1F" w:rsidRDefault="00704C1F"/>
    <w:p w14:paraId="315EA5DC" w14:textId="41BBEEA0" w:rsidR="00E91F8B" w:rsidRPr="00E91F8B" w:rsidRDefault="006802D9" w:rsidP="00E91F8B">
      <w:pPr>
        <w:jc w:val="center"/>
        <w:rPr>
          <w:b/>
        </w:rPr>
      </w:pPr>
      <w:r>
        <w:rPr>
          <w:b/>
        </w:rPr>
        <w:t>§ 11</w:t>
      </w:r>
    </w:p>
    <w:p w14:paraId="7BC9C63E" w14:textId="77777777" w:rsidR="00E91F8B" w:rsidRDefault="00E91F8B" w:rsidP="00E91F8B">
      <w:pPr>
        <w:jc w:val="center"/>
      </w:pPr>
    </w:p>
    <w:p w14:paraId="50C1AEE0" w14:textId="45A9E010" w:rsidR="00E91F8B" w:rsidRDefault="00E91F8B" w:rsidP="00E91F8B">
      <w:pPr>
        <w:jc w:val="both"/>
        <w:rPr>
          <w:rFonts w:eastAsia="Noto Sans CJK SC"/>
          <w:kern w:val="2"/>
        </w:rPr>
      </w:pPr>
      <w:r>
        <w:t>Požadavek na předchozí oznámení tohoto návrhu zákona, jak je stanoveno v článcích 5 až 7 směrnice Evropského parlamentu a Rady (EU) 2015/1535 ze dne 9. září 2015 o postupu při poskytování informací v oblasti technických předpisů a předpisů pro služby informační společnosti, byl splněn.</w:t>
      </w:r>
    </w:p>
    <w:p w14:paraId="34D6B5FF" w14:textId="77777777" w:rsidR="00704C1F" w:rsidRDefault="00704C1F"/>
    <w:sectPr w:rsidR="0070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E05"/>
    <w:multiLevelType w:val="hybridMultilevel"/>
    <w:tmpl w:val="B6D2390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B9B"/>
    <w:multiLevelType w:val="hybridMultilevel"/>
    <w:tmpl w:val="9AD43B9C"/>
    <w:lvl w:ilvl="0" w:tplc="21BCA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82103A"/>
    <w:multiLevelType w:val="hybridMultilevel"/>
    <w:tmpl w:val="2D6256B8"/>
    <w:lvl w:ilvl="0" w:tplc="07768FE0">
      <w:start w:val="1"/>
      <w:numFmt w:val="lowerLetter"/>
      <w:lvlText w:val="%1)"/>
      <w:lvlJc w:val="left"/>
      <w:pPr>
        <w:ind w:left="1065" w:hanging="705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5200">
    <w:abstractNumId w:val="1"/>
  </w:num>
  <w:num w:numId="2" w16cid:durableId="103955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0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11"/>
    <w:rsid w:val="00003480"/>
    <w:rsid w:val="00020F6A"/>
    <w:rsid w:val="000622EF"/>
    <w:rsid w:val="000B2D67"/>
    <w:rsid w:val="000D2A11"/>
    <w:rsid w:val="001124F5"/>
    <w:rsid w:val="00153F89"/>
    <w:rsid w:val="00156D3E"/>
    <w:rsid w:val="00193FD6"/>
    <w:rsid w:val="001F588D"/>
    <w:rsid w:val="00237063"/>
    <w:rsid w:val="002D6BBD"/>
    <w:rsid w:val="00333428"/>
    <w:rsid w:val="00396C85"/>
    <w:rsid w:val="003A401D"/>
    <w:rsid w:val="00402174"/>
    <w:rsid w:val="004049B2"/>
    <w:rsid w:val="004947EA"/>
    <w:rsid w:val="00521434"/>
    <w:rsid w:val="00531A08"/>
    <w:rsid w:val="005777D3"/>
    <w:rsid w:val="00593AE9"/>
    <w:rsid w:val="005A2187"/>
    <w:rsid w:val="005C77CD"/>
    <w:rsid w:val="005F4FA3"/>
    <w:rsid w:val="00623454"/>
    <w:rsid w:val="006802D9"/>
    <w:rsid w:val="00704C1F"/>
    <w:rsid w:val="00741559"/>
    <w:rsid w:val="007A1FAA"/>
    <w:rsid w:val="008246FC"/>
    <w:rsid w:val="00827692"/>
    <w:rsid w:val="00835734"/>
    <w:rsid w:val="008848B7"/>
    <w:rsid w:val="008B7648"/>
    <w:rsid w:val="009002BA"/>
    <w:rsid w:val="00913058"/>
    <w:rsid w:val="009F216A"/>
    <w:rsid w:val="00AD4247"/>
    <w:rsid w:val="00AF7221"/>
    <w:rsid w:val="00B353AA"/>
    <w:rsid w:val="00B771CC"/>
    <w:rsid w:val="00C124B9"/>
    <w:rsid w:val="00C54A0E"/>
    <w:rsid w:val="00CC4E66"/>
    <w:rsid w:val="00D524FF"/>
    <w:rsid w:val="00DB125E"/>
    <w:rsid w:val="00DC56BA"/>
    <w:rsid w:val="00E54C14"/>
    <w:rsid w:val="00E91F8B"/>
    <w:rsid w:val="00EC0B88"/>
    <w:rsid w:val="00F220C3"/>
    <w:rsid w:val="00F260A9"/>
    <w:rsid w:val="00F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9F0"/>
  <w15:docId w15:val="{A62FC256-44D0-4473-BEEF-349E02F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125E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B125E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styleId="CommentReference">
    <w:name w:val="annotation reference"/>
    <w:uiPriority w:val="99"/>
    <w:unhideWhenUsed/>
    <w:rsid w:val="00DB125E"/>
    <w:rPr>
      <w:sz w:val="16"/>
      <w:szCs w:val="16"/>
    </w:rPr>
  </w:style>
  <w:style w:type="paragraph" w:styleId="CommentText">
    <w:name w:val="annotation text"/>
    <w:aliases w:val="Char,Comment Text Char"/>
    <w:basedOn w:val="Normal"/>
    <w:link w:val="CommentTextChar1"/>
    <w:uiPriority w:val="99"/>
    <w:unhideWhenUsed/>
    <w:qFormat/>
    <w:rsid w:val="00DB125E"/>
    <w:pPr>
      <w:spacing w:after="200"/>
    </w:pPr>
    <w:rPr>
      <w:rFonts w:ascii="Calibri" w:eastAsia="Calibri" w:hAnsi="Calibri"/>
      <w:sz w:val="20"/>
      <w:szCs w:val="20"/>
      <w:lang w:eastAsia="x-none"/>
    </w:rPr>
  </w:style>
  <w:style w:type="character" w:customStyle="1" w:styleId="CommentTextChar1">
    <w:name w:val="Comment Text Char1"/>
    <w:aliases w:val="Char Char,Comment Text Char Char"/>
    <w:basedOn w:val="DefaultParagraphFont"/>
    <w:link w:val="CommentText"/>
    <w:uiPriority w:val="99"/>
    <w:qFormat/>
    <w:rsid w:val="00DB125E"/>
    <w:rPr>
      <w:rFonts w:ascii="Calibri" w:eastAsia="Calibri" w:hAnsi="Calibri" w:cs="Times New Roman"/>
      <w:sz w:val="20"/>
      <w:szCs w:val="20"/>
      <w:lang w:val="cs-CZ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5E"/>
    <w:rPr>
      <w:rFonts w:ascii="Segoe UI" w:eastAsia="Times New Roman" w:hAnsi="Segoe UI" w:cs="Segoe UI"/>
      <w:sz w:val="18"/>
      <w:szCs w:val="18"/>
      <w:lang w:eastAsia="hu-HU"/>
    </w:rPr>
  </w:style>
  <w:style w:type="paragraph" w:styleId="ListParagraph">
    <w:name w:val="List Paragraph"/>
    <w:basedOn w:val="Normal"/>
    <w:uiPriority w:val="34"/>
    <w:qFormat/>
    <w:rsid w:val="008246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A1F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BD"/>
    <w:pPr>
      <w:spacing w:after="0"/>
    </w:pPr>
    <w:rPr>
      <w:rFonts w:ascii="Times New Roman" w:eastAsia="Times New Roman" w:hAnsi="Times New Roman"/>
      <w:b/>
      <w:bCs/>
      <w:lang w:eastAsia="hu-HU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D6BBD"/>
    <w:rPr>
      <w:rFonts w:ascii="Times New Roman" w:eastAsia="Times New Roman" w:hAnsi="Times New Roman" w:cs="Times New Roman"/>
      <w:b/>
      <w:bCs/>
      <w:sz w:val="20"/>
      <w:szCs w:val="20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DE22-5A29-45DC-B5E5-077A39BB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Nádasdy-Horváth Benedek dr.</dc:creator>
  <cp:keywords/>
  <dc:description/>
  <cp:lastModifiedBy>Liana Brili</cp:lastModifiedBy>
  <cp:revision>4</cp:revision>
  <cp:lastPrinted>2023-03-28T12:44:00Z</cp:lastPrinted>
  <dcterms:created xsi:type="dcterms:W3CDTF">2023-04-11T08:39:00Z</dcterms:created>
  <dcterms:modified xsi:type="dcterms:W3CDTF">2023-04-18T14:59:00Z</dcterms:modified>
</cp:coreProperties>
</file>