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NÁVRH Z 24. apríla 2023</w:t>
      </w:r>
    </w:p>
    <w:p w14:paraId="47AEB7CF" w14:textId="77777777" w:rsidR="00A61365" w:rsidRDefault="00A61365">
      <w:pPr>
        <w:rPr>
          <w:b/>
        </w:rPr>
      </w:pPr>
    </w:p>
    <w:p w14:paraId="6180DDA9" w14:textId="710E2BAE" w:rsidR="00812A71" w:rsidRDefault="00DE2DBE">
      <w:r>
        <w:rPr>
          <w:b/>
        </w:rPr>
        <w:t>Dekrét z..., ktorým sa mení dekrét o zábavnej pyrotechnike v súvislosti s vykonávaním rozhodnutia Beneluxu o zavedení pyrotechnického preukazu a iných zmien</w:t>
      </w:r>
    </w:p>
    <w:p w14:paraId="72D47658" w14:textId="77777777" w:rsidR="004550E6" w:rsidRDefault="004550E6"/>
    <w:p w14:paraId="27C48DC3" w14:textId="1F17E5B8" w:rsidR="00812A71" w:rsidRDefault="00DE2DBE">
      <w:r>
        <w:t> </w:t>
      </w:r>
    </w:p>
    <w:p w14:paraId="29AE9671" w14:textId="77777777" w:rsidR="001B02F2" w:rsidRDefault="00DE2DBE">
      <w:r>
        <w:t>Na odporúčanie ministra pre infraštruktúru a hospodárenie s vodami č. Ien/BSK, Ústredné oddelenie pre administratívne a právne veci,</w:t>
      </w:r>
    </w:p>
    <w:p w14:paraId="35B52BA7" w14:textId="77777777" w:rsidR="001B02F2" w:rsidRDefault="00DE2DBE">
      <w:r>
        <w:t>so zreteľom na článok 9.2.2.1 ods. 1 a 2 a článok 9.5.8 ods. 3, 4 a 6 zákona o environmentálnom riadení,</w:t>
      </w:r>
    </w:p>
    <w:p w14:paraId="0BFE77BB" w14:textId="77777777" w:rsidR="001B02F2" w:rsidRDefault="00DE2DBE">
      <w:r>
        <w:t>po vypočutí stanoviska poradného odboru Štátnej rady (stanovisko z/zo, č.),</w:t>
      </w:r>
    </w:p>
    <w:p w14:paraId="6870CA70" w14:textId="3C44008C" w:rsidR="00812A71" w:rsidRDefault="00DE2DBE">
      <w:r>
        <w:t>s prihliadnutím na podrobnú správu minister pre infraštruktúru a hospodárenie s vodami č. IenW/BSK-, Ústredné oddelenie pre administratívne a právne veci,</w:t>
      </w:r>
    </w:p>
    <w:p w14:paraId="4A13238C" w14:textId="77777777" w:rsidR="00812A71" w:rsidRDefault="00DE2DBE">
      <w:r>
        <w:t> </w:t>
      </w:r>
    </w:p>
    <w:p w14:paraId="5B478B2C" w14:textId="77777777" w:rsidR="00812A71" w:rsidRDefault="00DE2DBE">
      <w:r>
        <w:t>schvaľujeme a týmto nariaďujeme:</w:t>
      </w:r>
    </w:p>
    <w:p w14:paraId="62B3049A" w14:textId="77777777" w:rsidR="00812A71" w:rsidRDefault="00DE2DBE">
      <w:r>
        <w:t> </w:t>
      </w:r>
    </w:p>
    <w:p w14:paraId="08C47E30" w14:textId="147069F8" w:rsidR="00812A71" w:rsidRDefault="006F7252">
      <w:pPr>
        <w:rPr>
          <w:b/>
          <w:bCs/>
        </w:rPr>
      </w:pPr>
      <w:bookmarkStart w:id="0" w:name="_Hlk124949658"/>
      <w:r>
        <w:rPr>
          <w:b/>
        </w:rPr>
        <w:t>ČLÁNOK I</w:t>
      </w:r>
    </w:p>
    <w:p w14:paraId="379E0185" w14:textId="43AD2E86" w:rsidR="006F7252" w:rsidRDefault="006F7252">
      <w:pPr>
        <w:rPr>
          <w:b/>
          <w:bCs/>
        </w:rPr>
      </w:pPr>
    </w:p>
    <w:p w14:paraId="65DE9109" w14:textId="514A9AD2" w:rsidR="006F7252" w:rsidRPr="006F7252" w:rsidRDefault="006F7252">
      <w:r>
        <w:t>Dekrét o zábavnej pyrotechnike [Vuurwerkbesluit] sa mení takto:</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V abecednom poradí sa do článku 1.1.1 ods. 1 vkladá toto vymedzenie pojmov:</w:t>
      </w:r>
    </w:p>
    <w:p w14:paraId="0714850A" w14:textId="6A9B9B8B" w:rsidR="00A00841" w:rsidRPr="00DF3AEC" w:rsidRDefault="00A00841" w:rsidP="00864C9A">
      <w:r>
        <w:t>pyrotechnický preukaz: kontrolný doklad vydaný príslušným orgánom v Belgicku, Luxembursku alebo Holandsku, ktorý umožňuje držiteľovi preukázať, že sa mu môžu poskytnúť pyrotechnické výrobky kategórie F3 a F4, scénická pyrotechnika kategórie T2 a iné pyrotechnické výrobky kategórie P2;</w:t>
      </w:r>
    </w:p>
    <w:p w14:paraId="02589494" w14:textId="44710ED4" w:rsidR="006722D9" w:rsidRPr="00DF3AEC" w:rsidRDefault="006722D9" w:rsidP="00864C9A">
      <w:r>
        <w:t>register pyrotechnických preukazov: register uvedený v článku 9.5.8 ods. 1 zákona o environmentálnom riadení;</w:t>
      </w:r>
    </w:p>
    <w:p w14:paraId="5F9CB859" w14:textId="063BB3E5" w:rsidR="001D30A8" w:rsidRPr="00DF3AEC" w:rsidRDefault="00031518" w:rsidP="00317EB5">
      <w:r>
        <w:t xml:space="preserve">zodpovedná osoba: odborne spôsobilá osoba, spracovateľ zábavnej pyrotechniky alebo prevádzkovateľ zábavnej pyrotechniky určená </w:t>
      </w:r>
      <w:bookmarkStart w:id="1" w:name="_Hlk130044621"/>
      <w:r>
        <w:t xml:space="preserve">právnickou osobou s právom používať, skladovať alebo sprístupňovať na trhu pyrotechnické výrobky </w:t>
      </w:r>
      <w:bookmarkEnd w:id="1"/>
      <w:r>
        <w:t>a manipulovať s nimi alebo používať ich v mene tejto právnickej osoby;</w:t>
      </w:r>
    </w:p>
    <w:p w14:paraId="317A0783" w14:textId="73E49B15" w:rsidR="001D30A8" w:rsidRPr="00DF3AEC" w:rsidRDefault="001D30A8" w:rsidP="00317EB5">
      <w:r>
        <w:t xml:space="preserve">spracovateľ zábavnej pyrotechniky: osoba </w:t>
      </w:r>
      <w:bookmarkStart w:id="2" w:name="_Hlk124078821"/>
      <w:r>
        <w:t>zapísaná v registri spracovateľov zábavnej pyrotechniky podľa článku 4.9 ods. 2 dekrétu o pracovných podmienkach</w:t>
      </w:r>
      <w:bookmarkEnd w:id="2"/>
      <w:r>
        <w:t>;</w:t>
      </w:r>
    </w:p>
    <w:p w14:paraId="710EEB49" w14:textId="241E6D0A" w:rsidR="00031518" w:rsidRDefault="001D30A8" w:rsidP="00317EB5">
      <w:r>
        <w:t xml:space="preserve">prevádzkovateľ zábavnej pyrotechniky: osoba zapísaná v registri prevádzkovateľov zábavnej pyrotechniky podľa článku 4.9 ods. 1 dekrétu o pracovných podmienkach.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Do článku 1.1.3 sa dopĺňa odsek s týmto znením:</w:t>
      </w:r>
    </w:p>
    <w:p w14:paraId="6207D1B7" w14:textId="2B1CFD2E" w:rsidR="00603A66" w:rsidRDefault="00603A66" w:rsidP="00864C9A">
      <w:r>
        <w:t>3. Kapitola 4 sa vzťahuje aj na pyrotechnické výrobky kategórie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V článku 1.2.5 ods. 2 sa slová „registračné osvedčenie alebo nákladný list podľa článkov 20 a 29 zákona o cestnej nákladnej doprave“ nahrádzajú slovami „nákladný list uvedený v článku 2.13 zákona o cestnej nákladnej doprave“.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Do článku 3B.1 sa dopĺňa odsek s týmto znením:</w:t>
      </w:r>
    </w:p>
    <w:p w14:paraId="649EF529" w14:textId="77777777" w:rsidR="002B6FA7" w:rsidRDefault="002B6FA7" w:rsidP="002B6FA7">
      <w:r>
        <w:t xml:space="preserve">7. Povolenie žiadosti je platné päť rokov.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Do článku 3B.6 sa dopĺňa odsek s týmto znením:</w:t>
      </w:r>
    </w:p>
    <w:p w14:paraId="1CDB343A" w14:textId="0F48CA81" w:rsidR="00895E5E" w:rsidRDefault="0054451D" w:rsidP="00864C9A">
      <w:r>
        <w:t>6. Zmena údajov uvedených v odseku 1 písm. a) sa bezodkladne oznamuje nášmu ministrovi.</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Za kapitolu 3B sa vkladá táto kapitola:</w:t>
      </w:r>
    </w:p>
    <w:p w14:paraId="4CEFE234" w14:textId="29C5BC09" w:rsidR="000F702A" w:rsidRDefault="000F702A" w:rsidP="00864C9A"/>
    <w:p w14:paraId="21CB6243" w14:textId="17276665" w:rsidR="000F702A" w:rsidRPr="002304E9" w:rsidRDefault="004B4934">
      <w:pPr>
        <w:rPr>
          <w:b/>
          <w:bCs/>
        </w:rPr>
      </w:pPr>
      <w:r>
        <w:rPr>
          <w:b/>
        </w:rPr>
        <w:t>Kapitola 4 Pyrotechnický preukaz</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Článok 4.1</w:t>
      </w:r>
    </w:p>
    <w:p w14:paraId="57E5750B" w14:textId="28D6C40F" w:rsidR="004B4934" w:rsidRPr="009A55B4" w:rsidRDefault="003F1E3A" w:rsidP="004B4934">
      <w:pPr>
        <w:pStyle w:val="ListParagraph"/>
        <w:numPr>
          <w:ilvl w:val="0"/>
          <w:numId w:val="26"/>
        </w:numPr>
      </w:pPr>
      <w:r>
        <w:t>Prevádzkovatelia môžu po predložení kontrolného dokladu a dokladu totožnosti sprístupniť profesionálnu zábavnú pyrotechniku, scénickú pyrotechniku a pyrotechnické výrobky kategórie P2 na trhu len odborne spôsobilým osobám.</w:t>
      </w:r>
    </w:p>
    <w:p w14:paraId="7E9230A5" w14:textId="530D3733" w:rsidR="00AB2AC7" w:rsidRPr="009A55B4" w:rsidRDefault="00AB2AC7" w:rsidP="004B4934">
      <w:pPr>
        <w:pStyle w:val="ListParagraph"/>
        <w:numPr>
          <w:ilvl w:val="0"/>
          <w:numId w:val="26"/>
        </w:numPr>
      </w:pPr>
      <w:r>
        <w:t xml:space="preserve">Okrem toho, ak fyzická osoba koná v mene právnickej osoby oprávnenej používať, skladovať alebo sprístupňovať pyrotechnické výrobky na trhu, príslušné pyrotechnické výrobky sa môžu poskytnúť len po predložení kontrolného dokladu a dokladu totožnosti osoby určenej touto právnickou osobou. </w:t>
      </w:r>
    </w:p>
    <w:p w14:paraId="31B600EA" w14:textId="7B16AA02" w:rsidR="00C532E8" w:rsidRDefault="008E1C92" w:rsidP="004B4934">
      <w:pPr>
        <w:pStyle w:val="ListParagraph"/>
        <w:numPr>
          <w:ilvl w:val="0"/>
          <w:numId w:val="26"/>
        </w:numPr>
      </w:pPr>
      <w:r>
        <w:t xml:space="preserve">Pre odborne spôsobilé osoby alebo zodpovedné osoby, ktoré sú takto určené podľa právnych predpisov Belgicka, Luxemburska alebo Holandska, s výnimkou odborne spôsobilých osôb uvedenými v článku 1.1.2a ods. 1 písm. c) až f), je pyrotechnickým preukazom kontrolný doklad uvedený v odseku 1. </w:t>
      </w:r>
    </w:p>
    <w:p w14:paraId="6F2C5157" w14:textId="1E4A15D5" w:rsidR="00C532E8" w:rsidRDefault="00C532E8" w:rsidP="004B4934">
      <w:pPr>
        <w:pStyle w:val="ListParagraph"/>
        <w:numPr>
          <w:ilvl w:val="0"/>
          <w:numId w:val="26"/>
        </w:numPr>
      </w:pPr>
      <w:r>
        <w:t xml:space="preserve">Držitelia pyrotechnického preukazu s povolením pre zábavnú pyrotechniku kategórie F3 alebo F4 sa takisto považujú za osoby s povolením pre zábavnú pyrotechniku kategórie F2, ktorá nie je určená na súkromné použitie. </w:t>
      </w:r>
    </w:p>
    <w:p w14:paraId="3BA1F50D" w14:textId="3F881A76" w:rsidR="000850FB" w:rsidRPr="009A55B4" w:rsidRDefault="00C532E8" w:rsidP="004B4934">
      <w:pPr>
        <w:pStyle w:val="ListParagraph"/>
        <w:numPr>
          <w:ilvl w:val="0"/>
          <w:numId w:val="26"/>
        </w:numPr>
      </w:pPr>
      <w:r>
        <w:t xml:space="preserve">Držitelia pyrotechnického preukazu s povolením pre pyrotechnické výrobky na používanie pyrotechnických výrobkov kategórie T2 sa takisto považujú za osoby s povolením pre pyrotechnické výrobky kategórie T1. </w:t>
      </w:r>
    </w:p>
    <w:p w14:paraId="790DA6F6" w14:textId="07CEEADF" w:rsidR="008E1C92" w:rsidRPr="009A55B4" w:rsidRDefault="00C41727" w:rsidP="004B4934">
      <w:pPr>
        <w:pStyle w:val="ListParagraph"/>
        <w:numPr>
          <w:ilvl w:val="0"/>
          <w:numId w:val="26"/>
        </w:numPr>
      </w:pPr>
      <w:r>
        <w:t>Pri kontrole pyrotechnického preukazu hospodárske subjekty nahliadajú aj do registra pyrotechnických preukazov, aby overili jeho platnosť.</w:t>
      </w:r>
    </w:p>
    <w:p w14:paraId="5A80755F" w14:textId="37B504C7" w:rsidR="00BB309A" w:rsidRPr="009A55B4" w:rsidRDefault="00BB309A" w:rsidP="004B4934">
      <w:pPr>
        <w:pStyle w:val="ListParagraph"/>
        <w:numPr>
          <w:ilvl w:val="0"/>
          <w:numId w:val="26"/>
        </w:numPr>
      </w:pPr>
      <w:r>
        <w:t xml:space="preserve">V prípade odborne spôsobilých osôb, ktoré neboli takto určené v Belgicku, Luxembursku alebo Holandsku, sa kontrolný doklad skladá z písomného dôkazu o povolení, ktoré dostala osoba v členskom štáte Európskej únie, ktorý nie je súčasťou Beneluxu, ako sa uvádza v článku 1.1.2a ods. 2. </w:t>
      </w:r>
    </w:p>
    <w:p w14:paraId="401495BD" w14:textId="09A5EDDF" w:rsidR="00F57FFC" w:rsidRDefault="003A36BF" w:rsidP="004B4934">
      <w:pPr>
        <w:pStyle w:val="ListParagraph"/>
        <w:numPr>
          <w:ilvl w:val="0"/>
          <w:numId w:val="26"/>
        </w:numPr>
      </w:pPr>
      <w:r>
        <w:t>Účastníci trhu</w:t>
      </w:r>
      <w:r>
        <w:rPr>
          <w:color w:val="auto"/>
        </w:rPr>
        <w:t>, ktorí dodávajú zábavnú pyrotechniku, ako sa uvádza v odseku 1</w:t>
      </w:r>
      <w:r>
        <w:t xml:space="preserve">, uchovávajú kópiu kontrolného dokladu v záznamoch spolu s príslušnou faktúrou a príslušným prepravným dokladom, ako sa vyžaduje v prílohe 1 k nariadeniu o cestnej preprave nebezpečných látok, čo je holandský preklad príloh A a B ADR a sprievodných príloh počas siedmich rokov. </w:t>
      </w:r>
    </w:p>
    <w:bookmarkEnd w:id="3"/>
    <w:p w14:paraId="77CCAB3D" w14:textId="6C5EE37D" w:rsidR="000D187A" w:rsidRPr="00F57FFC" w:rsidRDefault="000D187A" w:rsidP="000D187A"/>
    <w:p w14:paraId="0F4A2607" w14:textId="6E2FEC3B" w:rsidR="007542A2" w:rsidRDefault="007542A2" w:rsidP="000D187A">
      <w:pPr>
        <w:rPr>
          <w:b/>
          <w:bCs/>
        </w:rPr>
      </w:pPr>
      <w:r>
        <w:rPr>
          <w:b/>
        </w:rPr>
        <w:t>Článok 4.2</w:t>
      </w:r>
    </w:p>
    <w:p w14:paraId="6C9263C0" w14:textId="2F392ECE" w:rsidR="00E32087" w:rsidRDefault="002F342A" w:rsidP="00C03B50">
      <w:pPr>
        <w:pStyle w:val="ListParagraph"/>
        <w:numPr>
          <w:ilvl w:val="0"/>
          <w:numId w:val="28"/>
        </w:numPr>
      </w:pPr>
      <w:r>
        <w:t>Na pyrotechnický preukaz majú oprávnenie tieto fyzické osoby:</w:t>
      </w:r>
    </w:p>
    <w:p w14:paraId="7E1D1169" w14:textId="0C382BF9" w:rsidR="002E68CD" w:rsidRPr="00DF3AEC" w:rsidRDefault="002E68CD" w:rsidP="00B35E9F">
      <w:pPr>
        <w:pStyle w:val="ListParagraph"/>
        <w:numPr>
          <w:ilvl w:val="1"/>
          <w:numId w:val="28"/>
        </w:numPr>
      </w:pPr>
      <w:r>
        <w:t>odborne spôsobilá osoba podľa článku 1.1.2a ods. 1 písm. a), ktorá je takisto spracovateľom zábavnej pyrotechniky;</w:t>
      </w:r>
    </w:p>
    <w:p w14:paraId="6D94DC98" w14:textId="09CB35A6" w:rsidR="002E68CD" w:rsidRPr="00DF3AEC" w:rsidRDefault="002E68CD" w:rsidP="002E68CD">
      <w:pPr>
        <w:pStyle w:val="ListParagraph"/>
        <w:numPr>
          <w:ilvl w:val="1"/>
          <w:numId w:val="28"/>
        </w:numPr>
      </w:pPr>
      <w:r>
        <w:t>odborne spôsobilá osoba podľa článku 1.1.2a ods. 1 písm. b), ktorá je takisto prevádzkovateľom zábavnej pyrotechniky;</w:t>
      </w:r>
    </w:p>
    <w:p w14:paraId="53D5CF3C" w14:textId="24BCD38A" w:rsidR="00BC356D" w:rsidRPr="00DF3AEC" w:rsidRDefault="00B35E9F" w:rsidP="002E68CD">
      <w:pPr>
        <w:pStyle w:val="ListParagraph"/>
        <w:numPr>
          <w:ilvl w:val="1"/>
          <w:numId w:val="28"/>
        </w:numPr>
      </w:pPr>
      <w:r>
        <w:t xml:space="preserve">zodpovedná osoba; </w:t>
      </w:r>
    </w:p>
    <w:p w14:paraId="56DE35FC" w14:textId="1FE5C43F" w:rsidR="006A7277" w:rsidRPr="00DF3AEC" w:rsidRDefault="0076622F" w:rsidP="002E68CD">
      <w:pPr>
        <w:pStyle w:val="ListParagraph"/>
        <w:numPr>
          <w:ilvl w:val="1"/>
          <w:numId w:val="28"/>
        </w:numPr>
      </w:pPr>
      <w:r>
        <w:t xml:space="preserve">odborne spôsobilá osoba pre pyrotechnické výrobky kategórie P2. </w:t>
      </w:r>
    </w:p>
    <w:p w14:paraId="6C382F70" w14:textId="2769EB19" w:rsidR="0007311B" w:rsidRPr="00DF3AEC" w:rsidRDefault="0007311B" w:rsidP="002D1271">
      <w:pPr>
        <w:pStyle w:val="ListParagraph"/>
        <w:numPr>
          <w:ilvl w:val="0"/>
          <w:numId w:val="28"/>
        </w:numPr>
      </w:pPr>
      <w:r>
        <w:t xml:space="preserve">Žiadosť o pyrotechnický preukaz pre zodpovednú osobu predkladá nášmu ministrovi držiteľ povolenia žiadosti spolu so zodpovednou osobou. </w:t>
      </w:r>
    </w:p>
    <w:p w14:paraId="4BDACCD8" w14:textId="6400775F" w:rsidR="00BA12A9" w:rsidRPr="00734FD2" w:rsidRDefault="00C57360" w:rsidP="00D73B55">
      <w:pPr>
        <w:pStyle w:val="ListParagraph"/>
        <w:numPr>
          <w:ilvl w:val="0"/>
          <w:numId w:val="28"/>
        </w:numPr>
      </w:pPr>
      <w:r>
        <w:t xml:space="preserve">Uplatňuje sa vzor pyrotechnického preukazu, požiadavky na podanie žiadosti a postup podávania žiadostí, ako sa stanovuje v ministerskom nariadení. </w:t>
      </w:r>
    </w:p>
    <w:p w14:paraId="702AC5EF" w14:textId="77777777" w:rsidR="004F1E43" w:rsidRDefault="00C15C66" w:rsidP="00C03B50">
      <w:pPr>
        <w:pStyle w:val="ListParagraph"/>
        <w:numPr>
          <w:ilvl w:val="0"/>
          <w:numId w:val="28"/>
        </w:numPr>
      </w:pPr>
      <w:r>
        <w:t xml:space="preserve">Platnosť pyrotechnického preukazu spracovateľov a prevádzkovateľov zábavnej pyrotechniky uplynie po skončení ich registrácie v registri spracovateľov zábavnej pyrotechniky alebo registri prevádzkovateľov zábavnej pyrotechniky. </w:t>
      </w:r>
    </w:p>
    <w:p w14:paraId="2A5184CC" w14:textId="0ED72ECA" w:rsidR="0076622F" w:rsidRPr="00734FD2" w:rsidRDefault="009632C8" w:rsidP="00C03B50">
      <w:pPr>
        <w:pStyle w:val="ListParagraph"/>
        <w:numPr>
          <w:ilvl w:val="0"/>
          <w:numId w:val="28"/>
        </w:numPr>
      </w:pPr>
      <w:r>
        <w:t>Obdobie platnosti pyrotechnického preukazu je obdobie platnosti registrácie ako spracovateľ zábavnej pyrotechniky alebo prevádzkovateľ zábavnej pyrotechniky, pokiaľ environmentálne povolenie uvedené v článku 1.1.2a ods. 1 písm. a) alebo povolenie žiadosti nemá kratšie obdobie platnosti.</w:t>
      </w:r>
    </w:p>
    <w:p w14:paraId="0DE9BD15" w14:textId="7E5A88AF" w:rsidR="00C03B50" w:rsidRDefault="00866364" w:rsidP="008709B6">
      <w:pPr>
        <w:pStyle w:val="ListParagraph"/>
        <w:numPr>
          <w:ilvl w:val="0"/>
          <w:numId w:val="28"/>
        </w:numPr>
      </w:pPr>
      <w:r>
        <w:t xml:space="preserve">Náš minister odoberie pyrotechnický preukaz, ak osoba, ktorej bol pyrotechnický preukaz vydaný: </w:t>
      </w:r>
    </w:p>
    <w:p w14:paraId="2ED244AD" w14:textId="215639E0" w:rsidR="00C03B50" w:rsidRDefault="00C03B50" w:rsidP="006D6DD1">
      <w:pPr>
        <w:pStyle w:val="ListParagraph"/>
        <w:numPr>
          <w:ilvl w:val="1"/>
          <w:numId w:val="28"/>
        </w:numPr>
      </w:pPr>
      <w:r>
        <w:t xml:space="preserve">už nespĺňa požiadavky na odborne spôsobilú osobu, ako sa uvádza v článku 1.1.2a, alebo už nie je určená odborne spôsobilou osobou na manipuláciu alebo používanie zábavnej pyrotechniky v mene tejto osoby; </w:t>
      </w:r>
    </w:p>
    <w:p w14:paraId="26A5E645" w14:textId="7F810F0C" w:rsidR="00C03B50" w:rsidRDefault="00C03B50" w:rsidP="006D6DD1">
      <w:pPr>
        <w:pStyle w:val="ListParagraph"/>
        <w:numPr>
          <w:ilvl w:val="1"/>
          <w:numId w:val="28"/>
        </w:numPr>
      </w:pPr>
      <w:r>
        <w:t>zneužila pyrotechnický preukaz.</w:t>
      </w:r>
    </w:p>
    <w:p w14:paraId="7A9A9F1A" w14:textId="622A6EF4" w:rsidR="00C03B50" w:rsidRDefault="00C03B50" w:rsidP="00C03B50">
      <w:pPr>
        <w:pStyle w:val="ListParagraph"/>
        <w:numPr>
          <w:ilvl w:val="0"/>
          <w:numId w:val="28"/>
        </w:numPr>
      </w:pPr>
      <w:r>
        <w:t>Zneužitie uvedené v odseku 6 písm. b) zahŕňa:</w:t>
      </w:r>
    </w:p>
    <w:p w14:paraId="09E47B8D" w14:textId="1241E2ED" w:rsidR="00C03B50" w:rsidRDefault="00C03B50" w:rsidP="00C03B50">
      <w:pPr>
        <w:pStyle w:val="ListParagraph"/>
        <w:numPr>
          <w:ilvl w:val="1"/>
          <w:numId w:val="28"/>
        </w:numPr>
      </w:pPr>
      <w:r>
        <w:t>sprístupňovanie zábavnej pyrotechniky kategórie F3 a F4, scénickej pyrotechniky kategórie T2 a iných pyrotechnických výrobkov kategórie P2 na trhu inej osobe ako odborne spôsobilej osobe;</w:t>
      </w:r>
    </w:p>
    <w:p w14:paraId="51CEFB2A" w14:textId="12860C5F" w:rsidR="00C03B50" w:rsidRDefault="00C03B50" w:rsidP="00450E58">
      <w:pPr>
        <w:pStyle w:val="ListParagraph"/>
        <w:numPr>
          <w:ilvl w:val="1"/>
          <w:numId w:val="28"/>
        </w:numPr>
      </w:pPr>
      <w:r>
        <w:t>ich skladovanie na nepovolenom mieste.</w:t>
      </w:r>
    </w:p>
    <w:p w14:paraId="3B9564DD" w14:textId="17356908" w:rsidR="00C41727" w:rsidRPr="00C41727" w:rsidRDefault="00C41727" w:rsidP="009A55B4">
      <w:pPr>
        <w:pStyle w:val="ListParagraph"/>
        <w:numPr>
          <w:ilvl w:val="0"/>
          <w:numId w:val="28"/>
        </w:numPr>
      </w:pPr>
      <w:r>
        <w:t>Náš minister uvádza v registri, či je pyrotechnický preukaz odobratý alebo či sa skončila jeho platnosť.</w:t>
      </w:r>
    </w:p>
    <w:p w14:paraId="7E2D75FF" w14:textId="77777777" w:rsidR="00BA12A9" w:rsidRPr="00C41727" w:rsidRDefault="00BA12A9" w:rsidP="000D187A"/>
    <w:p w14:paraId="7D32A34D" w14:textId="71E8F1B3" w:rsidR="00F90681" w:rsidRPr="009A55B4" w:rsidRDefault="00F90681" w:rsidP="000D187A">
      <w:pPr>
        <w:rPr>
          <w:b/>
          <w:bCs/>
        </w:rPr>
      </w:pPr>
      <w:r>
        <w:rPr>
          <w:b/>
        </w:rPr>
        <w:t>Článok 4.3</w:t>
      </w:r>
    </w:p>
    <w:p w14:paraId="108D4D5A" w14:textId="5BC28F8A" w:rsidR="00F90681" w:rsidRPr="009A55B4" w:rsidRDefault="00F90681" w:rsidP="000D187A">
      <w:r>
        <w:t>Do registra pyrotechnických preukazov sa zapisujú tieto údaje a doklady:</w:t>
      </w:r>
    </w:p>
    <w:p w14:paraId="5209896F" w14:textId="08B555D1" w:rsidR="00A42410" w:rsidRPr="009A55B4" w:rsidRDefault="0096601D" w:rsidP="00A42410">
      <w:pPr>
        <w:pStyle w:val="ListParagraph"/>
        <w:numPr>
          <w:ilvl w:val="0"/>
          <w:numId w:val="51"/>
        </w:numPr>
      </w:pPr>
      <w:r>
        <w:t>kópia pyrotechnického preukazu;</w:t>
      </w:r>
    </w:p>
    <w:p w14:paraId="6DDD51EE" w14:textId="6EAB093F" w:rsidR="00972741" w:rsidRPr="009A55B4" w:rsidRDefault="0083099A" w:rsidP="00A42410">
      <w:pPr>
        <w:pStyle w:val="ListParagraph"/>
        <w:numPr>
          <w:ilvl w:val="0"/>
          <w:numId w:val="51"/>
        </w:numPr>
      </w:pPr>
      <w:r>
        <w:t>dôkaz o tom, že žiadateľ bol určený za odborne spôsobilú osobu pre pyrotechnické výrobky kategórie P2, alebo</w:t>
      </w:r>
    </w:p>
    <w:p w14:paraId="08498957" w14:textId="23B692FD" w:rsidR="00A42410" w:rsidRPr="009A55B4" w:rsidRDefault="0083099A" w:rsidP="00A42410">
      <w:pPr>
        <w:pStyle w:val="ListParagraph"/>
        <w:numPr>
          <w:ilvl w:val="0"/>
          <w:numId w:val="51"/>
        </w:numPr>
      </w:pPr>
      <w:r>
        <w:t>dôkaz o registrácii žiadateľa ako prevádzkovateľa alebo používateľa zábavnej pyrotechniky a</w:t>
      </w:r>
    </w:p>
    <w:p w14:paraId="7052A3C4" w14:textId="43D7FCA7" w:rsidR="00972741" w:rsidRPr="009A55B4" w:rsidRDefault="0083099A" w:rsidP="00972741">
      <w:pPr>
        <w:pStyle w:val="ListParagraph"/>
        <w:numPr>
          <w:ilvl w:val="0"/>
          <w:numId w:val="51"/>
        </w:numPr>
      </w:pPr>
      <w:r>
        <w:t>prípadne kópia povolenia žiadosti alebo environmentálneho povolenia podľa článku 1.1.2a ods. 1 písm.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Článok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Náš minister zabezpečuje, aby údaje a doklady vložené do registra pyrotechnických preukazov boli bezodkladne sprístupnené orgánom, ktoré k nim majú prístup podľa článku 4.5 ods. 1 a 2 písm. 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Článok 4.5 </w:t>
      </w:r>
    </w:p>
    <w:p w14:paraId="0C7D3561" w14:textId="63C5A020" w:rsidR="00A83423" w:rsidRDefault="008A135A" w:rsidP="00B35E9F">
      <w:pPr>
        <w:pStyle w:val="ListParagraph"/>
        <w:numPr>
          <w:ilvl w:val="0"/>
          <w:numId w:val="31"/>
        </w:numPr>
      </w:pPr>
      <w:r>
        <w:t xml:space="preserve">Údaje a doklady uvedené v registri pyrotechnických preukazov sú prístupné príslušným orgánom Belgicka, Luxemburska a Holandska zodpovedným za </w:t>
      </w:r>
      <w:r>
        <w:lastRenderedPageBreak/>
        <w:t>monitorovanie dodržiavania pravidiel vzťahujúcich sa na pyrotechnické výrobky a za presadzovanie týchto pravidiel.</w:t>
      </w:r>
    </w:p>
    <w:p w14:paraId="4CD86864" w14:textId="2603B817" w:rsidR="00A83423" w:rsidRDefault="008A135A" w:rsidP="0024295E">
      <w:pPr>
        <w:pStyle w:val="ListParagraph"/>
        <w:numPr>
          <w:ilvl w:val="0"/>
          <w:numId w:val="31"/>
        </w:numPr>
      </w:pPr>
      <w:r>
        <w:t>Údaje a doklady vložené do registra pyrotechnických preukazov sú prístupné hospodárskym subjektom podľa článku 4.1 ods. 1 s cieľom overiť platnosť kontrolných dokladov a pyrotechnického preukazu.</w:t>
      </w:r>
    </w:p>
    <w:p w14:paraId="13A7FA7F" w14:textId="1E079461" w:rsidR="00A83423" w:rsidRDefault="008A135A" w:rsidP="00A83423">
      <w:pPr>
        <w:pStyle w:val="ListParagraph"/>
        <w:numPr>
          <w:ilvl w:val="0"/>
          <w:numId w:val="31"/>
        </w:numPr>
      </w:pPr>
      <w:r>
        <w:t xml:space="preserve">Na prístup do registra pyrotechnických preukazov sa používa systém eRecognition alebo akékoľvek iné elektronické prostriedky autentifikácie určené správcom registra. </w:t>
      </w:r>
    </w:p>
    <w:p w14:paraId="5548DEA6" w14:textId="77777777" w:rsidR="00B8205D" w:rsidRDefault="008A135A" w:rsidP="00A83423">
      <w:pPr>
        <w:pStyle w:val="ListParagraph"/>
        <w:numPr>
          <w:ilvl w:val="0"/>
          <w:numId w:val="31"/>
        </w:numPr>
      </w:pPr>
      <w:r>
        <w:t xml:space="preserve">Prístup do registra pyrotechnických preukazov s obmedzuje na zamestnancov orgánov uvedených v odsekoch 1 a 2, ktorí sú priamo zapojení do plnenia zákonnej úlohy príslušného orgánu alebo práce vykonanej príslušnou spoločnosťou na predaj pyrotechnických výrobkov a oprávnení orgánom alebo spoločnosťou. </w:t>
      </w:r>
    </w:p>
    <w:p w14:paraId="4CDEBD4E" w14:textId="4DBA1CD8" w:rsidR="00B8205D" w:rsidRDefault="00C72CE5" w:rsidP="00A83423">
      <w:pPr>
        <w:pStyle w:val="ListParagraph"/>
        <w:numPr>
          <w:ilvl w:val="0"/>
          <w:numId w:val="31"/>
        </w:numPr>
      </w:pPr>
      <w:r>
        <w:t>Podrobné pravidlá stanovené ministerským nariadením sa uplatňujú, pokiaľ ide o vkladanie a nahliadnutie do údajov a záznamov v registri pyrotechnických preukazov osobami, ktoré majú prístup do tohto systému, vrátane požadovanej úrovne spoľahlivosti systému eRecognition.</w:t>
      </w:r>
      <w:r>
        <w:rPr>
          <w:b/>
        </w:rPr>
        <w:t xml:space="preserve"> </w:t>
      </w:r>
      <w:r>
        <w:rPr>
          <w:b/>
        </w:rPr>
        <w:br/>
      </w:r>
    </w:p>
    <w:p w14:paraId="3627E4CF" w14:textId="641AF07A" w:rsidR="00164C4F" w:rsidRDefault="008A135A" w:rsidP="00B8205D">
      <w:r>
        <w:rPr>
          <w:b/>
        </w:rPr>
        <w:t>Článok 4.6</w:t>
      </w:r>
      <w:r>
        <w:rPr>
          <w:b/>
        </w:rPr>
        <w:br/>
      </w:r>
      <w:r>
        <w:t xml:space="preserve">Údaje a doklady vložené do registra pyrotechnických preukazov sa uchovávajú 12 rokov. </w:t>
      </w:r>
    </w:p>
    <w:p w14:paraId="1C231879" w14:textId="77777777" w:rsidR="007F6D5D" w:rsidRDefault="007F6D5D" w:rsidP="0022132D"/>
    <w:p w14:paraId="55F68ADA" w14:textId="46A2A4D2" w:rsidR="00510B4B" w:rsidRDefault="008A135A" w:rsidP="0022132D">
      <w:pPr>
        <w:rPr>
          <w:b/>
          <w:bCs/>
        </w:rPr>
      </w:pPr>
      <w:r>
        <w:br/>
      </w:r>
      <w:r>
        <w:rPr>
          <w:b/>
        </w:rPr>
        <w:t>Článok II Prechodné ustanovenie</w:t>
      </w:r>
    </w:p>
    <w:p w14:paraId="144AE3D4" w14:textId="1812F051" w:rsidR="001A647B" w:rsidRDefault="001A647B" w:rsidP="0022132D">
      <w:pPr>
        <w:rPr>
          <w:b/>
          <w:bCs/>
        </w:rPr>
      </w:pPr>
    </w:p>
    <w:p w14:paraId="299A2506" w14:textId="30EE6ECC" w:rsidR="001A647B" w:rsidRDefault="001A647B" w:rsidP="0022132D">
      <w:r>
        <w:t>Bez toho, aby boli dotknuté ustanovenia článku 3B.1 ods. 6, povolenia žiadostí, ktoré už boli udelené v čase nadobudnutia účinnosti tohto dekrétu, strácajú platnosť od 1. januára 2025.</w:t>
      </w:r>
    </w:p>
    <w:p w14:paraId="461D4DA5" w14:textId="6D387BFE" w:rsidR="001A647B" w:rsidRDefault="001A647B" w:rsidP="0022132D"/>
    <w:p w14:paraId="01073440" w14:textId="72BC960E" w:rsidR="00510B4B" w:rsidRDefault="001A647B" w:rsidP="0022132D">
      <w:pPr>
        <w:rPr>
          <w:b/>
          <w:bCs/>
        </w:rPr>
      </w:pPr>
      <w:r>
        <w:rPr>
          <w:b/>
        </w:rPr>
        <w:t>Článok III</w:t>
      </w:r>
    </w:p>
    <w:p w14:paraId="4126569C" w14:textId="77777777" w:rsidR="001A647B" w:rsidRDefault="001A647B" w:rsidP="0022132D">
      <w:pPr>
        <w:rPr>
          <w:b/>
          <w:bCs/>
        </w:rPr>
      </w:pPr>
    </w:p>
    <w:p w14:paraId="2CA2AEBF" w14:textId="785F24DD" w:rsidR="00510B4B" w:rsidRPr="00510B4B" w:rsidRDefault="00510B4B" w:rsidP="0022132D">
      <w:r>
        <w:t xml:space="preserve">Tento dekrét nadobúda účinnosť v čase stanovenom kráľovským dekrétom, ktorý sa môže líšiť pre jednotlivé články alebo ich časti. </w:t>
      </w:r>
    </w:p>
    <w:p w14:paraId="550DE960" w14:textId="77777777" w:rsidR="00812A71" w:rsidRDefault="00DE2DBE">
      <w:r>
        <w:t> </w:t>
      </w:r>
    </w:p>
    <w:p w14:paraId="11BEDBA6" w14:textId="77777777" w:rsidR="00812A71" w:rsidRDefault="00DE2DBE">
      <w:r>
        <w:t>Týmto nariaďujem, aby sa tento dekrét a súvisiaca dôvodová správa uverejnili v Zbierke zákonov a dekrétov.</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MINISTER PRE INFRAŠTRUKTÚRU A HOSPODÁRENIE S VODAMI,</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DÔVODOVÁ SPRÁVA</w:t>
      </w:r>
    </w:p>
    <w:p w14:paraId="25FB4EDE" w14:textId="350D65BA" w:rsidR="00865EEC" w:rsidRDefault="00865EEC">
      <w:pPr>
        <w:rPr>
          <w:b/>
          <w:bCs/>
        </w:rPr>
      </w:pPr>
    </w:p>
    <w:p w14:paraId="5E046A8F" w14:textId="37E54663" w:rsidR="00865EEC" w:rsidRDefault="00865EEC">
      <w:pPr>
        <w:rPr>
          <w:b/>
          <w:bCs/>
        </w:rPr>
      </w:pPr>
      <w:r>
        <w:rPr>
          <w:b/>
        </w:rPr>
        <w:t>Všeobecné</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Úvod</w:t>
      </w:r>
    </w:p>
    <w:p w14:paraId="2B349D7E" w14:textId="77777777" w:rsidR="00E021AD" w:rsidRDefault="00E021AD" w:rsidP="002701E5"/>
    <w:p w14:paraId="297BEA88" w14:textId="7A565559" w:rsidR="00E021AD" w:rsidRDefault="0022132D">
      <w:r>
        <w:t>Účelom tohto dekrétu je vykonať rozhodnutie Beneluxu</w:t>
      </w:r>
      <w:r w:rsidR="002701E5" w:rsidRPr="00183C54">
        <w:rPr>
          <w:rStyle w:val="FootnoteReference"/>
        </w:rPr>
        <w:footnoteReference w:id="2"/>
      </w:r>
      <w:r>
        <w:t xml:space="preserve"> v oblasti zábavnej pyrotechniky v dekréte o zábavnej pyrotechnike. Týmto dekrétom sa ďalej zlepšuje fungovanie registra pyrotechnických preukazov, ako sa uvádza v dôvodovej správe k návrhu zákona, ktorým sa menia niektoré zákony ministerstva pre infraštruktúru a hospodárenie s vodami (kolektívny zákon IenW z roku 2021).</w:t>
      </w:r>
      <w:r>
        <w:rPr>
          <w:rStyle w:val="FootnoteReference"/>
        </w:rPr>
        <w:footnoteReference w:id="3"/>
      </w:r>
      <w:r>
        <w:t xml:space="preserve"> Zriadenie registra pyrotechnických preukazov sa riadi článkom 9.5.8 zákona o environmentálnom riadení (ďalej len „zákon Wm“). Je to rozpracované v tomto dekréte. Technické podrobnosti registra a postupu podávania žiadostí sa upravia ministerským nariadením. Základom tohto dekrétu je znenie dekrétu o zábavnej pyrotechnike v znení po nadobudnutí účinnosti zákona o životnom prostredí a zmene dekrétu o zábavnej pyrotechnike, ktorá nadobúda účinnosť súčasne so zákonom o životnom prostredí (Zbierka zákonov a dekrétov k z roku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Vykonávacie právne predpisy</w:t>
      </w:r>
    </w:p>
    <w:p w14:paraId="5F25AEAD" w14:textId="77777777" w:rsidR="000734E3" w:rsidRPr="000734E3" w:rsidRDefault="000734E3" w:rsidP="000734E3">
      <w:pPr>
        <w:pStyle w:val="ListParagraph"/>
        <w:rPr>
          <w:b/>
          <w:bCs/>
        </w:rPr>
      </w:pPr>
    </w:p>
    <w:p w14:paraId="3E0499A7" w14:textId="5D131EB0" w:rsidR="007F40A5" w:rsidRDefault="007F40A5" w:rsidP="00E021AD">
      <w:r>
        <w:t>Na základe smernice 2013/29/EÚ</w:t>
      </w:r>
      <w:r>
        <w:rPr>
          <w:rStyle w:val="FootnoteReference"/>
        </w:rPr>
        <w:footnoteReference w:id="4"/>
      </w:r>
      <w:r>
        <w:t xml:space="preserve"> (ďalej len „smernica o pyrotechnike“) môžu byť určité pyrotechnické výrobky sprístupnené na trhu len odborne spôsobilým osobám. Dňa 7. decembra 2020 bolo podpísané rozhodnutie Beneluxu s cieľom zaviesť jednotný kontrolný doklad, aby osoba, ktorá chce kúpiť predmetné pyrotechnické výrobky, mohla v cezhraničnom kontexte preukázať, že má potrebné odborné znalosti. Zavedenie pyrotechnického preukazu, jednotného kontrolného dokladu v rámci Beneluxu, môže uľahčiť predajcovi takýchto pyrotechnických výrobkov v krajine Beneluxu overenie autentickosti a platnosti dokladu. Odstraňuje sa tak prekážka riadneho fungovania vnútorného trhu. Okrem toho môže tento nástroj významne prispieť k boju proti nedovolenému obchodovaniu a k predchádzaniu zraneniam a materiálnym škodám. Krajiny Beneluxu sa v rámci EÚ chcú ujať vedúcej úlohy s cieľom vytvoriť opatrenie, ktoré sa v konečnom dôsledku bude vzťahovať na osoby oprávnené ako odborne spôsobilé osoby v iných členských štátoch EÚ. </w:t>
      </w:r>
    </w:p>
    <w:p w14:paraId="39FD9BF4" w14:textId="5154AA32" w:rsidR="00FA2E81" w:rsidRDefault="00FA2E81" w:rsidP="00E021AD"/>
    <w:p w14:paraId="0EC72B35" w14:textId="77BA0E63" w:rsidR="00FA2E81" w:rsidRDefault="00C22BC4" w:rsidP="00E021AD">
      <w:r>
        <w:t>Rozsah a predmet rozhodnutia Beneluxu sú obmedzené. Cieľom rozhodnutia Beneluxu nie je harmonizovať zásadné požiadavky, ktoré príslušné krajiny Beneluxu môžu ale nemusia uložiť s cieľom oprávniť niekoho ako odborne spôsobilú osobu.</w:t>
      </w:r>
      <w:r w:rsidR="00FA2E81">
        <w:rPr>
          <w:rStyle w:val="FootnoteReference"/>
        </w:rPr>
        <w:footnoteReference w:id="5"/>
      </w:r>
      <w:r>
        <w:t xml:space="preserve"> Rozhodnutím Beneluxu sa nemenia ani súčasné – európske alebo holandské – zákazy sprístupňovania určitých pyrotechnických výrobkov širokej verejnosti. Rozhodnutie Beneluxu neobsahuje ani žiadne pravidlá týkajúce sa manipulácie s pyrotechnickými výrobkami a/alebo ich používania po ich zakúpení.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Zásady návrhu</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Nevhodné používanie pyrotechnických výrobkov osobami, ktoré na to nie sú oprávnené, je pretrvávajúcim problémom, ktorý každoročne vedie k veľkému množstvu zranení a škôd. Určité typy ťažších pyrotechnických výrobkov sa môžu na trhu sprístupniť len odborne spôsobilým osobám. Hoci osoba, ktorá chce kúpiť takéto výrobky v cezhraničnom kontexte, môže predložiť doklad z inej krajiny, aby to dokázala, predajca nie je schopný primerane posúdiť autentickosť a platnosť tohto dokladu. Zavedenie pyrotechnického preukazu ako jednotného kontrolného dokladu to môže napraviť, pokiaľ ide o osoby oprávnené ako odborne spôsobilé osoby v inej krajine Beneluxu. Umožňuje sa tak zviditeľnenie legálnych obchodných tokov, aby sa mohol účinnejšie obmedziť nezákonný predaj profesionálnej zábavnej pyrotechniky. Okrem toho to prispieva k riadnemu fungovaniu vnútorného trhu v prípade profesionálnych odpaľovačov zábavnej pyrotechniky, ktorí chcú poskytovať svoje služby v inej krajine.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V tejto zmene dekrétu o zábavnej pyrotechnike sa stanovujú prípady, v ktorých by sa overovanie požadovaných kontrolných dokladov malo vykonať na základe pyrotechnického preukazu, povinnosť overiť ho a dôvody na jeho odobratie. Okrem toho je ďalej rozpracovaná aj prístupnosť registra pyrotechnických preukazov.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Týmto návrhom sa hospodárskym subjektom (výrobcom, dovozcom a distribútorom), ktorí sprístupňujú profesionálnu zábavnú pyrotechniku, scénickú pyrotechniku a pyrotechnické výrobky kategórie P2 na trhu, ukladá povinnosť overiť, či je táto osoba oprávnená na nákup týchto pyrotechnických výrobkov. V prípade osôb určených podľa práva krajín Beneluxu ako odborne spôsobilá osoba alebo ako zodpovedná osoba sa toto overenie vykonáva na základe pyrotechnického preukazu. Prevádzkovateľ je potom schopný overiť platnosť pyrotechnického preukazu v systéme vybavenom na tento účel. Okrem toho je hospodársky subjekt povinný uchovávať kópiu pyrotechnického preukazu a faktúry vo svojich záznamoch. Pyrotechnický preukaz sa môže odobrať, ak už nie je platné určenie za odborne spôsobilú osobu alebo zodpovednú osobu alebo v prípade jeho zneužitia.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Okrem toho sa využíva možnosť pripojiť k povoleniu žiadosti obdobie platnosti a opravujú sa určité menšie opomenutia. Podrobnejšie sa tomu venujeme v poznámkach k jednotlivým článkom.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Vzťah k nadradenému právu</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Európske právo</w:t>
      </w:r>
    </w:p>
    <w:p w14:paraId="15B82FB7" w14:textId="459F957D" w:rsidR="00AC6B62" w:rsidRDefault="00CF7C1C" w:rsidP="00AC6B62">
      <w:pPr>
        <w:spacing w:line="240" w:lineRule="auto"/>
      </w:pPr>
      <w:r>
        <w:t xml:space="preserve">Pyrotechnické výrobky sú vo veľkej miere upravené smernicou o pyrotechnike. V článku 5 uvedenej smernice sa stanovuje, že členské štáty prijmú potrebné opatrenia na zabezpečenie toho, aby sa pyrotechnické výrobky sprístupňovali na trhu len vtedy, ak sú v súlade s požiadavkami tejto smernice. V článku 6 tejto smernice sa vymedzuje zábavná pyrotechnika kategórie F4, scénická pyrotechnika kategórie T2 a iné pyrotechnické výrobky kategórie P2 ako určené výlučne na použitie odborne spôsobilými osobami a stanovuje sa, že členské štáty musia informovať Európsku komisiu o postupoch, podľa ktorých určujú odborne spôsobilé osoby a udeľujú im povolenia. V článku 7 ods. 3 smernice o pyrotechnike sa stanovuje, že uvedené výrobky môžu na trhu sprístupniť len výrobcovia, dovozcovia alebo distribútori odborne spôsobilým osobám. Podľa článku 4 ods. 2 smernice o pyrotechnike môže členský štát prijať opatrenia na zákaz alebo obmedzenie určitých pyrotechnických výrobkov. V Holandsku je teda napríklad úplne zakázané sprístupnenie pyrotechnických výrobkov kategórie T1, zábavnej pyrotechniky kategórie F3 a určitých výrobkov kategórie F2 na trhu osobám, ktoré nie sú odborne spôsobilé.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Právnym základom rozhodnutia Beneluxu je článok 6 ods. 2 písm. a) Zmluvy o založení únie Benelux a článok 1 písm. b) Protokolu z 29. apríla 1969 o zrušení kontrol a formalít na vnútorných hraniciach Beneluxu a o odstránení prekážok voľného pohybu. Na základe </w:t>
      </w:r>
      <w:r>
        <w:lastRenderedPageBreak/>
        <w:t xml:space="preserve">týchto ustanovení môže Výbor ministrov prijímať rozhodnutia s cieľom koordinovať právne predpisy troch krajín Beneluxu, aby sa odstránili určité prekážky. Rozhodnutie Beneluxu sa zameriava predovšetkým na riadne fungovanie vnútorného trhu s pyrotechnickými výrobkami. Uľahčuje sa tým predaj pyrotechnických výrobkov osobám, ktoré majú potrebnú odbornú spôsobilosť. Okrem toho rozhodnutie Beneluxu prispieva aj k boju proti nedovolenému obchodovaniu a k predchádzaniu zraneniam a materiálnym škodám, v rámci ktorých sa chce únia Benelux ujať vedúcej úlohy.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Vzťah k vnútroštátnym právnym predpisom</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Pyrotechnické výrobky primárne upravuje holandské právo v dekréte o zábavnej pyrotechnike. Článok 9.2.2.1 ods. 1 a 2 zákona Wm predstavuje hlavný základ dekrétu o zábavnej pyrotechnike. Na zavedenie registra pyrotechnických preukazov sa však vyžaduje osobitný základ v súvislosti so spracovaním osobných údajov, ktorý sa na tento účel stanovil v článku 9.5.8 zákona Wm. Tento dekrét sa preto zakladá na článku 9.2.2.1 ods. 1 a 2, ako aj na článku 9.5.8 ods. 3 a 4 zákona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V článku 1.1.2a ods. 1 dekrétu o zábavnej pyrotechnike sa určujú odborne spôsobilé osoby. Podľa článku 1.1.2a ods. 2 sa odborne spôsobilá osoba určuje za takúto osobu aj v prípade, pokiaľ ide o zábavnú pyrotechniku a scénickú pyrotechniku v inom členskom štáte Európskej únie.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V praxi tvoria najväčšiu skupinu odborne spôsobilých osôb držitelia povolenia žiadosti [článok 1.1.2a ods. 1 písm. b)]. Vzhľadom na článok 3B.1 ods. 6 však držiteľ povolenia žiadosti môže byť právnickou osobou, ako aj fyzickou osobou, zatiaľ čo pyrotechnický preukaz možno poskytnúť len fyzickej osobe na základe rozhodnutia Beneluxu. Rozhodnutie Beneluxu však obsahuje aj pojem „zodpovedná osoba“. Ide o osobu určenú právnickou osobou, ktorá je oprávnená skladovať alebo sprístupňovať na trhu pyrotechnické výrobky na používanie pyrotechnických výrobkov v mene tejto právnickej osoby.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Osoba, ktorá skutočne odpaľuje zábavnú pyrotechniku, zvyčajne nie je tou istou osobou (právnou alebo inou) ako držiteľ povolenia žiadosti. Na odpálenie profesionálnej zábavnej pyrotechniky sa vyžaduje odborná príprava a registrácia podľa dekrétu o pracovných podmienkach. Na účely získania povolenia žiadosti musia žiadatelia okrem iného predložiť kópiu platného zápisu do registra prevádzkovateľov zábavnej pyrotechniky uvedeného v článku 4.9 ods. 1 dekrétu o pracovných podmienkach, ktorý bol vydaný osobe, ktorej sa týkajú úkony uvedené v žiadosti a ktorá sa týka týchto úkonov. Okrem toho existujú aj spracovatelia zábavnej pyrotechniky (článok 4.9 ods. 2 dekrétu o pracovných podmienkach), ktorí vykonávajú prácu spočívajúcu v predaji, spracovaní alebo sprístupnení spotrebiteľskej zábavnej pyrotechniky, profesionálnej zábavnej pyrotechniky alebo scénickej pyrotechniky. Tieto osoby sa označujú ako „zodpovedná osoba“.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Na základe dekrétu o pracovných podmienkach a ďalšieho rozpracovania v dekréte o pracovných podmienkach je stanovené, kto má prístup do registra spracovateľov zábavnej pyrotechniky a prevádzkovateľov zábavnej pyrotechniky. Podľa článku 1 ods. 5o písm. c) dekrétu o pracovných podmienkach môžu do registrov nahliadnuť iné osoby, ktorých sa to priamo týka (okrem klienta alebo splnomocneného zástupcu klienta), pokiaľ ide o registráciu alebo pozastavenie registrácie osoby. V dôvodovej správe k tomuto rozhodnutiu sa uvádza, že by to mohlo zahŕňať napríklad verejné orgány, ktoré prijímajú rozhodnutia na základe dekrétu o zábavnej pyrotechnike. Je to dôležité na overenie toho, či je registrácia pracovníka v oblasti zábavnej pyrotechniky platná v súvislosti s pyrotechnickým preukazom.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Vzor pyrotechnického preukazu a ďalšie technické podrobnosti, ako sa stanovuje v právnom základe, sa rozpracujú v ministerskom nariadení.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Dôsledky (bez finančných dôsledkov)</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Vplyv na regulačné zaťaženie</w:t>
      </w:r>
    </w:p>
    <w:p w14:paraId="6914D7FF" w14:textId="28F21F0E" w:rsidR="00936355" w:rsidRDefault="00C43025" w:rsidP="00AE0502">
      <w:pPr>
        <w:keepNext/>
        <w:keepLines/>
        <w:spacing w:line="240" w:lineRule="auto"/>
      </w:pPr>
      <w:r>
        <w:t xml:space="preserve">Táto zmena dekrétu o zábavnej pyrotechnike má regulačné dôsledky pre rôzne strany v odvetví zábavnej pyrotechniky. Platí to pre prevádzkovateľov a osoby, ktoré musia požiadať o pyrotechnický preukaz. </w:t>
      </w:r>
      <w:r>
        <w:rPr>
          <w:color w:val="auto"/>
          <w:shd w:val="clear" w:color="auto" w:fill="FFFFFF"/>
        </w:rPr>
        <w:t>Pri výpočte administratívneho zaťaženia je predpísaná vnútroštátna metodika pre účinky regulačného tlaku, na základe ktorej sa predpokladajú náklady vo výške 50 EUR na hodinu.</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Hospodárske subjekty budú čoskoro povinné požiadať o pyrotechnický preukaz pri predaji určitých pyrotechnických výrobkov, overiť ich platnosť v registri pyrotechnických preukazov a uchovávať o tom dôkaz vo svojich záznamoch. V súčasnosti sa od týchto strán vyžaduje aj to, aby overovali, či osoba, ktorá kupuje pyrotechnické výrobky, je odborne spôsobilá. V dôsledku toho sú účinky zavedenia pyrotechnického preukazu na tieto strany malé a dokonca uľahčia kontroly. Hospodárske subjekty však musia nové povinnosti brať na vedomie; na tento účel sa vyčleňuje približne jedna hodina na hospodársky subjekt. Okrem toho sú hospodárske subjekty povinné uchovávať informácie vo svojich záznamoch, za čo sa počíta päť minút na operáciu na jeden hospodársky subjekt. V Holandsku pôsobí približne 10 účastníkov trhu. To znamená, že regulačné zaťaženie týmito zmenami je pre túto cieľovú skupinu prakticky nulové.</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V prípade odborne spôsobilých osôb alebo zodpovedných osôb zmena dekrétu o zábavnej pyrotechnike znamená, že na základe pyrotechnického preukazu musia byť schopné preukázať, že majú takéto oprávnenie. Musia požiadať o pyrotechnický preukaz. Pre tieto strany to predstavuje dodatočný úkon, hoci sa nestanovujú žiadne nové požiadavky na odbornú prípravu alebo iné požiadavky. Dôsledky pre túto cieľovú skupinu sa teda čo najviac minimalizovali. Vyčlenili sa dve hodiny na to, aby vzali na vedomie povinnosť a žiadosť o pyrotechnický preukaz a zhromaždili potrebné údaje. V súčasnosti je ťažké odhadnúť, koľko osôb požiada o pyrotechnický preukaz. Predpokladá sa, že to bude 50 až 150 osôb. To znamená, že regulačné zaťaženie tejto cieľovej skupiny ako celku týmito zmenami sa odhaduje na celkovo 5 000 až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Týmto dekrétom sa k povoleniu žiadosti prikladá obdobie platnosti. To znamená, že o povolenie žiadosti sa musí opätovne požiadať po uplynutí obdobia platnosti. V súčasnosti existuje približne 75 držiteľov povolenia žiadosti. Predloženie žiadosti o povolenie žiadosti vrátane požadovaného vyhlásenia o správaní (ďalej len „VOG“) sa odhaduje na dve hodiny. Za samotnú žiadosť o licenciu sa neúčtujú žiadne poplatky. To znamená, že pre túto konkrétnu cieľovú skupinu sa celkové regulačné zaťaženie odhaduje na približne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Efektívnosť a účinnosť</w:t>
      </w:r>
    </w:p>
    <w:p w14:paraId="2BE5AB6D" w14:textId="0BC0329B" w:rsidR="008D009E" w:rsidRDefault="008D009E" w:rsidP="00C43025">
      <w:pPr>
        <w:spacing w:line="240" w:lineRule="auto"/>
      </w:pPr>
      <w:r>
        <w:t>Vzhľadom na to, že systém pyrotechnických preukazov sa zavádza len v Beneluxe, efektívnosť a účinnosť je spočiatku obmedzená. Zavedenie má však aj dôležitú skúšobnú úlohu a výsledky sa v EÚ monitorujú. Cieľom Beneluxu je, aby bol pyrotechnický preukaz zavedený v rámci Európskej únie.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Dôsledky pre súkromie</w:t>
      </w:r>
    </w:p>
    <w:p w14:paraId="57A10400" w14:textId="10864A2A" w:rsidR="00CA1DB1" w:rsidRDefault="00252E79" w:rsidP="00C43025">
      <w:pPr>
        <w:spacing w:line="240" w:lineRule="auto"/>
      </w:pPr>
      <w:r>
        <w:t xml:space="preserve">Tento dekrét vedie k spracúvaniu osobných údajov. Zákon, ktorým sa zriaďuje register pyrotechnických preukazov, je pre to primárnym základom; v rámci toho bolo vypracované posúdenie vplyvu na ochranu údajov a vyžiadané stanovisko holandského orgánu pre ochranu údajov. V tejto súvislosti neboli predložené žiadne pripomienky.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V súvislosti s touto zmenou sa vypracovalo nové posúdenie vplyvu na ochranu údajov. Správcom je minister pre infraštruktúru a hospodárenie s vodami (IenW). Na účely tohto dekrétu sa predpokladajú rôzne operácie spracovania údajov, konkrétne predloženie žiadosti o pyrotechnický preukaz, jej posúdenie a vydanie pyrotechnického preukazu. Okrem toho sa potrebné údaje – ako to vyžaduje rozhodnutie Beneluxu – uchovávajú v registri pyrotechnických preukazov. Ak hospodársky subjekt predáva pyrotechnické výrobky kategórie F3, F4, T2 alebo P2, tento predávajúci je povinný overiť pyrotechnický </w:t>
      </w:r>
      <w:r>
        <w:lastRenderedPageBreak/>
        <w:t xml:space="preserve">preukaz a doklad totožnosti a nahliadnuť do registra pyrotechnických preukazov. Okrem toho musí hospodársky subjekt uchovávať určité dokumenty uvedené v článku 4.1 ods. 8 vo svojich záznamoch. A napokon, osobné údaje sa spracúvajú, keď sa orgánom zodpovedným za monitorovanie dodržiavania predpisov uplatniteľných na pyrotechnické výrobky a za presadzovanie týchto pravidiel poskytne napríklad prístup do registra. Požiadavka proporcionality a subsidiarity sa zohľadnila tak v kontexte rozhodnutia Beneluxu, ako aj pri súčasnom vykonávaní. Pri všetkých spracovateľských operáciách sa nespracúva viac osobných údajov, ako je potrebné, ani sa nespracúvajú viac ako na účel, na ktorý boli získané (sú viazané ich účelom), </w:t>
      </w:r>
      <w:bookmarkStart w:id="4" w:name="_Hlk125126125"/>
      <w:r>
        <w:t>s výnimkou monitorovania dodržiavania predpisov uplatniteľných na pyrotechnické výrobky a presadzovania týchto pravidiel príslušnými orgánmi.</w:t>
      </w:r>
      <w:bookmarkEnd w:id="4"/>
      <w:r>
        <w:t xml:space="preserve"> Druhá výnimka sa vzťahuje na prípady, keď prokuratúra (ďalej len „OM“) získa prístup do registra.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Údaje sa neuchovávajú dlhšie, ako je potrebné. Záznamy a údaje vložené do registra pyrotechnických preukazov sa uchovávajú 12 rokov. Na tento účel je to zosúladené s maximálnou premlčacou lehotou pre trestné činy súvisiace s pyrotechnikou.</w:t>
      </w:r>
    </w:p>
    <w:p w14:paraId="7D003D62" w14:textId="413391F3" w:rsidR="00CA1DB1" w:rsidRDefault="00447582" w:rsidP="00447582">
      <w:pPr>
        <w:spacing w:line="240" w:lineRule="auto"/>
        <w:rPr>
          <w:color w:val="auto"/>
        </w:rPr>
      </w:pPr>
      <w:r>
        <w:t xml:space="preserve">Prevádzkovatelia uchovávajú kópiu kontrolného dokladu v záznamoch spolu s príslušnou faktúrou a prípadne príslušným prepravným dokladom sedem rokov. </w:t>
      </w:r>
      <w:r>
        <w:rPr>
          <w:color w:val="auto"/>
        </w:rPr>
        <w:t>Je to v súlade s vnútroštátnym obdobím uchovávania záznamov.</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Vydanie pyrotechnického preukazu a vedenie a správa registra pyrotechnických preukazov sa vykonáva na základe pokynov organizácie, ktorá sa určí. Na tento účel sa uzatvárajú potrebné dohody, ako napríklad dohoda o spracovaní.</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Vykonávanie a presadzovanie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Mal by sa vytvoriť a spravovať register pyrotechnických preukazov. Táto právomoc bola v tomto dekréte zverená ministrovi pre infraštruktúru a hospodárenie s vodami. </w:t>
      </w:r>
      <w:r>
        <w:rPr>
          <w:highlight w:val="yellow"/>
        </w:rPr>
        <w:t>Bude upresnené</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Predpisy o zábavnej pyrotechnike sa uplatňujú tak v oblasti správneho, ako aj trestného práva. Z hľadiska správneho práva sa môže uložiť pokuta na základe zákona Wm alebo ako správna sankcia. Inšpektorát životného prostredia a dopravy (ďalej len „ILT“) dohliada na bezpečnosť a kvalitu zábavnej pyrotechniky, ktorú spoločnosti uvádzajú na trh. ILT je dozorný orgán pre prepravu nebezpečných látok vrátane zábavnej pyrotechniky podľa právnych predpisov o preprave a pre dovoz a vývoz zábavnej pyrotechniky podnikmi podľa dekrétu o zábavnej pyrotechnike. ILT tiež vydáva povolenia žiadostí. Návrh dekrétu bol xx predložený ILT na skúšku vykonateľnosti, použiteľnosti a odolnosti proti podvodom. Dekrét posúdil ILT ako </w:t>
      </w:r>
      <w:r>
        <w:rPr>
          <w:highlight w:val="yellow"/>
        </w:rPr>
        <w:t>... skúška PM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Rôzne ustanovenia dekrétu o zábavnej pyrotechnike sú stíhateľné podľa zákona o hospodárskych trestných činoch a ich dodržiavanie zabezpečuje polícia a prokuratúra. Vzťahuje sa to napríklad na predaj profesionálnej zábavnej pyrotechniky súkromným osobám. Kolektívnym zákonom IenW z roku 2021 sa mení zákon o hospodárskych trestných činoch s cieľom presadzovať aj článok 9.5.8 ods. 6. V prípade trestného činu je trest s hornou hranicou trestnej sadzby až na šesť rokov, verejnoprospešná služba alebo pokuta piatej kategórie (v súčasnosti 90 000 EUR). Návrh dekrétu bol predložený prokuratúre </w:t>
      </w:r>
      <w:r>
        <w:rPr>
          <w:highlight w:val="yellow"/>
        </w:rPr>
        <w:t>xx</w:t>
      </w:r>
      <w:r>
        <w:t xml:space="preserve">. </w:t>
      </w:r>
      <w:r>
        <w:rPr>
          <w:highlight w:val="yellow"/>
        </w:rPr>
        <w:t>Bude upresnená skúška HUF</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Finančný vplyv</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Podľa článku 9.5.8 ods. 5 zákona Wm je možné vyberať poplatok za žiadosť o pyrotechnický preukaz. V súčasnosti sa to tu neustanovuje, čím sa finančný vplyv veľmi znižuje. Za povolenie žiadosti sa nepožaduje žiadny poplatok, čo znamená, že zavedenie obdobia platnosti nespôsobuje zvýšenie nákladov.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Poradenstvo a konzultácie</w:t>
      </w:r>
    </w:p>
    <w:p w14:paraId="1D22CCE9" w14:textId="3285AF09" w:rsidR="00D4395F" w:rsidRDefault="006B5035" w:rsidP="00FF6FF4">
      <w:pPr>
        <w:keepNext/>
        <w:keepLines/>
        <w:spacing w:line="240" w:lineRule="auto"/>
      </w:pPr>
      <w:r>
        <w:t>V rámci prípravy tohto dekrétu sa viedli konzultácie s viacerými stranami. Skúšky výkonnosti zo strany prokuratúry a ILT už boli uvedené vyššie. O počiatočnom návrhu sa diskutovalo aj so zástupcami VEN (Holandská asociácia zábavnej pyrotechniky pre podujatia), BPN (Holandská pyrotechnická asociácia) a Stichting VuurwerkCheck. V dôsledku toho sa v dekréte stanovuje, že držitelia pyrotechnických preukazov oprávnení pre zábavnú pyrotechniku kategórie F3 alebo F4 sa tiež považujú za oprávnených pre zábavnú pyrotechniku kategórie F2, ktorá nie je určená na súkromné použitie. Stanovuje sa aj, že držitelia pyrotechnických preukazov oprávnení pre pyrotechnické výrobky na použitie pyrotechnických výrobkov kategórie T2 sa takisto považujú za oprávnených pre scénickú pyrotechniku kategórie T1. Odvetvie uviedlo, že považuje boj proti nelegálnemu obchodovaniu so zábavnou pyrotechnikou za dôležitý, ale má pochybnosti o účinnosti pyrotechnického preukazu na nelegálne obchodné toky, a to aj preto, že je zavedený len v rámci Beneluxu. Pyrotechnický preukaz je nástroj, ktorý je súčasťou širšieho balíka opatrení na zníženie nezákonného zaobchádzania s profesionálnou zábavnou pyrotechnikou. Želaním Beneluxu je, aby sa pyrotechnický preukaz zaviedol v rámci Európskej únie. Odvetvie uviedlo, že zavedenie pyrotechnického preukazu sa považuje za zvýšenie administratívneho zaťaženia, pretože sa domnieva, že pyrotechnický preukaz je duplikátom oznámenia podľa článku 1.4.1 dekrétu o zábavnej pyrotechnike. Administratívne zaťaženie, ako je vysvetlené v odseku 6 dôvodovej správy, bolo obmedzené v čo najväčšej miere. Pyrotechnický preukaz uľahčuje hospodárskym subjektom kontrolu, či má kupujúci požadované povolenia. Okrem toho nedochádza k duplicite so systémom podávania správ uvedeným v článku 1.4.1 dekrétu o zábavnej pyrotechnike, pretože účel systému oznamovania nie je presne porovnateľný s účelom pyrotechnického preukazu. Systém podávania správ sa vzťahuje na mapovanie cezhraničných tokov výrobkov, zatiaľ čo pyrotechnický preukaz sa týka predajných transakcií.</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Vzhľadom na veľmi obmedzený vplyv na regulačné zaťaženie sa neuskutočnila žiadna skúška MSP.</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Holandský orgán pre ochranu údajov bol požiadaný o stanovisko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O tomto dekréte sa uskutočnila internetová konzultácia. Na základe článku 21.6 ods. 4 bol návrh dekrétu predbežne uverejnený v úradnom vestníku, aby mal každý možnosť písomne informovať nášho ministra v lehote štyroch týždňov. V tomto prípade sa internetové konzultácie môžu vynechať. </w:t>
      </w:r>
    </w:p>
    <w:p w14:paraId="62852144" w14:textId="72BDE637" w:rsidR="00027B61" w:rsidRDefault="00027B61" w:rsidP="006B5035">
      <w:pPr>
        <w:spacing w:line="240" w:lineRule="auto"/>
      </w:pPr>
      <w:r>
        <w:rPr>
          <w:highlight w:val="yellow"/>
        </w:rPr>
        <w:t>PM Pripomienky ku konzultáciám prostredníctvom internetu a predbežné uverejnenie</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Návrh dekrétu bol okrem toho predložený </w:t>
      </w:r>
      <w:r>
        <w:rPr>
          <w:highlight w:val="yellow"/>
        </w:rPr>
        <w:t>dátum x</w:t>
      </w:r>
      <w:r>
        <w:t xml:space="preserve"> prvej a druhej komore v súvislosti so zákonom požadovaným pozastavením (článok 21.6 ods. 4 zákona Wm). </w:t>
      </w:r>
      <w:r>
        <w:rPr>
          <w:highlight w:val="yellow"/>
        </w:rPr>
        <w:t>Príloha PM týkajúca sa vstupov</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Hodnotenie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Tento dekrét a fungovanie pyrotechnického preukazu sa vyhodnotia po troch rokoch. Je to dôležité aj na to, aby bolo možné určiť, či tento systém funguje v rámci Beneluxu, a poskytnúť vstupy pre prípadné zavedenie na európskej úrovni.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Prechodné právo a nadobudnutie účinnosti</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Pokiaľ ide o obdobie platnosti povolenia žiadosti, je žiaduce prechodné právo, aby sa zabránilo tomu, že licencie udelené v (dávnej) minulosti náhle prestanú platiť. Na tento účel sa stanovilo prechodné obdobie jedného roka. Toto obdobie dáva sektoru, ako aj poskytovateľovi licencie dostatočný čas na spracovanie žiadosti.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Podľa článku 7 ods. 2 rozhodnutia Beneluxu musia krajiny Beneluxu uviesť do účinnosti zákony, trestné právo, regulačné a správne opatrenia potrebné na dosiahnutie súladu s </w:t>
      </w:r>
      <w:r>
        <w:lastRenderedPageBreak/>
        <w:t xml:space="preserve">ustanoveniami tohto rozhodnutia Beneluxu najneskôr do troch rokov od nadobudnutia jeho účinnosti. Rozhodnutie Beneluxu nadobudlo účinnosť 7. decembra 2020, čo znamená, že jeho vykonávanie sa musí ukončiť 7. decembra 2023. Nadobudnutie účinnosti tohto dekrétu sa uskutočňuje kráľovským dekrétom s cieľom uviesť túto zmenu do účinnosti 1. januára 2024. Nadobudnutie účinnosti 1. januára 2024 je žiaduce vzhľadom na súvisiacu zmenu dekrétu o pracovných podmienkach (Zbierka zákonov a dekrétov z roku 2019, 471), ktorá takisto nadobúda účinnosť v uvedený deň. </w:t>
      </w:r>
      <w:r>
        <w:rPr>
          <w:highlight w:val="yellow"/>
        </w:rPr>
        <w:t>PM ďalšie prechodné právo v prípade potreby</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Vysvetlivky k jednotlivým článkom</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Článok I časť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V tomto ustanovení sa do článku 1.1.1 ods. 1 dekrétu o zábavnej pyrotechnike dopĺňa niekoľko vymedzení pojmov. Pojem zodpovedná osoba vyplýva z rozhodnutia Beneluxu. Pokiaľ ide o situáciu v Holandsku, okrem odborne spôsobilej osoby sa konkrétnejšie uvádza, že to môže byť spracovateľ zábavnej pyrotechniky alebo prevádzkovateľ zábavnej pyrotechniky určený právnickou osobou, ktorá je oprávnená skladovať alebo sprístupňovať na trhu (často držiteľ povolenia žiadosti). Pojmy spracovateľ zábavnej pyrotechniky alebo prevádzkovateľ zábavnej pyrotechniky sa spájajú so systémom dekrétu o pracovných podmienkach, ktorým sa upravuje registrácia týchto povolaní. Tým sa zabezpečuje, že ide o osobu, ktorá má odborné znalosti o predmetných výrobkoch zábavnej pyrotechniky, a že na tento účel absolvovala odbornú prípravu.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Článok I časť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Článok 1.1.3 obsahuje rozsah pôsobnosti dekrétu o zábavnej pyrotechnike. Zmenou dekrétu o zábavnej pyrotechnike z 20. júna 2022 (Zbierka zákonov a dekrétov z roku 2022, 291) sa rozšíril na pyrotechnické výrobky kategórií P1 a P2, ktoré sa používajú ako zábavná pyrotechnika alebo sú zjavne určené na používanie ako zábavná pyrotechnika. Touto aktuálnou zmenou je potrebné doplniť túto skutočnosť, pretože predaj P2 nie je povolený bez overenia kontrolných dokladov, aj keď sa tento výrobok nepoužíva alebo je určený na použitie ako zábavná pyrotechnika. Rozšírenie rozsahu pôsobnosti na tento bod sa však vzťahuje len na novú kapitolu 4 dekrétu o zábavnej pyrotechnike.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Článok I časť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Využila sa možnosť na opravu odkazu na zákon, ktorý už neplatí. V článku 1.2.5 ods. 2 sa odkazuje na ustanovenia zákona o cestnej nákladnej doprave. Platnosť tohto zákona však uplynula 1. mája 2009 a zákon bol nahradený zákonom o cestnej nákladnej doprave. Pôvodný článok 20 zákona o cestnej nákladnej doprave, ktorý v skratke obsahoval povinnosť registrácie a sprievodné osvedčenie o registrácii, sa týmto zrušil. Článok 29, zákaz vykonávať prepravu bez vyhotovenia nákladného listu, bol v podstate nahradený článkom 2.13 zákona o cestnej nákladnej doprave. Článok 1.2.5 ods. 2 sa príslušne zmenil.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Článok I časť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Licencia, o ktorú sa žiada, sa v súčasnosti udeľuje na neurčité obdobie. Vykonávanie tohto rozhodnutia Beneluxu preukázalo, že to už nie je žiaduce. Pripojenie päťročného obdobia platnosti k povoleniu žiadosti znamená, že je potrebné opätovne overiť do piatich rokov, či žiadateľ (stále) spĺňa všetky požiadavky, ako napríklad VOG. Pomáha to pri dohľade nad povolením žiadosti a jeho presadzovaní.</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Článok I časť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Za kapitolu 3B sa do dekrétu o zábavnej pyrotechnike vkladá nová kapitola s hlavnými ustanoveniami o pyrotechnickom preukaze.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Článok 4.1</w:t>
      </w:r>
    </w:p>
    <w:p w14:paraId="6D216F10" w14:textId="000E4BB8" w:rsidR="0026407F" w:rsidRPr="0026407F" w:rsidRDefault="0026407F" w:rsidP="00975E08">
      <w:pPr>
        <w:spacing w:line="240" w:lineRule="auto"/>
      </w:pPr>
      <w:r>
        <w:t xml:space="preserve">Článkom 4.1 ods. 1 sa zakazuje prevádzkovateľom, aby sprístupňovali pyrotechnické výrobky špecifikované v uvedenom odseku na trhu bez kontroly dokladov odborne spôsobilých osôb. V odseku 2 sa stanovuje, že ak sa dodávajú pyrotechnické výrobky a fyzická osoba koná v mene právnickej osoby, musí sa skontrolovať kontrolný doklad a doklad totožnosti tejto zodpovednej osoby. Odsekom 3 sa upravuje, ktoré odborne spôsobilé osoby alebo zodpovedné osoby to musia preukázať na základe pyrotechnického preukazu. Požiadavky smernice o pyrotechnike, a teda rozhodnutia Beneluxu, sa v súlade s vnútroštátnym právom neuplatňujú na pyrotechnické výrobky na nekomerčné použitie ozbrojenými silami, políciou alebo hasičskými zbormi. Tieto skupiny preto nemusia žiadať o pyrotechnický preukaz [článok 1.1.2a ods. 1 písm. c) až f)]. Vzor pyrotechnického preukazu je stanovený v rozhodnutí Beneluxu a zahrnuté sú len určité kategórie pyrotechnických výrobkov. V Holandsku sú však zábavná pyrotechnika kategórie F2, ktorá nie je určená na súkromné použitie, a scénická pyrotechnika kategórie T1 tiež vyhradené pre odborne spôsobilé osoby. V odseku 4 sa preto stanovuje, že osoby s povolením pre zábavnú pyrotechniku kategórie F3 alebo F4 sú aj osoby s povolením pre zábavnú pyrotechniku kategórie F2, a v odseku 5, že osoby s povolením pre scénickú pyrotechniku kategórie T2 sú aj osobami s povolením pre scénickú pyrotechniku kategórie T1. V opačnom prípade by to viedlo k situácii, že napríklad odborne spôsobilá osoba musí ukázať svoj pyrotechnický preukaz v prípade predajnej transakcie pre pyrotechnické výrobky kategórie T2 a iný doklad preukazujúci, že ide o odborne spôsobilú osobu pre výrobky kategórie T1. To sa považuje za nežiaduce. V odseku 8 sa stanovujú doklady, ktoré majú hospodárske subjekty uchovávať a na aké obdobie. V prípadoch, keď sa uskutočňuje preprava, sa uchováva príslušný prepravný doklad. Na základe rozhodnutia Beneluxu je potrebné dodržať lehoty stanovené vo vnútroštátnom práve. V Holandsku sa finančná správa spoločností musí uchovávať sedem rokov. Toto sa pripojí k tomuto dekrétu.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Článok 4.2</w:t>
      </w:r>
    </w:p>
    <w:p w14:paraId="2012168C" w14:textId="7E3C8FCA" w:rsidR="000C0E6D" w:rsidRPr="000C0E6D" w:rsidRDefault="00453DDC" w:rsidP="000C0E6D">
      <w:pPr>
        <w:pStyle w:val="CommentText"/>
        <w:rPr>
          <w:sz w:val="18"/>
          <w:szCs w:val="18"/>
        </w:rPr>
      </w:pPr>
      <w:r>
        <w:rPr>
          <w:sz w:val="18"/>
        </w:rPr>
        <w:t>V tomto článku sú uvedené osoby oprávnené na pyrotechnický preukaz v Holandsku. Hoci to nie je priamo upravené rozhodnutím Beneluxu, je dôležité stanoviť, kto môže požiadať o pyrotechnický preukaz. V rámci Beneluxu sa dohodlo, že odborne spôsobilé osoby žiadajú o pyrotechnický preukaz v krajine, v ktorej sú podľa uplatniteľného práva určené ako odborne spôsobilé osoby. V dôvodovej správe k rozhodnutiu Beneluxu sa však uvádza, že pyrotechnický preukaz je vždy osobným dokladom. V tomto článku sa preto stanovuje, že nárok na pyrotechnický preukaz majú iba fyzické osoby. Rozhodnutím Beneluxu sa upravujú aj výrobky kategórie P2. Na základe článku 3 nariadenia o iných pyrotechnických výrobkoch sú určené odborne spôsobilé osoby, ktoré môžu používať pyrotechnické výrobky patriace do kategórie P2 z dôvodu výkonu ich funkcie. Aj tieto osoby sú oprávnené na pyrotechnický preukaz.</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V odseku 2 sa konkrétne stanovuje, že žiadosť o pyrotechnický preukaz pre zodpovednú osobu sa vykonáva spolu s držiteľom povolenia žiadosti. Týmto spôsobom je možné zabezpečiť, aby držiteľ povolenia žiadosti, ako aj zodpovedná osoba, súhlasili so žiadosťou.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Pyrotechnický preukaz má takisto obdobie platnosti uvedené v ňom. V samotnom rozhodnutí Beneluxu sa toto obdobie platnosti neupravuje. Vzhľadom na prepojenie s registráciou ako spracovateľ zábavnej pyrotechniky alebo prevádzkovateľ zábavnej pyrotechniky sa rozhodlo o zosúladení s obdobím platnosti registrácie. Po uplynutí jeho platnosti je potrebné požiadať o nový pyrotechnický preukaz po maximálne piatich rokoch. Obdobie platnosti pyrotechnického preukazu však môže byť kratšie v závislosti od toho, či je povolenie žiadosti alebo environmentálne povolenie kratšie ako registrácia. Tým sa zabezpečí aktuálnosť registra.</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V ministerskom nariadení sa vypracovalo niekoľko technických a procesných aspektov. Napríklad vzor pyrotechnického preukazu, ktorý je tiež pripojený k rozhodnutiu Beneluxu, sa stanovuje ministerským nariadením.</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Systém pyrotechnických preukazov môže správne fungovať len vtedy, ak existujú aj možnosti jeho odobratia. V odsekoch 6 a 7 sa špecifikujú okolnosti, za ktorých je to tak. Týmito okolnosťami je vykonávanie rozhodnutia Beneluxu.</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Článok 4.3</w:t>
      </w:r>
    </w:p>
    <w:p w14:paraId="2D850221" w14:textId="7AF0A3A5" w:rsidR="004A650F" w:rsidRPr="0045450C" w:rsidRDefault="004A650F" w:rsidP="00E910E4">
      <w:pPr>
        <w:keepNext/>
        <w:keepLines/>
        <w:spacing w:line="240" w:lineRule="auto"/>
      </w:pPr>
      <w:r>
        <w:t xml:space="preserve">V tomto článku sa uvádza, ktoré doklady sa uchovávajú v registri pyrotechnických preukazov. Pritom sa neuchováva viac informácií, ako je potrebné na vykonanie kontrol.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Článok 4.4</w:t>
      </w:r>
      <w:r>
        <w:br/>
        <w:t xml:space="preserve">Strany, ktoré majú prístup do registra pyrotechnických preukazov, v praxi hospodárske subjekty a regulačné orgány, by mali mať bezodkladne k dispozícii potrebné informácie z registra, aby si mohli plniť svoje povinnosti. Preto sa v tomto článku stanovuje, že náš minister musí zabezpečiť, aby údaje a doklady v registri pyrotechnických preukazov boli bezodkladne sprístupnené.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Článok 4.5</w:t>
      </w:r>
    </w:p>
    <w:p w14:paraId="2E43070D" w14:textId="2C1D619E" w:rsidR="005D21FE" w:rsidRDefault="008B1DFC" w:rsidP="00975E08">
      <w:pPr>
        <w:spacing w:line="240" w:lineRule="auto"/>
      </w:pPr>
      <w:r>
        <w:t xml:space="preserve">V tomto článku sa stanovuje, komu sú prístupné údaje a doklady v registri pyrotechnických preukazov. V prvom rade je dôležité, aby orgány presadzovania práva v oblasti pyrotechnických výrobkov mali prístup do registra. V praxi ide o ILT a prokuratúru. Tieto sú určené v odseku 1. Okrem toho by hospodárske subjekty mali mať prístup pri sprístupňovaní výrobkov na trhu, ale len na účely overenia platnosti pyrotechnického preukazu. V dôsledku toho nemajú prístup k žiadnym osobným údajom, ktoré nie sú potrebné.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Článok 4.6</w:t>
      </w:r>
    </w:p>
    <w:p w14:paraId="4759D869" w14:textId="43FA3E6D" w:rsidR="008B1DFC" w:rsidRPr="00414847" w:rsidRDefault="008B1DFC" w:rsidP="00975E08">
      <w:pPr>
        <w:spacing w:line="240" w:lineRule="auto"/>
      </w:pPr>
      <w:r>
        <w:t>V tomto článku sa stanovuje obdobie uchovávania údajov v registri pyrotechnických preukazov na 12 rokov. Osobné údaje sa nesmú uchovávať dlhšie, ako je potrebné. Vzhľadom na maximálnu premlčaciu lehotu v prípade trestných činov týkajúcich sa zábavnej pyrotechniky je s tým spojené obdobie uchovávania.</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Článok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Povolenia žiadostí, ktoré už boli udelené pred nadobudnutím účinnosti tohto dekrétu, sa udeľujú na dobu neurčitú. Termín 1. januára 2025 bol zvolený na obdobie platnosti súčasných povolení žiadostí. Toto jednoročné obdobie ponúka žiadateľom aj ministrovi IenW ako poskytovateľovi povolenia dostatočný čas na podanie a posúdenie žiadosti.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Článok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Tento dekrét nadobúda účinnosť v čase stanovenom kráľovským dekrétom, ktorý sa môže líšiť pre jednotlivé články alebo ich časti. Ako je vysvetlené vo všeobecnom oddiele dôvodovej správy, rozhodnutie Beneluxu sa má vykonať 7. decembra 2023. Cieľom je čo najviac sa s tým zosúladiť nadobudnutím účinnosti 1. januára 2024. Nadobudnutie účinnosti pred 1. januárom 2024 nie je žiaduce z dôvodu nadobudnutia účinnosti zmeny dekrétu o pracovných podmienkach (Zbierka zákonov a dekrétov z roku 2019, 471), ktorá má dôsledky pre tento dekrét. 1. január je takisto pevne stanovený čas pre všeobecné správne nariadenie (alebo jeho zmenu), ako sa uvádza v poznámke 4.17 k nariadeniam. Podľa článku 21.6 ods. 5 zákona Wm sa tento dekrét po jeho prijatí zašle obom holandským komorám a nadobudne účinnosť najskôr štyri týždne odo dňa vydania úradného vestníka, v ktorom bol uverejnený.</w:t>
      </w:r>
    </w:p>
    <w:p w14:paraId="0EE9ECA0" w14:textId="3F277537" w:rsidR="007F3C60" w:rsidRDefault="007F3C60" w:rsidP="005D21FE">
      <w:pPr>
        <w:spacing w:line="240" w:lineRule="auto"/>
      </w:pPr>
    </w:p>
    <w:p w14:paraId="154545D8" w14:textId="0C3FDD64" w:rsidR="007F3C60" w:rsidRPr="009A0DFB" w:rsidRDefault="007F3C60" w:rsidP="007F3C60">
      <w:pPr>
        <w:rPr>
          <w:lang w:val="el-GR"/>
        </w:rPr>
      </w:pPr>
      <w:r>
        <w:t>MINISTER PRE INFRAŠTRUKTÚRU A HOSPODÁRENIE S VODAMI,</w:t>
      </w:r>
      <w:r w:rsidR="009A0DFB">
        <w:rPr>
          <w:lang w:val="el-GR"/>
        </w:rPr>
        <w:t xml:space="preserve"> </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0161" w14:textId="77777777" w:rsidR="000947E0" w:rsidRDefault="000947E0">
      <w:pPr>
        <w:spacing w:line="240" w:lineRule="auto"/>
      </w:pPr>
      <w:r>
        <w:separator/>
      </w:r>
    </w:p>
  </w:endnote>
  <w:endnote w:type="continuationSeparator" w:id="0">
    <w:p w14:paraId="32DCD02A" w14:textId="77777777" w:rsidR="000947E0" w:rsidRDefault="000947E0">
      <w:pPr>
        <w:spacing w:line="240" w:lineRule="auto"/>
      </w:pPr>
      <w:r>
        <w:continuationSeparator/>
      </w:r>
    </w:p>
  </w:endnote>
  <w:endnote w:type="continuationNotice" w:id="1">
    <w:p w14:paraId="69AC7D35" w14:textId="77777777" w:rsidR="000947E0" w:rsidRDefault="00094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1A35" w14:textId="77777777" w:rsidR="000947E0" w:rsidRDefault="000947E0">
      <w:pPr>
        <w:spacing w:line="240" w:lineRule="auto"/>
      </w:pPr>
      <w:r>
        <w:separator/>
      </w:r>
    </w:p>
  </w:footnote>
  <w:footnote w:type="continuationSeparator" w:id="0">
    <w:p w14:paraId="04CAE32C" w14:textId="77777777" w:rsidR="000947E0" w:rsidRDefault="000947E0">
      <w:pPr>
        <w:spacing w:line="240" w:lineRule="auto"/>
      </w:pPr>
      <w:r>
        <w:continuationSeparator/>
      </w:r>
    </w:p>
  </w:footnote>
  <w:footnote w:type="continuationNotice" w:id="1">
    <w:p w14:paraId="38AFF455" w14:textId="77777777" w:rsidR="000947E0" w:rsidRDefault="000947E0">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Rozhodnutie Výboru ministrov Beneluxu o zavedení pyrotechnického preukazu – M(2020) 14 (Úradný vestník Beneluxu z roku 2021, č. 1), zmenené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Parlamentné </w:t>
      </w:r>
      <w:r>
        <w:rPr>
          <w:i/>
          <w:sz w:val="16"/>
        </w:rPr>
        <w:t xml:space="preserve">dokumenty II </w:t>
      </w:r>
      <w:r>
        <w:rPr>
          <w:sz w:val="16"/>
        </w:rPr>
        <w:t>2022 – 2023, 36268, č.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Smernica </w:t>
      </w:r>
      <w:r>
        <w:rPr>
          <w:sz w:val="16"/>
        </w:rPr>
        <w:t xml:space="preserve">Európskeho parlamentu a Rady 2013/29/EÚ z 12. júna 2013 o harmonizácii zákonov členských štátov týkajúcich sa sprístupňovania pyrotechnických výrobkov na trhu (Ú. v. EÚ L 178, 2013). </w:t>
      </w:r>
    </w:p>
  </w:footnote>
  <w:footnote w:id="5">
    <w:p w14:paraId="6A3268F0" w14:textId="65C45BA5" w:rsidR="00FA2E81" w:rsidRDefault="00FA2E81">
      <w:pPr>
        <w:pStyle w:val="FootnoteText"/>
      </w:pPr>
      <w:r>
        <w:rPr>
          <w:rStyle w:val="FootnoteReference"/>
          <w:sz w:val="16"/>
          <w:szCs w:val="16"/>
        </w:rPr>
        <w:footnoteRef/>
      </w:r>
      <w:r>
        <w:rPr>
          <w:sz w:val="16"/>
        </w:rPr>
        <w:t xml:space="preserve"> </w:t>
      </w:r>
      <w:r>
        <w:rPr>
          <w:sz w:val="16"/>
        </w:rPr>
        <w:t xml:space="preserve">Väčšia </w:t>
      </w:r>
      <w:r>
        <w:rPr>
          <w:sz w:val="16"/>
        </w:rPr>
        <w:t>konvergencia sa dosahuje prostredníctvom odporúčania Výboru ministrov Beneluxu M(2020) 15 o požiadavkách na odbornú spôsobilosť na účely manipulácie s pyrotechnickými výrobkami a/alebo ich používania.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My,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z Božej vôle,</w:t>
                          </w:r>
                          <w:r>
                            <w:rPr>
                              <w:rFonts w:ascii="Arial" w:hAnsi="Arial"/>
                              <w:smallCaps/>
                              <w:color w:val="auto"/>
                              <w:sz w:val="52"/>
                            </w:rPr>
                            <w:br/>
                            <w:t>kráľ Holandska, Princ z Orange-Nassau atď. atď.</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My,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z Božej vôle,</w:t>
                    </w:r>
                    <w:r>
                      <w:rPr>
                        <w:smallCaps/>
                        <w:color w:val="auto"/>
                        <w:sz w:val="52"/>
                        <w:rFonts w:ascii="Arial" w:hAnsi="Arial"/>
                      </w:rPr>
                      <w:br/>
                    </w:r>
                    <w:r>
                      <w:rPr>
                        <w:smallCaps/>
                        <w:color w:val="auto"/>
                        <w:sz w:val="52"/>
                        <w:rFonts w:ascii="Arial" w:hAnsi="Arial"/>
                      </w:rPr>
                      <w:t xml:space="preserve">kráľ Holandska, Princ z Orange-Nassau atď. atď.</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47E0"/>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0DFB"/>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k-SK"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6045</Words>
  <Characters>34458</Characters>
  <Application>Microsoft Office Word</Application>
  <DocSecurity>0</DocSecurity>
  <Lines>287</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2023-05-11T13:26:00Z</dcterms:modified>
</cp:coreProperties>
</file>