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Ziemeļīrijas likumpamatotie noteikumi [projekts]</w:t>
      </w:r>
    </w:p>
    <w:p w14:paraId="5D1F8D67" w14:textId="77777777" w:rsidR="00E61B82" w:rsidRDefault="00E61B82" w:rsidP="00E61B82">
      <w:pPr>
        <w:pStyle w:val="Number"/>
      </w:pPr>
      <w:r>
        <w:t xml:space="preserve">2023 Nr. </w:t>
      </w:r>
    </w:p>
    <w:p w14:paraId="1E808628" w14:textId="77777777" w:rsidR="00E61B82" w:rsidRPr="00292216" w:rsidRDefault="00A07397" w:rsidP="00E61B82">
      <w:pPr>
        <w:pStyle w:val="subject"/>
      </w:pPr>
      <w:r>
        <w:t>ceļu satiksme un transportlīdzekļi</w:t>
      </w:r>
    </w:p>
    <w:p w14:paraId="43A768EC" w14:textId="77777777" w:rsidR="00E61B82" w:rsidRDefault="00A07397" w:rsidP="00E61B82">
      <w:pPr>
        <w:pStyle w:val="Title"/>
      </w:pPr>
      <w:r>
        <w:t>2023. gada Noteikumi par mehāniskajiem transportlīdzekļiem (uzbūve un izmantošana) (grozījumi) (Ziemeļīrija)</w:t>
      </w:r>
    </w:p>
    <w:p w14:paraId="08710F03" w14:textId="77777777" w:rsidR="00E61B82" w:rsidRPr="00D87569" w:rsidRDefault="00E61B82" w:rsidP="0002747F">
      <w:pPr>
        <w:pStyle w:val="Made"/>
      </w:pPr>
      <w:r>
        <w:t>Izdoti</w:t>
      </w:r>
      <w:r>
        <w:tab/>
        <w:t>-</w:t>
      </w:r>
      <w:r>
        <w:tab/>
        <w:t>-</w:t>
      </w:r>
      <w:r>
        <w:tab/>
        <w:t>-</w:t>
      </w:r>
      <w:r>
        <w:tab/>
        <w:t>-</w:t>
      </w:r>
      <w:r>
        <w:tab/>
        <w:t>***</w:t>
      </w:r>
    </w:p>
    <w:p w14:paraId="7459A16E" w14:textId="77777777" w:rsidR="00BC3A4C" w:rsidRDefault="00A07397" w:rsidP="00FC10FF">
      <w:pPr>
        <w:pStyle w:val="Coming"/>
        <w:tabs>
          <w:tab w:val="clear" w:pos="3232"/>
        </w:tabs>
      </w:pPr>
      <w:r>
        <w:t>Stājas spēkā</w:t>
      </w:r>
      <w:r>
        <w:tab/>
        <w:t>-</w:t>
      </w:r>
      <w:r>
        <w:tab/>
        <w:t>***</w:t>
      </w:r>
    </w:p>
    <w:p w14:paraId="2D92F3C5" w14:textId="77777777" w:rsidR="00A07397" w:rsidRPr="00A07397" w:rsidRDefault="00A07397" w:rsidP="00A07397">
      <w:pPr>
        <w:pStyle w:val="Pre"/>
      </w:pPr>
      <w:r>
        <w:t>Infrastruktūras departaments(</w:t>
      </w:r>
      <w:r>
        <w:rPr>
          <w:rStyle w:val="FootnoteReference"/>
        </w:rPr>
        <w:footnoteReference w:id="2"/>
      </w:r>
      <w:r>
        <w:t>), īstenojot 1995. gada Rīkojuma par ceļu satiksmi (Ziemeļīrija)(</w:t>
      </w:r>
      <w:r w:rsidR="00E54DC5">
        <w:rPr>
          <w:rStyle w:val="FootnoteReference"/>
        </w:rPr>
        <w:footnoteReference w:id="3"/>
      </w:r>
      <w:r>
        <w:t>) 55. panta 1. punktā, 2. panta a) un 6. punktā un 110. panta 2. punktā paredzētās pilnvaras, kas tam tagad piešķirtas(</w:t>
      </w:r>
      <w:r w:rsidR="00FB6465">
        <w:rPr>
          <w:rStyle w:val="FootnoteReference"/>
        </w:rPr>
        <w:footnoteReference w:id="4"/>
      </w:r>
      <w:r>
        <w:t>), izdod šādus noteikumus.</w:t>
      </w:r>
    </w:p>
    <w:p w14:paraId="799E9B50" w14:textId="77777777" w:rsidR="00252709" w:rsidRDefault="00FB6465" w:rsidP="00FB6465">
      <w:pPr>
        <w:pStyle w:val="H1"/>
      </w:pPr>
      <w:r>
        <w:t>Atsauces nosaukums un stāšanās spēkā</w:t>
      </w:r>
    </w:p>
    <w:p w14:paraId="54B94898" w14:textId="4B752315" w:rsidR="00FB6465" w:rsidRDefault="00FB6465" w:rsidP="00FB6465">
      <w:pPr>
        <w:pStyle w:val="N1"/>
      </w:pPr>
      <w:r>
        <w:t xml:space="preserve"> Šo noteikumu atsauces nosaukums ir “2023. gada Noteikumi par mehāniskajiem transportlīdzekļiem (uzbūve un izmantošana) (grozījumi) (Ziemeļīrija)”, un tie stājas spēkā 2023. gada [datums].</w:t>
      </w:r>
    </w:p>
    <w:p w14:paraId="6322C4DC" w14:textId="77777777" w:rsidR="00FB6465" w:rsidRDefault="00FB6465" w:rsidP="00FB6465">
      <w:pPr>
        <w:pStyle w:val="H1"/>
      </w:pPr>
      <w:r>
        <w:t>Būvniecības un izmantošanas noteikumu grozīšana</w:t>
      </w:r>
    </w:p>
    <w:p w14:paraId="47E71D5D" w14:textId="77777777" w:rsidR="00FB6465" w:rsidRDefault="00FB6465" w:rsidP="00FB6465">
      <w:pPr>
        <w:pStyle w:val="N1"/>
      </w:pPr>
      <w:r>
        <w:t>—</w:t>
      </w:r>
      <w:r>
        <w:fldChar w:fldCharType="begin"/>
      </w:r>
      <w:r>
        <w:instrText xml:space="preserve"> LISTNUM "SEQ1" \l 2 </w:instrText>
      </w:r>
      <w:r>
        <w:fldChar w:fldCharType="end"/>
      </w:r>
      <w:r>
        <w:t> Mehānisko transportlīdzekļu (būvniecības un izmantošanas) regulas (Ziemeļīrija) 1999(</w:t>
      </w:r>
      <w:r>
        <w:rPr>
          <w:rStyle w:val="FootnoteReference"/>
        </w:rPr>
        <w:footnoteReference w:id="5"/>
      </w:r>
      <w:r>
        <w:t>) groza saskaņā ar 2.–5. punktu.</w:t>
      </w:r>
    </w:p>
    <w:p w14:paraId="085E52C7" w14:textId="77777777" w:rsidR="006A64B8" w:rsidRDefault="006A64B8" w:rsidP="006A64B8">
      <w:pPr>
        <w:pStyle w:val="N2"/>
      </w:pPr>
      <w:r>
        <w:t>Noteikumu 2. panta 2. punktā (“Interpretācija”) definīcijā “EEK noteikumi, kam seko numurs” tekstu “vairāk nekā divus ciparus” aizstāj ar tekstu “punktu, kam seko cits numurs”.</w:t>
      </w:r>
    </w:p>
    <w:p w14:paraId="259A558A" w14:textId="77777777" w:rsidR="00022A1B" w:rsidRDefault="00022A1B" w:rsidP="006A64B8">
      <w:pPr>
        <w:pStyle w:val="N2"/>
      </w:pPr>
      <w:r>
        <w:t>30. noteikumā (riepu slodzes un ātruma vērtējumi)—</w:t>
      </w:r>
    </w:p>
    <w:p w14:paraId="2CD06048" w14:textId="77777777" w:rsidR="00022A1B" w:rsidRDefault="00022A1B" w:rsidP="00022A1B">
      <w:pPr>
        <w:pStyle w:val="N3"/>
      </w:pPr>
      <w:r>
        <w:t>7. punktā vārdus “bet šī prasība neattiecas uz atjaunotām riepām” aizstāj ar vārdiem “vai, ja riepas ir atjaunotas, ar EEK Noteikumu Nr. 108 vai EEK Noteikumu Nr. 109 prasībām”; un</w:t>
      </w:r>
    </w:p>
    <w:p w14:paraId="510A7921" w14:textId="77777777" w:rsidR="00022A1B" w:rsidRDefault="00022A1B" w:rsidP="00022A1B">
      <w:pPr>
        <w:pStyle w:val="N3"/>
      </w:pPr>
      <w:r>
        <w:t>12. punktā termina “kravnesības indekss” definīcijā “2.29” aizstāj ar “2.29” EEK Noteikumu 30.02 vai EEK Noteikumu Nr. 54. 2. punktā vai kā “slodzes indeksu” EEK Noteikumu Nr. 108 vai EEK Noteikumu Nr. 109 2. punktā;”.</w:t>
      </w:r>
    </w:p>
    <w:p w14:paraId="19D5D210" w14:textId="77777777" w:rsidR="00DD69B1" w:rsidRDefault="00DD69B1" w:rsidP="00DD69B1">
      <w:pPr>
        <w:pStyle w:val="N2"/>
      </w:pPr>
      <w:r>
        <w:t>Noteikumu 32. pantā (“Riepu stāvoklis un apkope”)—</w:t>
      </w:r>
    </w:p>
    <w:p w14:paraId="3AE878F1" w14:textId="77777777" w:rsidR="00DD69B1" w:rsidRDefault="00DD69B1" w:rsidP="00DD69B1">
      <w:pPr>
        <w:pStyle w:val="N3"/>
      </w:pPr>
      <w:r>
        <w:t>panta 1. punktā—</w:t>
      </w:r>
    </w:p>
    <w:p w14:paraId="03749A2F" w14:textId="77777777" w:rsidR="00DD69B1" w:rsidRDefault="00DD69B1" w:rsidP="00DD69B1">
      <w:pPr>
        <w:pStyle w:val="N4"/>
      </w:pPr>
      <w:r>
        <w:lastRenderedPageBreak/>
        <w:t>vārdus “ievērojot 2. līdz 4. punktu” aizstāj ar vārdiem “ievērojot 1.A punktu un 2. līdz 4. punktu”;</w:t>
      </w:r>
    </w:p>
    <w:p w14:paraId="2B4BAE61" w14:textId="77777777" w:rsidR="00DD69B1" w:rsidRDefault="007442AA" w:rsidP="00DD69B1">
      <w:pPr>
        <w:pStyle w:val="N4"/>
      </w:pPr>
      <w:r>
        <w:t>punkta g) apakšpunkta ii) daļā beigās izlaist vārdu “vai”;</w:t>
      </w:r>
    </w:p>
    <w:p w14:paraId="116D86A6" w14:textId="77777777" w:rsidR="007442AA" w:rsidRDefault="007442AA" w:rsidP="00DD69B1">
      <w:pPr>
        <w:pStyle w:val="N4"/>
      </w:pPr>
      <w:r>
        <w:t>pēc h) apakšpunkta iekļauj šādu tekstu:</w:t>
      </w:r>
    </w:p>
    <w:p w14:paraId="31D345C1" w14:textId="364E70A3" w:rsidR="007442AA" w:rsidRDefault="00E21C8D" w:rsidP="00E21C8D">
      <w:pPr>
        <w:pStyle w:val="LQN4"/>
      </w:pPr>
      <w:r>
        <w:tab/>
        <w:t>“i)</w:t>
      </w:r>
      <w:r>
        <w:tab/>
        <w:t>riepām nav atjaunots protektors un;</w:t>
      </w:r>
    </w:p>
    <w:p w14:paraId="1127C07A" w14:textId="77777777" w:rsidR="00A42AA8" w:rsidRDefault="00A42AA8" w:rsidP="00A42AA8">
      <w:pPr>
        <w:pStyle w:val="NLQN4"/>
      </w:pPr>
      <w:r>
        <w:tab/>
        <w:t>i)</w:t>
      </w:r>
      <w:r>
        <w:tab/>
        <w:t>ražošanas nedēļa, kas marķēta uz to sāniem saskaņā ar EEK Noteikumiem Nr. 30 vai Nr. 54, ir vairāk nekā 10 gadus pirms datuma, kad mehāniskais transportlīdzeklis tiek lietots uz ceļa; vai</w:t>
      </w:r>
    </w:p>
    <w:p w14:paraId="3D0FC71C" w14:textId="0322961D" w:rsidR="00A42AA8" w:rsidRDefault="00A42AA8" w:rsidP="00A42AA8">
      <w:pPr>
        <w:pStyle w:val="NLQN4"/>
      </w:pPr>
      <w:r>
        <w:tab/>
        <w:t>ii)</w:t>
      </w:r>
      <w:r>
        <w:tab/>
        <w:t>tām nav ražošanas nedēļas marķējuma, kas atbilstu EEK Noteikumiem Nr. 30 vai Nr. 54 (vai nu tādēļ, ka tās ražotas pirms EEK noteikumu piemērošanas, vai cita iemesla dēļ);</w:t>
      </w:r>
    </w:p>
    <w:p w14:paraId="21565F41" w14:textId="77777777" w:rsidR="00A42AA8" w:rsidRDefault="00A42AA8" w:rsidP="00A42AA8">
      <w:pPr>
        <w:pStyle w:val="LQN4"/>
      </w:pPr>
      <w:r>
        <w:tab/>
        <w:t>j)</w:t>
      </w:r>
      <w:r>
        <w:tab/>
        <w:t>riepām ir atjaunots protektors un:</w:t>
      </w:r>
    </w:p>
    <w:p w14:paraId="0991118A" w14:textId="77777777" w:rsidR="00A42AA8" w:rsidRDefault="00A42AA8" w:rsidP="00A42AA8">
      <w:pPr>
        <w:pStyle w:val="NLQN4"/>
      </w:pPr>
      <w:r>
        <w:tab/>
        <w:t>i)</w:t>
      </w:r>
      <w:r>
        <w:tab/>
        <w:t>protektora atjaunošanas nedēļa, kas marķēta uz sāniem saskaņā ar EEK Noteikumiem Nr. 108 vai Nr. 109, ir vairāk nekā 10 gadus pirms datuma, kad mehāniskais transportlīdzeklis tiek lietots uz ceļa; vai</w:t>
      </w:r>
    </w:p>
    <w:p w14:paraId="1D5A9534" w14:textId="77777777" w:rsidR="00520F87" w:rsidRDefault="00520F87" w:rsidP="00520F87">
      <w:pPr>
        <w:pStyle w:val="NLQN4"/>
      </w:pPr>
      <w:r>
        <w:tab/>
        <w:t>ii)</w:t>
      </w:r>
      <w:r>
        <w:tab/>
        <w:t>tām nav protektora atjaunošanas nedēļas marķējuma, kas atbilstu EEK Noteikumiem Nr. 108 vai Nr. 109 (vai nu tādēļ, ka protektors atjaunots pirms EEK noteikumu piemērošanas, vai cita iemesla dēļ); vai</w:t>
      </w:r>
    </w:p>
    <w:p w14:paraId="371ABCF7" w14:textId="1D9D5575" w:rsidR="00520F87" w:rsidRDefault="00520F87" w:rsidP="00520F87">
      <w:pPr>
        <w:pStyle w:val="LQN4"/>
      </w:pPr>
      <w:r>
        <w:tab/>
        <w:t>k)</w:t>
      </w:r>
      <w:r>
        <w:tab/>
        <w:t>datums, kas norādīts uz riepas sānu malas saskaņā ar EEK Noteikumiem Nr. 30. 54, 108 vai 109 nav salasāmi.”;</w:t>
      </w:r>
    </w:p>
    <w:p w14:paraId="17D017BD" w14:textId="77777777" w:rsidR="00520F87" w:rsidRDefault="00520F87" w:rsidP="00520F87">
      <w:pPr>
        <w:pStyle w:val="N3"/>
      </w:pPr>
      <w:r>
        <w:t>pēc 1. punkta iekļauj šādu tekstu:</w:t>
      </w:r>
    </w:p>
    <w:p w14:paraId="252B767E" w14:textId="65543917" w:rsidR="00EE3061" w:rsidRDefault="00E21C8D" w:rsidP="00EE3061">
      <w:pPr>
        <w:pStyle w:val="LQN2"/>
      </w:pPr>
      <w:r>
        <w:t>“(1A) Ievērojot 4. punkta a) un ca) apakšpunktu un neatkarīgi no 30. noteikuma,</w:t>
      </w:r>
    </w:p>
    <w:p w14:paraId="0F6D8888" w14:textId="77777777" w:rsidR="00EE3061" w:rsidRDefault="00EE3061" w:rsidP="00EE3061">
      <w:pPr>
        <w:pStyle w:val="LQN3"/>
      </w:pPr>
      <w:r>
        <w:t>a)</w:t>
      </w:r>
      <w:r>
        <w:tab/>
        <w:t>šī panta 1. punkta i) un j) apakšpunkts attiecas tikai uz riepām, kas uzstādītas:</w:t>
      </w:r>
    </w:p>
    <w:p w14:paraId="781B8B31" w14:textId="77777777" w:rsidR="00EE3061" w:rsidRDefault="00EE3061" w:rsidP="00EE3061">
      <w:pPr>
        <w:pStyle w:val="LQN4"/>
      </w:pPr>
      <w:r>
        <w:tab/>
        <w:t>i)</w:t>
      </w:r>
      <w:r>
        <w:tab/>
        <w:t>uz tāda autobusa priekšējo asi, kas nav mikroautobuss;</w:t>
      </w:r>
    </w:p>
    <w:p w14:paraId="53B7C312" w14:textId="77777777" w:rsidR="00EE3061" w:rsidRPr="00EE3061" w:rsidRDefault="00EE3061" w:rsidP="00EE3061">
      <w:pPr>
        <w:pStyle w:val="LQN4"/>
        <w:rPr>
          <w:color w:val="FF0000"/>
        </w:rPr>
      </w:pPr>
      <w:r>
        <w:tab/>
        <w:t>ii)</w:t>
      </w:r>
      <w:r>
        <w:tab/>
        <w:t>vienā konfigurācijā uz jebkuras mikroautobusa ass; vai</w:t>
      </w:r>
    </w:p>
    <w:p w14:paraId="4BC37583" w14:textId="77777777" w:rsidR="00EE3061" w:rsidRDefault="00EE3061" w:rsidP="00EE3061">
      <w:pPr>
        <w:pStyle w:val="LQN4"/>
      </w:pPr>
      <w:r>
        <w:tab/>
        <w:t>iii)</w:t>
      </w:r>
      <w:r>
        <w:tab/>
        <w:t>uz priekšējās ass kravas transportlīdzeklim, kura maksimālais bruto svars pārsniedz 3 500 kg;</w:t>
      </w:r>
    </w:p>
    <w:p w14:paraId="247FF29E" w14:textId="77777777" w:rsidR="00EE3061" w:rsidRDefault="00EE3061" w:rsidP="00EE3061">
      <w:pPr>
        <w:pStyle w:val="LQN3"/>
      </w:pPr>
      <w:r>
        <w:t>b)</w:t>
      </w:r>
      <w:r>
        <w:tab/>
        <w:t>punkta a) apakšpunktā —</w:t>
      </w:r>
    </w:p>
    <w:p w14:paraId="5B8B4A93" w14:textId="77777777" w:rsidR="00EE3061" w:rsidRPr="00F9319A" w:rsidRDefault="00EE3061" w:rsidP="00EE3061">
      <w:pPr>
        <w:pStyle w:val="LQN4"/>
      </w:pPr>
      <w:r>
        <w:tab/>
        <w:t>i)</w:t>
      </w:r>
      <w:r>
        <w:tab/>
        <w:t>“priekšējā ass” ir jebkura ass uz priekšu no šasijas viduspunkta, uz kuras riteņus vada stūres sistēma; un</w:t>
      </w:r>
    </w:p>
    <w:p w14:paraId="09B8C591" w14:textId="77777777" w:rsidR="00EE3061" w:rsidRDefault="00EE3061" w:rsidP="00EE3061">
      <w:pPr>
        <w:pStyle w:val="LQN4"/>
      </w:pPr>
      <w:r>
        <w:tab/>
        <w:t>ii)</w:t>
      </w:r>
      <w:r>
        <w:tab/>
        <w:t>“vienota konfigurācija” nozīmē, ka attiecīgās ass galā uzmontē ne vairāk kā vienu riteni un riepu komplektu; un</w:t>
      </w:r>
    </w:p>
    <w:p w14:paraId="10800F30" w14:textId="77777777" w:rsidR="00EE3061" w:rsidRDefault="00EE3061" w:rsidP="00EE3061">
      <w:pPr>
        <w:pStyle w:val="LQN3"/>
      </w:pPr>
      <w:r>
        <w:t>c)</w:t>
      </w:r>
      <w:r>
        <w:tab/>
        <w:t>1. punkta k) apakšpunkts attiecas tikai uz:</w:t>
      </w:r>
    </w:p>
    <w:p w14:paraId="1BD3712B" w14:textId="77777777" w:rsidR="00FF5A1C" w:rsidRPr="00F9319A" w:rsidRDefault="00FF5A1C" w:rsidP="00FF5A1C">
      <w:pPr>
        <w:pStyle w:val="LQN4"/>
      </w:pPr>
      <w:r>
        <w:tab/>
        <w:t>i)</w:t>
      </w:r>
      <w:r>
        <w:tab/>
        <w:t>autobusiem (ieskaitot mikroautobusus); un</w:t>
      </w:r>
    </w:p>
    <w:p w14:paraId="19A93219" w14:textId="001A4982" w:rsidR="00FF5A1C" w:rsidRDefault="00FF5A1C" w:rsidP="00FF5A1C">
      <w:pPr>
        <w:pStyle w:val="LQN4"/>
      </w:pPr>
      <w:r>
        <w:tab/>
        <w:t>ii)</w:t>
      </w:r>
      <w:r>
        <w:tab/>
        <w:t>kravas transportlīdzekļiem, kuru maksimālais bruto svars pārsniedz 3 500 kg.”;</w:t>
      </w:r>
    </w:p>
    <w:p w14:paraId="0AF3BAC2" w14:textId="77777777" w:rsidR="00FF5A1C" w:rsidRDefault="00FF5A1C" w:rsidP="00FF5A1C">
      <w:pPr>
        <w:pStyle w:val="N3"/>
      </w:pPr>
      <w:r>
        <w:t>panta 4. punktā—</w:t>
      </w:r>
    </w:p>
    <w:p w14:paraId="43505781" w14:textId="77777777" w:rsidR="00426F4F" w:rsidRDefault="00426F4F" w:rsidP="00426F4F">
      <w:pPr>
        <w:pStyle w:val="N4"/>
      </w:pPr>
      <w:r>
        <w:t>a) apakšpunktā pēc vārdiem “1. punkta a) līdz g) apakšpunktā” iekļauj “un i) līdz k) apakšpunktā”;</w:t>
      </w:r>
    </w:p>
    <w:p w14:paraId="7C39BE16" w14:textId="77777777" w:rsidR="00426F4F" w:rsidRDefault="00426F4F" w:rsidP="00426F4F">
      <w:pPr>
        <w:pStyle w:val="N4"/>
      </w:pPr>
      <w:r>
        <w:t>pēc c) apakšpunkta iekļauj šādu apakšpunktu:</w:t>
      </w:r>
    </w:p>
    <w:p w14:paraId="4E3E441C" w14:textId="3789445E" w:rsidR="00426F4F" w:rsidRDefault="00E21C8D" w:rsidP="00426F4F">
      <w:pPr>
        <w:pStyle w:val="LQN3"/>
      </w:pPr>
      <w:r>
        <w:t>“ca)</w:t>
      </w:r>
      <w:r>
        <w:tab/>
        <w:t>Nekas 1. punkta i) līdz k) apakšpunktā neattiecas uz transportlīdzekļiem ar vēsturisku nozīmi, ko izmanto nekomerciāliem mērķiem, un šajā nolūkā “vēsturiskas nozīmes transportlīdzeklis” ir transportlīdzeklis, ko departaments uzskata par Ziemeļīrijai vēsturiski nozīmīgu un kas</w:t>
      </w:r>
    </w:p>
    <w:p w14:paraId="45C7B239" w14:textId="77777777" w:rsidR="00A213F5" w:rsidRDefault="00A213F5" w:rsidP="00A213F5">
      <w:pPr>
        <w:pStyle w:val="LQN4"/>
      </w:pPr>
      <w:r>
        <w:tab/>
        <w:t>i)</w:t>
      </w:r>
      <w:r>
        <w:tab/>
        <w:t>pirmo reizi ir ražots vai reģistrēts vismaz pirms 40 gadiem;</w:t>
      </w:r>
    </w:p>
    <w:p w14:paraId="190D1C8F" w14:textId="77777777" w:rsidR="00A213F5" w:rsidRDefault="00A213F5" w:rsidP="00A213F5">
      <w:pPr>
        <w:pStyle w:val="LQN4"/>
      </w:pPr>
      <w:r>
        <w:tab/>
        <w:t>ii)</w:t>
      </w:r>
      <w:r>
        <w:tab/>
        <w:t>ir tāda veida, kas vairs netiek ražots; un</w:t>
      </w:r>
    </w:p>
    <w:p w14:paraId="270D6A59" w14:textId="77777777" w:rsidR="00A213F5" w:rsidRDefault="00A213F5" w:rsidP="00A213F5">
      <w:pPr>
        <w:pStyle w:val="LQN4"/>
      </w:pPr>
      <w:r>
        <w:tab/>
        <w:t>iii)</w:t>
      </w:r>
      <w:r>
        <w:tab/>
        <w:t>ir vēsturiski saglabāts vai uzturēts sākotnējā stāvoklī un nav būtiski mainījies galveno sastāvdaļu tehniskajās īpašībās,</w:t>
      </w:r>
    </w:p>
    <w:p w14:paraId="48B5AE59" w14:textId="56DE3A66" w:rsidR="00A213F5" w:rsidRDefault="00A213F5" w:rsidP="00A213F5">
      <w:pPr>
        <w:pStyle w:val="LQT2"/>
      </w:pPr>
      <w:r>
        <w:lastRenderedPageBreak/>
        <w:t>ja jēdzienam “tips” attiecībā uz transportlīdzekli ir tāda pati nozīme kā “transportlīdzekļa tips” 3. panta 32. punktā Eiropas Parlamenta un Padomes 2018. gada 30. maija Regulā (ES) 2018/858 par mehānisko transportlīdzekļu un to piekabju, kā arī tādiem transportlīdzekļiem paredzētu sistēmu, sastāvdaļu un atsevišķu tehnisku vienību apstiprināšanu un tirgus uzraudzību (</w:t>
      </w:r>
      <w:r>
        <w:rPr>
          <w:rStyle w:val="FootnoteReference"/>
        </w:rPr>
        <w:footnoteReference w:id="6"/>
      </w:r>
      <w:r>
        <w:t>);”; un</w:t>
      </w:r>
    </w:p>
    <w:p w14:paraId="7CEE7A40" w14:textId="77777777" w:rsidR="00A213F5" w:rsidRDefault="00A213F5" w:rsidP="00A213F5">
      <w:pPr>
        <w:pStyle w:val="N3"/>
      </w:pPr>
      <w:r>
        <w:t>6. punkta a) apakšpunktā termina “sākotnējais protektora raksts” definīcijā “atjaunots protektors” abās vietās ir aizstāts ar “pārveidots”.</w:t>
      </w:r>
    </w:p>
    <w:p w14:paraId="63D4D4FF" w14:textId="77777777" w:rsidR="004800DA" w:rsidRDefault="004800DA" w:rsidP="004800DA">
      <w:pPr>
        <w:pStyle w:val="N2"/>
      </w:pPr>
      <w:r>
        <w:t>Noteikumu 1. pielikuma 2. tabulā (“EEK noteikumi”) pēc ieraksta, kas attiecas uz 44. punktu, iekļauj šādu tekstu:</w:t>
      </w:r>
    </w:p>
    <w:p w14:paraId="76FC1C44" w14:textId="77777777" w:rsidR="00A42AA8" w:rsidRDefault="00A42AA8" w:rsidP="001D0E3C">
      <w:pPr>
        <w:pStyle w:val="linespace"/>
      </w:pPr>
    </w:p>
    <w:tbl>
      <w:tblPr>
        <w:tblW w:w="8953" w:type="dxa"/>
        <w:tblInd w:w="-108" w:type="dxa"/>
        <w:tblLayout w:type="fixed"/>
        <w:tblLook w:val="0000" w:firstRow="0" w:lastRow="0" w:firstColumn="0" w:lastColumn="0" w:noHBand="0" w:noVBand="0"/>
      </w:tblPr>
      <w:tblGrid>
        <w:gridCol w:w="1233"/>
        <w:gridCol w:w="1233"/>
        <w:gridCol w:w="1233"/>
        <w:gridCol w:w="1233"/>
        <w:gridCol w:w="1555"/>
        <w:gridCol w:w="1233"/>
        <w:gridCol w:w="1233"/>
      </w:tblGrid>
      <w:tr w:rsidR="001D0E3C" w:rsidRPr="001D0E3C" w14:paraId="342E504E" w14:textId="77777777" w:rsidTr="00FC10FF">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Vieglo automobiļu un to piekabju protektoru riepas</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FC10FF">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555"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Riepas ar atjaunotu protektoru komerciālajiem transportlīdzekļiem un to piekabēm</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Aizzīmogots ar Infrastruktūras departamenta oficiālo zīmogu 2023. gada xx. xxxxx</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Infrastruktūras departamenta vecākais ierēdnis</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PASKAIDROJUMS</w:t>
      </w:r>
    </w:p>
    <w:p w14:paraId="2D3DC66A" w14:textId="3ED882CF" w:rsidR="00040058" w:rsidRDefault="00040058" w:rsidP="00040058">
      <w:pPr>
        <w:pStyle w:val="XNotenote"/>
      </w:pPr>
      <w:r>
        <w:t>(Šis paskaidrojums nav šo noteikumu daļa)</w:t>
      </w:r>
    </w:p>
    <w:p w14:paraId="35F194C5" w14:textId="2CB6F34C" w:rsidR="00040058" w:rsidRDefault="00040058" w:rsidP="00040058">
      <w:pPr>
        <w:pStyle w:val="T1"/>
      </w:pPr>
      <w:r>
        <w:t>Ar šiem noteikumiem groza 1999. gada Mehānisko transportlīdzekļu (būvniecības un izmantošanas) noteikumus (Ziemeļīrija), lai paredzētu noteikumus par riepu (tostarp atjaunoto riepu) vecumu un datumu marķējumu salasāmību riepām, kuras atļauts lietot autobusiem (ieskaitot mikroautobusus) un kravas transportlīdzekļiem, kuru maksimālais bruto svars pārsniedz 3 500 kg. Ar šīm regulām groza arī 1999. gada noteikumu 1. pielikuma 2. tabulu, lai EEK noteikumos Nr. 108 un 109. pantā iekļautu noteikumus par atjaunotām riepām. Šīs regulas paredz atbrīvojumu attiecībā uz transportlīdzekļiem ar vēsturisku nozīmi, ja tos neizmanto komerciāliem mērķiem.</w:t>
      </w:r>
    </w:p>
    <w:p w14:paraId="0FE50F41" w14:textId="77777777" w:rsidR="006D38F1" w:rsidRDefault="006D38F1" w:rsidP="00040058">
      <w:pPr>
        <w:pStyle w:val="T1"/>
      </w:pPr>
      <w:r>
        <w:t xml:space="preserve">Šīs regulas tika paziņotas Eiropas Komisijai saskaņā ar Eiropas Parlamenta un Padomes 2015. gada 9. septembra Direktīvu (ES) 2015/1535 (O.J. Nr. L241, 17.9.2015., 1. lpp.) ar paziņojuma numuru </w:t>
      </w:r>
      <w:r>
        <w:rPr>
          <w:color w:val="FF0000"/>
        </w:rPr>
        <w:t xml:space="preserve">xxxxxxxx. </w:t>
      </w:r>
      <w:r>
        <w:t xml:space="preserve">Trīs mēnešu ilgā nogaidīšanas termiņa laikā netika saņemtas piezīmes. Direktīva ir pieejama tiešsaistē </w:t>
      </w:r>
      <w:hyperlink r:id="rId8" w:history="1">
        <w:r>
          <w:rPr>
            <w:rStyle w:val="Hyperlink"/>
          </w:rPr>
          <w:t>http://eur-lex.europa.eu</w:t>
        </w:r>
      </w:hyperlink>
      <w:r>
        <w:t xml:space="preserve"> </w:t>
      </w:r>
    </w:p>
    <w:p w14:paraId="6186E13D" w14:textId="77777777" w:rsidR="00755802" w:rsidRDefault="00755802" w:rsidP="00040058">
      <w:pPr>
        <w:pStyle w:val="T1"/>
      </w:pPr>
      <w:r>
        <w:t xml:space="preserve">EEK noteikumus izdod Apvienoto Nāciju Organizācijas Eiropas Ekonomikas komisija. Šajos noteikumos minēto EEK noteikumu kopijas var saņemt ANO/EEK tīmekļa vietnē: </w:t>
      </w:r>
      <w:hyperlink r:id="rId9" w:history="1">
        <w:r>
          <w:rPr>
            <w:rStyle w:val="Hyperlink"/>
          </w:rPr>
          <w:t>http://www.unece.org/trans/main/wp29/wp29regs.html</w:t>
        </w:r>
      </w:hyperlink>
      <w:r>
        <w:t>. Kopijas var saņemt arī Transportlīdzekļu politikas nodaļā, Safe and Accessible Travel Division, Department for Infrastructure, Clarence Court, 10–18 Adelaide Street, Town Parks, Belfast BT2 8 GB (e-pasts: vehicle.standards@infrastructure-ni.gov.uk</w:t>
      </w:r>
    </w:p>
    <w:p w14:paraId="0E7BDCF2" w14:textId="77777777" w:rsidR="0083627D" w:rsidRPr="00095513" w:rsidRDefault="0083627D" w:rsidP="0083627D">
      <w:pPr>
        <w:pStyle w:val="T1"/>
      </w:pPr>
      <w:r>
        <w:t xml:space="preserve">Ir sagatavots normatīvās ietekmes novērtējums un paskaidrojuma raksts, un tie ir pieejami transportlīdzekļu politikas nodaļā iepriekš minētajā adresē vai tiešsaistē kopā ar šo normatīvo noteikumu </w:t>
      </w:r>
      <w:hyperlink r:id="rId10" w:history="1">
        <w:r>
          <w:rPr>
            <w:rStyle w:val="Hyperlink"/>
          </w:rPr>
          <w:t>http://www.legislation.gov.uk/nisr</w:t>
        </w:r>
      </w:hyperlink>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Bijušais Reģionālās attīstības departaments; sk. 2016. gada Departamentu likuma (Ziemeļīrija) (2016. gads, 5. nodaļa (Ziemeļīrija)) 1. panta 6. un 11. punktu un 1. pielikumu. Saskaņā ar minētā likuma 1. panta 9. punktu Vides departaments tiek likvidēts.</w:t>
      </w:r>
    </w:p>
  </w:footnote>
  <w:footnote w:id="3">
    <w:p w14:paraId="5460616A" w14:textId="77777777" w:rsidR="00E54DC5" w:rsidRDefault="00E54DC5">
      <w:pPr>
        <w:pStyle w:val="FootnoteText"/>
      </w:pPr>
      <w:r>
        <w:t>(</w:t>
      </w:r>
      <w:r>
        <w:rPr>
          <w:rStyle w:val="FootnoteReference"/>
        </w:rPr>
        <w:footnoteRef/>
      </w:r>
      <w:r>
        <w:t>)</w:t>
      </w:r>
      <w:r>
        <w:tab/>
        <w:t>S.I. 1995/2994 (N.I. 18). 55. pants tika grozīts ar 2007. gada Likuma par ceļu satiksmi (Ziemeļīrija) 42. panta 1. punktu (S.I. 2007/916 (N.I. 10)).</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Skatīt </w:t>
      </w:r>
      <w:r>
        <w:t>2016. gada Rīkojuma par departamentiem (funkciju nodošana) (Ziemeļīrija) (2016. gada Likumpamatotie noteikumi Nr. 76) 8. panta 1. punkta b) apakšpunktu un 5. pielikuma 2. daļu.</w:t>
      </w:r>
    </w:p>
  </w:footnote>
  <w:footnote w:id="5">
    <w:p w14:paraId="7D938A52" w14:textId="77777777" w:rsidR="00FB6465" w:rsidRDefault="00FB6465">
      <w:pPr>
        <w:pStyle w:val="FootnoteText"/>
      </w:pPr>
      <w:r>
        <w:t>(</w:t>
      </w:r>
      <w:r>
        <w:rPr>
          <w:rStyle w:val="FootnoteReference"/>
        </w:rPr>
        <w:footnoteRef/>
      </w:r>
      <w:r>
        <w:t>)</w:t>
      </w:r>
      <w:r>
        <w:tab/>
        <w:t>1999. gada Likumpamatotie noteikumi Nr. 454 attiecīgie grozošie noteikumi ir S.R. 2011 Nr. 20, S.R. 2011 Nr. 303 un S.R. 2016 Nr. 160</w:t>
      </w:r>
    </w:p>
  </w:footnote>
  <w:footnote w:id="6">
    <w:p w14:paraId="202E6E04" w14:textId="5448A374" w:rsidR="00A213F5" w:rsidRDefault="00A213F5">
      <w:pPr>
        <w:pStyle w:val="FootnoteText"/>
      </w:pPr>
      <w:r>
        <w:t>(</w:t>
      </w:r>
      <w:r>
        <w:rPr>
          <w:rStyle w:val="FootnoteReference"/>
        </w:rPr>
        <w:footnoteRef/>
      </w:r>
      <w:r>
        <w:t>)</w:t>
      </w:r>
      <w:r>
        <w:tab/>
        <w:t>OV L 151, 14.6.2018., 1.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Otrais projekts 2023. gada aprīlī — kā noskaidrojis SSO 6/4/23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C10FF"/>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lv-LV" w:eastAsia="en-US" w:bidi="ar-SA"/>
    </w:rPr>
  </w:style>
  <w:style w:type="character" w:customStyle="1" w:styleId="MadeChar">
    <w:name w:val="Made Char"/>
    <w:link w:val="Made"/>
    <w:locked/>
    <w:rsid w:val="00E61B82"/>
    <w:rPr>
      <w:i/>
      <w:sz w:val="21"/>
      <w:lang w:val="lv-LV"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276</TotalTime>
  <Pages>4</Pages>
  <Words>991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