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[Utkast]Lagregler för Nordirland</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vägtrafik och fordon</w:t>
      </w:r>
    </w:p>
    <w:p w14:paraId="43A768EC" w14:textId="77777777" w:rsidR="00E61B82" w:rsidRDefault="00A07397" w:rsidP="00E61B82">
      <w:pPr>
        <w:pStyle w:val="Title"/>
      </w:pPr>
      <w:r>
        <w:t>2023 års föreskrifter om motorfordon (konstruktion och användning) (ändring) (Nordirland)</w:t>
      </w:r>
    </w:p>
    <w:p w14:paraId="08710F03" w14:textId="77777777" w:rsidR="00E61B82" w:rsidRPr="00D87569" w:rsidRDefault="00E61B82" w:rsidP="0002747F">
      <w:pPr>
        <w:pStyle w:val="Made"/>
      </w:pPr>
      <w:r>
        <w:t>Utfärdad</w:t>
      </w:r>
      <w:r>
        <w:tab/>
        <w:t>-</w:t>
      </w:r>
      <w:r>
        <w:tab/>
        <w:t>-</w:t>
      </w:r>
      <w:r>
        <w:tab/>
        <w:t>-</w:t>
      </w:r>
      <w:r>
        <w:tab/>
        <w:t>-</w:t>
      </w:r>
      <w:r>
        <w:tab/>
        <w:t>***</w:t>
      </w:r>
    </w:p>
    <w:p w14:paraId="7459A16E" w14:textId="77777777" w:rsidR="00BC3A4C" w:rsidRDefault="00A07397" w:rsidP="002E21E2">
      <w:pPr>
        <w:pStyle w:val="Coming"/>
        <w:tabs>
          <w:tab w:val="clear" w:pos="3232"/>
        </w:tabs>
      </w:pPr>
      <w:r>
        <w:t>Träder i kraft den</w:t>
      </w:r>
      <w:r>
        <w:tab/>
        <w:t>-</w:t>
      </w:r>
      <w:r>
        <w:tab/>
        <w:t>***</w:t>
      </w:r>
    </w:p>
    <w:p w14:paraId="2D92F3C5" w14:textId="77777777" w:rsidR="00A07397" w:rsidRPr="00A07397" w:rsidRDefault="00A07397" w:rsidP="00A07397">
      <w:pPr>
        <w:pStyle w:val="Pre"/>
      </w:pPr>
      <w:r>
        <w:t>Infrastrukturministeriet (</w:t>
      </w:r>
      <w:r>
        <w:rPr>
          <w:rStyle w:val="FootnoteReference"/>
        </w:rPr>
        <w:footnoteReference w:id="2"/>
      </w:r>
      <w:r>
        <w:t>), utfärdar följande föreskrifter i kraft av de befogenheter som det tilldelats genom artiklarna 55.1, 55.2 a, 55.6 och 110.2 i 1995 års vägtrafikförordning (Nordirland) (och</w:t>
      </w:r>
      <w:r w:rsidR="00E54DC5">
        <w:rPr>
          <w:rStyle w:val="FootnoteReference"/>
        </w:rPr>
        <w:footnoteReference w:id="3"/>
      </w:r>
      <w:r>
        <w:t>) och som nu som nu innehas av detta (</w:t>
      </w:r>
      <w:r w:rsidR="00FB6465">
        <w:rPr>
          <w:rStyle w:val="FootnoteReference"/>
        </w:rPr>
        <w:footnoteReference w:id="4"/>
      </w:r>
      <w:r>
        <w:t>).</w:t>
      </w:r>
    </w:p>
    <w:p w14:paraId="799E9B50" w14:textId="77777777" w:rsidR="00252709" w:rsidRDefault="00FB6465" w:rsidP="00FB6465">
      <w:pPr>
        <w:pStyle w:val="H1"/>
      </w:pPr>
      <w:r>
        <w:t>Titel och inledning</w:t>
      </w:r>
    </w:p>
    <w:p w14:paraId="54B94898" w14:textId="4B752315" w:rsidR="00FB6465" w:rsidRDefault="00FB6465" w:rsidP="00FB6465">
      <w:pPr>
        <w:pStyle w:val="N1"/>
      </w:pPr>
      <w:r>
        <w:t xml:space="preserve"> Dessa föreskrifter kan anges som 2023 års föreskrifter om motorfordon (konstruktion och användning) (ändring) (Nordirland) och ska träda i kraft den xx xxxxx 2023.</w:t>
      </w:r>
    </w:p>
    <w:p w14:paraId="6322C4DC" w14:textId="77777777" w:rsidR="00FB6465" w:rsidRDefault="00FB6465" w:rsidP="00FB6465">
      <w:pPr>
        <w:pStyle w:val="H1"/>
      </w:pPr>
      <w:r>
        <w:t>Ändring av föreskrifter om konstruktion och användning</w:t>
      </w:r>
    </w:p>
    <w:p w14:paraId="47E71D5D" w14:textId="77777777" w:rsidR="00FB6465" w:rsidRDefault="00FB6465" w:rsidP="00FB6465">
      <w:pPr>
        <w:pStyle w:val="N1"/>
      </w:pPr>
      <w:r>
        <w:t>—</w:t>
      </w:r>
      <w:r>
        <w:fldChar w:fldCharType="begin"/>
      </w:r>
      <w:r>
        <w:instrText xml:space="preserve"> LISTNUM "SEQ1" \l 2 </w:instrText>
      </w:r>
      <w:r>
        <w:fldChar w:fldCharType="end"/>
      </w:r>
      <w:r>
        <w:t> 1999 års föreskrifter om motorfordon (konstruktion och användning) (Nordirland) (</w:t>
      </w:r>
      <w:r>
        <w:rPr>
          <w:rStyle w:val="FootnoteReference"/>
        </w:rPr>
        <w:footnoteReference w:id="5"/>
      </w:r>
      <w:r>
        <w:t>) ändras i enlighet med punkterna 2–5.</w:t>
      </w:r>
    </w:p>
    <w:p w14:paraId="085E52C7" w14:textId="77777777" w:rsidR="006A64B8" w:rsidRDefault="006A64B8" w:rsidP="006A64B8">
      <w:pPr>
        <w:pStyle w:val="N2"/>
      </w:pPr>
      <w:r>
        <w:t>I föreskrift 2.2 (tolkning), i definitionen av ”ECE:s föreskrift, följd av ett nummer”, ska ”mer än två siffror” ersättas med ”en punkt följd av ett annat nummer”.</w:t>
      </w:r>
    </w:p>
    <w:p w14:paraId="259A558A" w14:textId="77777777" w:rsidR="00022A1B" w:rsidRDefault="00022A1B" w:rsidP="006A64B8">
      <w:pPr>
        <w:pStyle w:val="N2"/>
      </w:pPr>
      <w:r>
        <w:t>I föreskrift 30 (däckbelastning och hastighetsklasser)—</w:t>
      </w:r>
    </w:p>
    <w:p w14:paraId="2CD06048" w14:textId="77777777" w:rsidR="00022A1B" w:rsidRDefault="00022A1B" w:rsidP="00022A1B">
      <w:pPr>
        <w:pStyle w:val="N3"/>
      </w:pPr>
      <w:r>
        <w:t>i punkt 7 ska ”men detta krav ska inte gälla för regummerade däck” ersättas med ”eller, när det gäller regummerade däck, med kraven i ECE:s föreskrift 108 eller ECE:s föreskrift 109.”, och</w:t>
      </w:r>
    </w:p>
    <w:p w14:paraId="510A7921" w14:textId="77777777" w:rsidR="00022A1B" w:rsidRDefault="00022A1B" w:rsidP="00022A1B">
      <w:pPr>
        <w:pStyle w:val="N3"/>
      </w:pPr>
      <w:r>
        <w:t>i punkt 12, i definitionen av ”belastningsindex”, ska ”2.29” till slutet ersättas med ”2 i ECE:s föreskrift 30.02 eller ECE:s föreskrift 54, eller som ”belastningsindex” i punkt 2 i ECE:s föreskrift 108 eller ECE:s föreskrift 109,”.</w:t>
      </w:r>
    </w:p>
    <w:p w14:paraId="19D5D210" w14:textId="77777777" w:rsidR="00DD69B1" w:rsidRDefault="00DD69B1" w:rsidP="00DD69B1">
      <w:pPr>
        <w:pStyle w:val="N2"/>
      </w:pPr>
      <w:r>
        <w:t>I föreskrift 32 (däckens skick och underhåll)—</w:t>
      </w:r>
    </w:p>
    <w:p w14:paraId="3AE878F1" w14:textId="77777777" w:rsidR="00DD69B1" w:rsidRDefault="00DD69B1" w:rsidP="00DD69B1">
      <w:pPr>
        <w:pStyle w:val="N3"/>
      </w:pPr>
      <w:r>
        <w:t>i punkt 1—</w:t>
      </w:r>
    </w:p>
    <w:p w14:paraId="03749A2F" w14:textId="77777777" w:rsidR="00DD69B1" w:rsidRDefault="00DD69B1" w:rsidP="00DD69B1">
      <w:pPr>
        <w:pStyle w:val="N4"/>
      </w:pPr>
      <w:r>
        <w:t>ska ”Om inte annat följer av punkterna 2–4” ersättas med ”Om inte annat följer av punkt 1A och punkterna 2–4”,</w:t>
      </w:r>
    </w:p>
    <w:p w14:paraId="2B4BAE61" w14:textId="77777777" w:rsidR="00DD69B1" w:rsidRDefault="007442AA" w:rsidP="00DD69B1">
      <w:pPr>
        <w:pStyle w:val="N4"/>
      </w:pPr>
      <w:r>
        <w:t>ska i led g ii ”eller” utelämnas i slutet,</w:t>
      </w:r>
    </w:p>
    <w:p w14:paraId="116D86A6" w14:textId="77777777" w:rsidR="007442AA" w:rsidRDefault="007442AA" w:rsidP="00DD69B1">
      <w:pPr>
        <w:pStyle w:val="N4"/>
      </w:pPr>
      <w:r>
        <w:t>ska efter led h följande införas—</w:t>
      </w:r>
    </w:p>
    <w:p w14:paraId="31D345C1" w14:textId="364E70A3" w:rsidR="007442AA" w:rsidRDefault="00E21C8D" w:rsidP="00E21C8D">
      <w:pPr>
        <w:pStyle w:val="LQN4"/>
      </w:pPr>
      <w:r>
        <w:tab/>
        <w:t>“i)</w:t>
      </w:r>
      <w:r>
        <w:tab/>
        <w:t>däcket är inte ett regummerat däck och—</w:t>
      </w:r>
    </w:p>
    <w:p w14:paraId="1127C07A" w14:textId="77777777" w:rsidR="00A42AA8" w:rsidRDefault="00A42AA8" w:rsidP="00A42AA8">
      <w:pPr>
        <w:pStyle w:val="NLQN4"/>
      </w:pPr>
      <w:r>
        <w:lastRenderedPageBreak/>
        <w:tab/>
        <w:t>i)</w:t>
      </w:r>
      <w:r>
        <w:tab/>
        <w:t>den tillverkningsvecka som markerats på däcksidan i enlighet med ECE:s föreskrift nr 30 eller 54 infaller mer än 10 år före det datum då motorfordonet används på vägen, eller</w:t>
      </w:r>
    </w:p>
    <w:p w14:paraId="3D0FC71C" w14:textId="0322961D" w:rsidR="00A42AA8" w:rsidRDefault="00A42AA8" w:rsidP="00A42AA8">
      <w:pPr>
        <w:pStyle w:val="NLQN4"/>
      </w:pPr>
      <w:r>
        <w:tab/>
        <w:t>ii)</w:t>
      </w:r>
      <w:r>
        <w:tab/>
        <w:t>det har ingen märkning om tillverkningsvecka som överensstämmer med ECE:s föreskrift nr 30 eller 54 (vare sig det beror på att det tillverkades före tillämpningen av ECE:s föreskrift eller av annan anledning),</w:t>
      </w:r>
    </w:p>
    <w:p w14:paraId="21565F41" w14:textId="77777777" w:rsidR="00A42AA8" w:rsidRDefault="00A42AA8" w:rsidP="00A42AA8">
      <w:pPr>
        <w:pStyle w:val="LQN4"/>
      </w:pPr>
      <w:r>
        <w:tab/>
        <w:t>j)</w:t>
      </w:r>
      <w:r>
        <w:tab/>
        <w:t>däcket är ett regummerat däck och—</w:t>
      </w:r>
    </w:p>
    <w:p w14:paraId="0991118A" w14:textId="77777777" w:rsidR="00A42AA8" w:rsidRDefault="00A42AA8" w:rsidP="00A42AA8">
      <w:pPr>
        <w:pStyle w:val="NLQN4"/>
      </w:pPr>
      <w:r>
        <w:tab/>
        <w:t>i)</w:t>
      </w:r>
      <w:r>
        <w:tab/>
        <w:t>den tillverkningsvecka som markerats på däcksidan i enlighet med ECE:s föreskrift nr 108 eller 109 infaller mer än 10 år före det datum då motorfordonet används på vägen, eller</w:t>
      </w:r>
    </w:p>
    <w:p w14:paraId="1D5A9534" w14:textId="77777777" w:rsidR="00520F87" w:rsidRDefault="00520F87" w:rsidP="00520F87">
      <w:pPr>
        <w:pStyle w:val="NLQN4"/>
      </w:pPr>
      <w:r>
        <w:tab/>
        <w:t>ii)</w:t>
      </w:r>
      <w:r>
        <w:tab/>
        <w:t>det har ingen märkning om regummeringsvecka som överensstämmer med ECE:s föreskrift nr 108 eller 109 (vare sig det beror på att det regummerades före tillämpningen av ECE:s föreskrifter eller av annan anledning), eller</w:t>
      </w:r>
    </w:p>
    <w:p w14:paraId="371ABCF7" w14:textId="1D9D5575" w:rsidR="00520F87" w:rsidRDefault="00520F87" w:rsidP="00520F87">
      <w:pPr>
        <w:pStyle w:val="LQN4"/>
      </w:pPr>
      <w:r>
        <w:tab/>
        <w:t>k)</w:t>
      </w:r>
      <w:r>
        <w:tab/>
        <w:t>ett datum markerat på däcksidan i enlighet med ECE:s föreskrifter 30, 54, 108 eller 109 är oläsligt.”</w:t>
      </w:r>
    </w:p>
    <w:p w14:paraId="17D017BD" w14:textId="77777777" w:rsidR="00520F87" w:rsidRDefault="00520F87" w:rsidP="00520F87">
      <w:pPr>
        <w:pStyle w:val="N3"/>
      </w:pPr>
      <w:r>
        <w:t>efter punkt 1) lägg till—</w:t>
      </w:r>
    </w:p>
    <w:p w14:paraId="252B767E" w14:textId="65543917" w:rsidR="00EE3061" w:rsidRDefault="00E21C8D" w:rsidP="00EE3061">
      <w:pPr>
        <w:pStyle w:val="LQN2"/>
      </w:pPr>
      <w:r>
        <w:t>”1A) Om inte annat följer av punkt 4 a) och ca), och utan hinder av vad som anges i föreskrift 30—</w:t>
      </w:r>
    </w:p>
    <w:p w14:paraId="0F6D8888" w14:textId="77777777" w:rsidR="00EE3061" w:rsidRDefault="00EE3061" w:rsidP="00EE3061">
      <w:pPr>
        <w:pStyle w:val="LQN3"/>
      </w:pPr>
      <w:r>
        <w:t>a)</w:t>
      </w:r>
      <w:r>
        <w:tab/>
        <w:t>ska punkt 1 i) och j) endast gälla för däck som är monterade—</w:t>
      </w:r>
    </w:p>
    <w:p w14:paraId="781B8B31" w14:textId="77777777" w:rsidR="00EE3061" w:rsidRDefault="00EE3061" w:rsidP="00EE3061">
      <w:pPr>
        <w:pStyle w:val="LQN4"/>
      </w:pPr>
      <w:r>
        <w:tab/>
        <w:t>i)</w:t>
      </w:r>
      <w:r>
        <w:tab/>
        <w:t>på en framaxel på en annan buss än en minibuss,</w:t>
      </w:r>
    </w:p>
    <w:p w14:paraId="53B7C312" w14:textId="77777777" w:rsidR="00EE3061" w:rsidRPr="00EE3061" w:rsidRDefault="00EE3061" w:rsidP="00EE3061">
      <w:pPr>
        <w:pStyle w:val="LQN4"/>
        <w:rPr>
          <w:color w:val="FF0000"/>
        </w:rPr>
      </w:pPr>
      <w:r>
        <w:tab/>
        <w:t>ii)</w:t>
      </w:r>
      <w:r>
        <w:tab/>
        <w:t>i enkelmontage på vilken axel som helst på en minibuss, eller</w:t>
      </w:r>
    </w:p>
    <w:p w14:paraId="4BC37583" w14:textId="77777777" w:rsidR="00EE3061" w:rsidRDefault="00EE3061" w:rsidP="00EE3061">
      <w:pPr>
        <w:pStyle w:val="LQN4"/>
      </w:pPr>
      <w:r>
        <w:tab/>
        <w:t>iii)</w:t>
      </w:r>
      <w:r>
        <w:tab/>
        <w:t>på en framaxel på ett lastfordon med en högsta bruttovikt på mer än 3 500 kg,</w:t>
      </w:r>
    </w:p>
    <w:p w14:paraId="247FF29E" w14:textId="77777777" w:rsidR="00EE3061" w:rsidRDefault="00EE3061" w:rsidP="00EE3061">
      <w:pPr>
        <w:pStyle w:val="LQN3"/>
      </w:pPr>
      <w:r>
        <w:t>b)</w:t>
      </w:r>
      <w:r>
        <w:tab/>
        <w:t>i led a) —</w:t>
      </w:r>
    </w:p>
    <w:p w14:paraId="5B8B4A93" w14:textId="77777777" w:rsidR="00EE3061" w:rsidRPr="00F9319A" w:rsidRDefault="00EE3061" w:rsidP="00EE3061">
      <w:pPr>
        <w:pStyle w:val="LQN4"/>
      </w:pPr>
      <w:r>
        <w:tab/>
        <w:t>i)</w:t>
      </w:r>
      <w:r>
        <w:tab/>
      </w:r>
      <w:r>
        <w:rPr>
          <w:i/>
          <w:iCs/>
        </w:rPr>
        <w:t>framaxel</w:t>
      </w:r>
      <w:r>
        <w:t xml:space="preserve"> betyder en axel framför chassits mittpunkt på vilken hjulen styrs av styrsystemet, och</w:t>
      </w:r>
    </w:p>
    <w:p w14:paraId="09B8C591" w14:textId="77777777" w:rsidR="00EE3061" w:rsidRDefault="00EE3061" w:rsidP="00EE3061">
      <w:pPr>
        <w:pStyle w:val="LQN4"/>
      </w:pPr>
      <w:r>
        <w:tab/>
        <w:t>ii)</w:t>
      </w:r>
      <w:r>
        <w:tab/>
      </w:r>
      <w:r>
        <w:rPr>
          <w:i/>
          <w:iCs/>
        </w:rPr>
        <w:t>enkelmontage</w:t>
      </w:r>
      <w:r>
        <w:t xml:space="preserve"> betyder där inte mer än en hjul-däckenhet finns monterad på änden av den avsedda axeln, och</w:t>
      </w:r>
    </w:p>
    <w:p w14:paraId="10800F30" w14:textId="77777777" w:rsidR="00EE3061" w:rsidRDefault="00EE3061" w:rsidP="00EE3061">
      <w:pPr>
        <w:pStyle w:val="LQN3"/>
      </w:pPr>
      <w:r>
        <w:t>c)</w:t>
      </w:r>
      <w:r>
        <w:tab/>
        <w:t>ska punkt 1 k) endast gälla för —</w:t>
      </w:r>
    </w:p>
    <w:p w14:paraId="1BD3712B" w14:textId="77777777" w:rsidR="00FF5A1C" w:rsidRPr="00F9319A" w:rsidRDefault="00FF5A1C" w:rsidP="00FF5A1C">
      <w:pPr>
        <w:pStyle w:val="LQN4"/>
      </w:pPr>
      <w:r>
        <w:tab/>
        <w:t>i)</w:t>
      </w:r>
      <w:r>
        <w:tab/>
        <w:t>bussar (inklusive minibussar), och</w:t>
      </w:r>
    </w:p>
    <w:p w14:paraId="19A93219" w14:textId="001A4982" w:rsidR="00FF5A1C" w:rsidRDefault="00FF5A1C" w:rsidP="00FF5A1C">
      <w:pPr>
        <w:pStyle w:val="LQN4"/>
      </w:pPr>
      <w:r>
        <w:tab/>
        <w:t>ii)</w:t>
      </w:r>
      <w:r>
        <w:tab/>
        <w:t>lastfordon med en högsta bruttovikt som överstiger 3 500 kg.”,</w:t>
      </w:r>
    </w:p>
    <w:p w14:paraId="0AF3BAC2" w14:textId="77777777" w:rsidR="00FF5A1C" w:rsidRDefault="00FF5A1C" w:rsidP="00FF5A1C">
      <w:pPr>
        <w:pStyle w:val="N3"/>
      </w:pPr>
      <w:r>
        <w:t>i punkt 4—</w:t>
      </w:r>
    </w:p>
    <w:p w14:paraId="43505781" w14:textId="77777777" w:rsidR="00426F4F" w:rsidRDefault="00426F4F" w:rsidP="00426F4F">
      <w:pPr>
        <w:pStyle w:val="N4"/>
      </w:pPr>
      <w:r>
        <w:t>i led a) ska ”och i–k” införas efter ”1 a–g”,</w:t>
      </w:r>
    </w:p>
    <w:p w14:paraId="7C39BE16" w14:textId="77777777" w:rsidR="00426F4F" w:rsidRDefault="00426F4F" w:rsidP="00426F4F">
      <w:pPr>
        <w:pStyle w:val="N4"/>
      </w:pPr>
      <w:r>
        <w:t>ska efter led c) ska följande införas—</w:t>
      </w:r>
    </w:p>
    <w:p w14:paraId="4E3E441C" w14:textId="3789445E" w:rsidR="00426F4F" w:rsidRDefault="00E21C8D" w:rsidP="00426F4F">
      <w:pPr>
        <w:pStyle w:val="LQN3"/>
      </w:pPr>
      <w:r>
        <w:t>”ca)</w:t>
      </w:r>
      <w:r>
        <w:tab/>
        <w:t xml:space="preserve">Ingenting i punkt 1 i–k är tillämpligt på ett fordon av historiskt intresse som används för icke-kommersiella ändamål, och för detta ändamål avses med </w:t>
      </w:r>
      <w:r>
        <w:rPr>
          <w:i/>
          <w:iCs/>
        </w:rPr>
        <w:t>fordon av historiskt intresse</w:t>
      </w:r>
      <w:r>
        <w:t xml:space="preserve"> ett fordon som ministeriet anser vara av historiskt intresse för Nordirland och som—</w:t>
      </w:r>
    </w:p>
    <w:p w14:paraId="45C7B239" w14:textId="77777777" w:rsidR="00A213F5" w:rsidRDefault="00A213F5" w:rsidP="00A213F5">
      <w:pPr>
        <w:pStyle w:val="LQN4"/>
      </w:pPr>
      <w:r>
        <w:tab/>
        <w:t>i)</w:t>
      </w:r>
      <w:r>
        <w:tab/>
        <w:t>har tillverkats eller registrerats för första gången minst 40 år tidigare,</w:t>
      </w:r>
    </w:p>
    <w:p w14:paraId="190D1C8F" w14:textId="77777777" w:rsidR="00A213F5" w:rsidRDefault="00A213F5" w:rsidP="00A213F5">
      <w:pPr>
        <w:pStyle w:val="LQN4"/>
      </w:pPr>
      <w:r>
        <w:tab/>
        <w:t>ii)</w:t>
      </w:r>
      <w:r>
        <w:tab/>
        <w:t>är av en typ som inte längre är i produktion, och</w:t>
      </w:r>
    </w:p>
    <w:p w14:paraId="270D6A59" w14:textId="77777777" w:rsidR="00A213F5" w:rsidRDefault="00A213F5" w:rsidP="00A213F5">
      <w:pPr>
        <w:pStyle w:val="LQN4"/>
      </w:pPr>
      <w:r>
        <w:tab/>
        <w:t>iii)</w:t>
      </w:r>
      <w:r>
        <w:tab/>
        <w:t>är historiskt bevarade i sitt ursprungliga skick och har inte genomgått några väsentliga förändringar i de tekniska egenskaperna hos dess huvudkomponenter,</w:t>
      </w:r>
    </w:p>
    <w:p w14:paraId="48B5AE59" w14:textId="56DE3A66" w:rsidR="00A213F5" w:rsidRDefault="00A213F5" w:rsidP="00A213F5">
      <w:pPr>
        <w:pStyle w:val="LQT2"/>
      </w:pPr>
      <w:r>
        <w:t xml:space="preserve">om ”typ” i förhållande till fordonet har samma betydelse som ”fordonstyp” i artikel 3.32 i Europaparlamentets och rådets förordning (EU) 2018/858 av den 30 maj 2018 om godkännande av och marknadstillsyn över motorfordon och släpvagnar till dessa fordon samt </w:t>
      </w:r>
      <w:r>
        <w:lastRenderedPageBreak/>
        <w:t>av system, komponenter och separata tekniska enheter som är avsedda för sådana fordon(</w:t>
      </w:r>
      <w:r>
        <w:rPr>
          <w:rStyle w:val="FootnoteReference"/>
        </w:rPr>
        <w:footnoteReference w:id="6"/>
      </w:r>
      <w:r>
        <w:t>).”, och</w:t>
      </w:r>
    </w:p>
    <w:p w14:paraId="7CEE7A40" w14:textId="77777777" w:rsidR="00A213F5" w:rsidRDefault="00A213F5" w:rsidP="00A213F5">
      <w:pPr>
        <w:pStyle w:val="N3"/>
      </w:pPr>
      <w:r>
        <w:t>i punkt 6 a), i definitionen av ”ursprungligt slitbanemönster” ska ”re-gummerade” [”</w:t>
      </w:r>
      <w:r>
        <w:rPr>
          <w:i/>
          <w:iCs/>
        </w:rPr>
        <w:t>re-treaded</w:t>
      </w:r>
      <w:r>
        <w:t>”] på båda ställena där det dyker upp ersättas med ”regummerade” [”</w:t>
      </w:r>
      <w:r>
        <w:rPr>
          <w:i/>
          <w:iCs/>
        </w:rPr>
        <w:t>retreaded</w:t>
      </w:r>
      <w:r>
        <w:t>”].</w:t>
      </w:r>
    </w:p>
    <w:p w14:paraId="63D4D4FF" w14:textId="77777777" w:rsidR="004800DA" w:rsidRDefault="004800DA" w:rsidP="004800DA">
      <w:pPr>
        <w:pStyle w:val="N2"/>
      </w:pPr>
      <w:r>
        <w:t>I bilaga 1, i tabell 2 (ECE:s föreskrifter) ska följande införas efter den text som avser post 44—</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2E21E2">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Regummerade däck för personbilar och deras släpvagnar</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2E21E2">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Regummerade däck för nyttofordon och deras släpvagnar</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Förseglad med infrastrukturministeriets officiella försegling den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En högre tjänsteman vid infrastrukturministeriet</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FÖRKLARANDE ANMÄRKNING</w:t>
      </w:r>
    </w:p>
    <w:p w14:paraId="2D3DC66A" w14:textId="3ED882CF" w:rsidR="00040058" w:rsidRDefault="00040058" w:rsidP="00040058">
      <w:pPr>
        <w:pStyle w:val="XNotenote"/>
      </w:pPr>
      <w:r>
        <w:t>(Denna anmärkning är inte del av föreskrifterna)</w:t>
      </w:r>
    </w:p>
    <w:p w14:paraId="35F194C5" w14:textId="2CB6F34C" w:rsidR="00040058" w:rsidRDefault="00040058" w:rsidP="00040058">
      <w:pPr>
        <w:pStyle w:val="T1"/>
      </w:pPr>
      <w:r>
        <w:t>Genom dessa föreskrifter ändras 1999 års föreskrifter om motorfordon (konstruktion och användning) (Nordirland) i syfte att fastställa bestämmelser om åldern på däck (inklusive regummerade däck) och läsbarheten för datummärkningar på däck, som är tillåtna för användning på bussar (inklusive minibussar) och lastfordon med en högsta bruttovikt som överstiger 3 500 kg. Genom föreskrifterna ändras också tabell 2 i bilaga 1 till 1999 års föreskrifter för att inkludera bestämmelser om regummerade däck i ECE:s föreskrifter 108 och 109. I dessa föreskrifter föreskrivs ett undantag för fordon av historiskt intresse, förutsatt att de inte används för kommersiella ändamål.</w:t>
      </w:r>
    </w:p>
    <w:p w14:paraId="0FE50F41" w14:textId="77777777" w:rsidR="006D38F1" w:rsidRDefault="006D38F1" w:rsidP="00040058">
      <w:pPr>
        <w:pStyle w:val="T1"/>
      </w:pPr>
      <w:r>
        <w:t xml:space="preserve">Dessa förordningar anmäldes till Europeiska kommissionen i enlighet med Europaparlamentets och rådets direktiv (EU) 2015/1535 av den 9 september 2015 (EUT nr L241, 17.9.2015, s 1) med anmälningsnummer </w:t>
      </w:r>
      <w:r>
        <w:rPr>
          <w:color w:val="FF0000"/>
        </w:rPr>
        <w:t xml:space="preserve">xxxxxxxx. </w:t>
      </w:r>
      <w:r>
        <w:t xml:space="preserve">Inga kommentarer lämnades under den tre månader långa frysningsperioden. Direktivet finns tillgängligt online på </w:t>
      </w:r>
      <w:hyperlink r:id="rId8" w:history="1">
        <w:r>
          <w:rPr>
            <w:rStyle w:val="Hyperlink"/>
          </w:rPr>
          <w:t>http://eur-lex.europa.eu</w:t>
        </w:r>
      </w:hyperlink>
      <w:r>
        <w:t xml:space="preserve"> </w:t>
      </w:r>
    </w:p>
    <w:p w14:paraId="6186E13D" w14:textId="77777777" w:rsidR="00755802" w:rsidRDefault="00755802" w:rsidP="00040058">
      <w:pPr>
        <w:pStyle w:val="T1"/>
      </w:pPr>
      <w:r>
        <w:t xml:space="preserve">ECE:s föreskrifter utfärdas av FN:s ekonomiska kommission för Europa. Kopior av de ECE-föreskrifter som avses i dessa föreskrifter kan erhållas från UNECE:s webbplats: </w:t>
      </w:r>
      <w:hyperlink r:id="rId9" w:history="1">
        <w:r>
          <w:rPr>
            <w:rStyle w:val="Hyperlink"/>
          </w:rPr>
          <w:t>http://www.unece.org/trans/main/wp29/wp29regs.html</w:t>
        </w:r>
      </w:hyperlink>
      <w:r>
        <w:t>. Kopior kan också erhållas från Fordonspolicydepartementet, avdelningen för säkra och tillgängliga resor [</w:t>
      </w:r>
      <w:r>
        <w:rPr>
          <w:i/>
          <w:iCs/>
        </w:rPr>
        <w:t>Vehicle Policy Branch, Safe and Accessible Travel Division</w:t>
      </w:r>
      <w:r>
        <w:t>], Infrastrukturministeriet, Clarence Court, 10–18 Adelaide Street, Town Parks, Belfast BT2 8GB (e-post: vehicle.standards@infrastructure-ni.gov.uk)</w:t>
      </w:r>
    </w:p>
    <w:p w14:paraId="0E7BDCF2" w14:textId="77777777" w:rsidR="0083627D" w:rsidRPr="00095513" w:rsidRDefault="0083627D" w:rsidP="0083627D">
      <w:pPr>
        <w:pStyle w:val="T1"/>
      </w:pPr>
      <w:r>
        <w:t xml:space="preserve">En rättslig konsekvensbedömning och motivering har tagits fram och finns tillgängliga från Fordonspolicydepartementet på ovanstående adress eller online tillsammans med denna lagregel på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Tidigare ministeriet för regional utveckling: se avsnitt 1.6 och 1.11 samt bilaga 1 till 2016 års ministerielag (Nordirland) 2016 (2016 kap. 5 (N.I.)). I enlighet med avsnitt 1.9 i denna lag upplöses miljöministeriet.</w:t>
      </w:r>
    </w:p>
  </w:footnote>
  <w:footnote w:id="3">
    <w:p w14:paraId="5460616A" w14:textId="77777777" w:rsidR="00E54DC5" w:rsidRDefault="00E54DC5">
      <w:pPr>
        <w:pStyle w:val="FootnoteText"/>
      </w:pPr>
      <w:r>
        <w:t>(</w:t>
      </w:r>
      <w:r>
        <w:rPr>
          <w:rStyle w:val="FootnoteReference"/>
        </w:rPr>
        <w:footnoteRef/>
      </w:r>
      <w:r>
        <w:t>)</w:t>
      </w:r>
      <w:r>
        <w:tab/>
        <w:t>S.I. 1995/2994 (N.I. 18) Artikel 55 ändrades genom artikel 42.1 i 2007 års vägtrafikförordning (Nordirland) (S.I. 2007/916 (N.I. 10)).</w:t>
      </w:r>
    </w:p>
  </w:footnote>
  <w:footnote w:id="4">
    <w:p w14:paraId="1085F1A2" w14:textId="77777777" w:rsidR="00FB6465" w:rsidRPr="00FB6465" w:rsidRDefault="00FB6465">
      <w:pPr>
        <w:pStyle w:val="FootnoteText"/>
      </w:pPr>
      <w:r>
        <w:t>(</w:t>
      </w:r>
      <w:r>
        <w:rPr>
          <w:rStyle w:val="FootnoteReference"/>
        </w:rPr>
        <w:footnoteRef/>
      </w:r>
      <w:r>
        <w:t>)</w:t>
      </w:r>
      <w:r>
        <w:tab/>
        <w:t>Se Artikel 8.1 b) i, och del 2 i bilaga 5 till, 2016 års ministerielag (överlåtelse av funktioner) (Nordirland) (S.R. 2016 nr 76)</w:t>
      </w:r>
    </w:p>
  </w:footnote>
  <w:footnote w:id="5">
    <w:p w14:paraId="7D938A52" w14:textId="77777777" w:rsidR="00FB6465" w:rsidRDefault="00FB6465">
      <w:pPr>
        <w:pStyle w:val="FootnoteText"/>
      </w:pPr>
      <w:r>
        <w:t>(</w:t>
      </w:r>
      <w:r>
        <w:rPr>
          <w:rStyle w:val="FootnoteReference"/>
        </w:rPr>
        <w:footnoteRef/>
      </w:r>
      <w:r>
        <w:t>)</w:t>
      </w:r>
      <w:r>
        <w:tab/>
        <w:t>S.R. 1999 nr 454, relevanta ändringsföreskrifter är S.R. 2011 nr 20, S.R. 2011 nr 303 och S.R. 2016 nr 160.</w:t>
      </w:r>
    </w:p>
  </w:footnote>
  <w:footnote w:id="6">
    <w:p w14:paraId="202E6E04" w14:textId="5448A374" w:rsidR="00A213F5" w:rsidRDefault="00A213F5">
      <w:pPr>
        <w:pStyle w:val="FootnoteText"/>
      </w:pPr>
      <w:r>
        <w:t>(</w:t>
      </w:r>
      <w:r>
        <w:rPr>
          <w:rStyle w:val="FootnoteReference"/>
        </w:rPr>
        <w:footnoteRef/>
      </w:r>
      <w:r>
        <w:t>)</w:t>
      </w:r>
      <w:r>
        <w:tab/>
        <w:t>EUT nr L 151, 14.6.2018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Andra utkastet april 2023 – godkänt av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21E2"/>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sv-SE" w:eastAsia="en-US" w:bidi="ar-SA"/>
    </w:rPr>
  </w:style>
  <w:style w:type="character" w:customStyle="1" w:styleId="MadeChar">
    <w:name w:val="Made Char"/>
    <w:link w:val="Made"/>
    <w:locked/>
    <w:rsid w:val="00E61B82"/>
    <w:rPr>
      <w:i/>
      <w:sz w:val="21"/>
      <w:lang w:val="sv-SE"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277</TotalTime>
  <Pages>4</Pages>
  <Words>1064</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