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9610AD" w14:paraId="558C7C32" w14:textId="77777777" w:rsidTr="00EB6A7E">
        <w:trPr>
          <w:gridAfter w:val="1"/>
          <w:wAfter w:w="7" w:type="dxa"/>
        </w:trPr>
        <w:tc>
          <w:tcPr>
            <w:tcW w:w="279" w:type="dxa"/>
          </w:tcPr>
          <w:p w14:paraId="5738B468" w14:textId="4D642070" w:rsidR="00C8547B" w:rsidRPr="009610AD" w:rsidRDefault="00C8547B" w:rsidP="00996E0F">
            <w:pPr>
              <w:jc w:val="center"/>
            </w:pPr>
            <w:bookmarkStart w:id="0" w:name="_Hlk63519242"/>
          </w:p>
        </w:tc>
        <w:tc>
          <w:tcPr>
            <w:tcW w:w="9267" w:type="dxa"/>
            <w:gridSpan w:val="2"/>
          </w:tcPr>
          <w:p w14:paraId="356DEF92" w14:textId="0AEFFAC8" w:rsidR="00996E0F" w:rsidRPr="009610AD" w:rsidRDefault="00C8547B" w:rsidP="00C8547B">
            <w:pPr>
              <w:jc w:val="center"/>
              <w:rPr>
                <w:rFonts w:ascii="Arial" w:hAnsi="Arial" w:cs="Arial"/>
                <w:b/>
              </w:rPr>
            </w:pPr>
            <w:r w:rsidRPr="009610AD">
              <w:rPr>
                <w:rFonts w:ascii="Arial" w:hAnsi="Arial"/>
                <w:b/>
              </w:rPr>
              <w:t>KRÓLESTWO BELGII</w:t>
            </w:r>
          </w:p>
        </w:tc>
      </w:tr>
      <w:tr w:rsidR="0079460A" w:rsidRPr="009610AD" w14:paraId="42DCD924" w14:textId="77777777" w:rsidTr="00EB6A7E">
        <w:trPr>
          <w:gridAfter w:val="1"/>
          <w:wAfter w:w="7" w:type="dxa"/>
        </w:trPr>
        <w:tc>
          <w:tcPr>
            <w:tcW w:w="279" w:type="dxa"/>
          </w:tcPr>
          <w:p w14:paraId="098560EF" w14:textId="77777777" w:rsidR="00996E0F" w:rsidRPr="009610AD" w:rsidRDefault="00996E0F" w:rsidP="00996E0F"/>
        </w:tc>
        <w:tc>
          <w:tcPr>
            <w:tcW w:w="9267" w:type="dxa"/>
            <w:gridSpan w:val="2"/>
          </w:tcPr>
          <w:p w14:paraId="5CE47156" w14:textId="77777777" w:rsidR="00996E0F" w:rsidRPr="009610AD" w:rsidRDefault="00996E0F" w:rsidP="00996E0F">
            <w:pPr>
              <w:rPr>
                <w:lang w:val="nl-BE"/>
              </w:rPr>
            </w:pPr>
          </w:p>
        </w:tc>
      </w:tr>
      <w:tr w:rsidR="0079460A" w:rsidRPr="009610AD" w14:paraId="44978EC4" w14:textId="77777777" w:rsidTr="00EB6A7E">
        <w:trPr>
          <w:gridAfter w:val="1"/>
          <w:wAfter w:w="7" w:type="dxa"/>
        </w:trPr>
        <w:tc>
          <w:tcPr>
            <w:tcW w:w="279" w:type="dxa"/>
          </w:tcPr>
          <w:p w14:paraId="2D831F4F" w14:textId="153D3D22" w:rsidR="00C8547B" w:rsidRPr="009610AD" w:rsidRDefault="00C8547B" w:rsidP="00996E0F">
            <w:pPr>
              <w:jc w:val="center"/>
              <w:rPr>
                <w:lang w:val="nl-NL"/>
              </w:rPr>
            </w:pPr>
          </w:p>
        </w:tc>
        <w:tc>
          <w:tcPr>
            <w:tcW w:w="9267" w:type="dxa"/>
            <w:gridSpan w:val="2"/>
          </w:tcPr>
          <w:p w14:paraId="5455DA58" w14:textId="77777777" w:rsidR="00C8547B" w:rsidRPr="009610AD" w:rsidRDefault="00C8547B" w:rsidP="00C8547B">
            <w:pPr>
              <w:jc w:val="center"/>
              <w:rPr>
                <w:rFonts w:ascii="Arial" w:hAnsi="Arial" w:cs="Arial"/>
                <w:b/>
              </w:rPr>
            </w:pPr>
            <w:r w:rsidRPr="009610AD">
              <w:rPr>
                <w:rFonts w:ascii="Arial" w:hAnsi="Arial"/>
                <w:b/>
              </w:rPr>
              <w:t>FEDERALNY URZĄD DS. GOSPODARKI, MŚP, SAMOZATRUDNIONYCH I ENERGII</w:t>
            </w:r>
          </w:p>
          <w:p w14:paraId="1A54DC63" w14:textId="159C4119" w:rsidR="00996E0F" w:rsidRPr="009610AD" w:rsidRDefault="00996E0F" w:rsidP="00996E0F">
            <w:pPr>
              <w:tabs>
                <w:tab w:val="left" w:pos="-720"/>
              </w:tabs>
              <w:jc w:val="center"/>
              <w:rPr>
                <w:rFonts w:ascii="Arial" w:hAnsi="Arial" w:cs="Arial"/>
                <w:b/>
                <w:spacing w:val="-3"/>
              </w:rPr>
            </w:pPr>
          </w:p>
        </w:tc>
      </w:tr>
      <w:tr w:rsidR="0079460A" w:rsidRPr="009610AD" w14:paraId="5BB3B823" w14:textId="77777777" w:rsidTr="00EB6A7E">
        <w:trPr>
          <w:gridAfter w:val="1"/>
          <w:wAfter w:w="7" w:type="dxa"/>
        </w:trPr>
        <w:tc>
          <w:tcPr>
            <w:tcW w:w="279" w:type="dxa"/>
          </w:tcPr>
          <w:p w14:paraId="4F3801D2" w14:textId="695F1006" w:rsidR="00C8547B" w:rsidRPr="009610AD" w:rsidRDefault="00C8547B" w:rsidP="00047B0F">
            <w:pPr>
              <w:jc w:val="both"/>
            </w:pPr>
          </w:p>
        </w:tc>
        <w:tc>
          <w:tcPr>
            <w:tcW w:w="9267" w:type="dxa"/>
            <w:gridSpan w:val="2"/>
          </w:tcPr>
          <w:p w14:paraId="3E5575EE" w14:textId="1763EE11" w:rsidR="00C8547B" w:rsidRPr="009610AD" w:rsidRDefault="00BB74F2" w:rsidP="00C8547B">
            <w:pPr>
              <w:jc w:val="both"/>
              <w:rPr>
                <w:rFonts w:ascii="Arial" w:hAnsi="Arial" w:cs="Arial"/>
                <w:b/>
              </w:rPr>
            </w:pPr>
            <w:r w:rsidRPr="009610AD">
              <w:rPr>
                <w:rFonts w:ascii="Arial" w:hAnsi="Arial"/>
                <w:b/>
              </w:rPr>
              <w:t>10 Lipiec 2022 r. - Dekret Królewski wprowadzający rozdział 7.22. Księgi 1 oraz zmieniający niektóre części Ksiąg 1 i 3, wprowadzonych Dekretem Królewskim z dnia 8 września 2019 r. ustanawiającym Księgę 1 w sprawie instalacji elektrycznych niskiego i bardzo niskiego napięcia, Księgę 2 w sprawie instalacji elektrycznych wysokiego napięcia oraz Księgę 3 w sprawie instalacji do przesyłu i dystrybucji energii elektrycznej</w:t>
            </w:r>
          </w:p>
          <w:p w14:paraId="32AAC0D0" w14:textId="1284B7FE" w:rsidR="00047B0F" w:rsidRPr="009610AD" w:rsidRDefault="00047B0F" w:rsidP="00047B0F">
            <w:pPr>
              <w:jc w:val="both"/>
            </w:pPr>
          </w:p>
        </w:tc>
      </w:tr>
      <w:tr w:rsidR="0079460A" w:rsidRPr="009610AD" w14:paraId="0A3CEFFD" w14:textId="77777777" w:rsidTr="00EB6A7E">
        <w:trPr>
          <w:gridAfter w:val="1"/>
          <w:wAfter w:w="7" w:type="dxa"/>
        </w:trPr>
        <w:tc>
          <w:tcPr>
            <w:tcW w:w="279" w:type="dxa"/>
          </w:tcPr>
          <w:p w14:paraId="0C0F16EC" w14:textId="7EF6ABBD" w:rsidR="001A2519" w:rsidRPr="009610AD" w:rsidRDefault="001A2519" w:rsidP="001A2519">
            <w:pPr>
              <w:jc w:val="center"/>
            </w:pPr>
          </w:p>
        </w:tc>
        <w:tc>
          <w:tcPr>
            <w:tcW w:w="9267" w:type="dxa"/>
            <w:gridSpan w:val="2"/>
          </w:tcPr>
          <w:p w14:paraId="57E2F727" w14:textId="77777777" w:rsidR="001A2519" w:rsidRPr="009610AD" w:rsidRDefault="001A2519" w:rsidP="001A2519">
            <w:pPr>
              <w:tabs>
                <w:tab w:val="center" w:pos="2359"/>
              </w:tabs>
              <w:jc w:val="center"/>
              <w:rPr>
                <w:rFonts w:ascii="Arial" w:hAnsi="Arial" w:cs="Arial"/>
                <w:spacing w:val="-3"/>
              </w:rPr>
            </w:pPr>
            <w:r w:rsidRPr="009610AD">
              <w:rPr>
                <w:rFonts w:ascii="Arial" w:hAnsi="Arial"/>
              </w:rPr>
              <w:t>FILIP, Król Belgów,</w:t>
            </w:r>
          </w:p>
          <w:p w14:paraId="393066B7" w14:textId="77777777" w:rsidR="001A2519" w:rsidRPr="009610AD" w:rsidRDefault="001A2519" w:rsidP="001A2519">
            <w:pPr>
              <w:jc w:val="center"/>
              <w:rPr>
                <w:rFonts w:ascii="Arial" w:hAnsi="Arial" w:cs="Arial"/>
                <w:spacing w:val="-3"/>
              </w:rPr>
            </w:pPr>
            <w:r w:rsidRPr="009610AD">
              <w:rPr>
                <w:rFonts w:ascii="Arial" w:hAnsi="Arial"/>
              </w:rPr>
              <w:t>Pozdrawiamy wszystkich naszych obecnych i przyszłych poddanych</w:t>
            </w:r>
          </w:p>
          <w:p w14:paraId="26439878" w14:textId="2A2615F2" w:rsidR="00047B0F" w:rsidRPr="009610AD" w:rsidRDefault="00047B0F" w:rsidP="00047B0F">
            <w:pPr>
              <w:tabs>
                <w:tab w:val="left" w:pos="-720"/>
              </w:tabs>
              <w:jc w:val="center"/>
              <w:rPr>
                <w:rFonts w:ascii="Arial" w:hAnsi="Arial" w:cs="Arial"/>
                <w:b/>
                <w:spacing w:val="-3"/>
              </w:rPr>
            </w:pPr>
          </w:p>
        </w:tc>
      </w:tr>
      <w:tr w:rsidR="0079460A" w:rsidRPr="009610AD" w14:paraId="090783DE" w14:textId="77777777" w:rsidTr="00EB6A7E">
        <w:trPr>
          <w:gridAfter w:val="1"/>
          <w:wAfter w:w="7" w:type="dxa"/>
        </w:trPr>
        <w:tc>
          <w:tcPr>
            <w:tcW w:w="279" w:type="dxa"/>
          </w:tcPr>
          <w:p w14:paraId="394F0CC4" w14:textId="582771A3" w:rsidR="00047B0F" w:rsidRPr="009610AD" w:rsidRDefault="00047B0F" w:rsidP="00047B0F">
            <w:pPr>
              <w:jc w:val="both"/>
            </w:pPr>
          </w:p>
        </w:tc>
        <w:tc>
          <w:tcPr>
            <w:tcW w:w="9267" w:type="dxa"/>
            <w:gridSpan w:val="2"/>
          </w:tcPr>
          <w:p w14:paraId="28A97C05" w14:textId="7DA567BF" w:rsidR="00047B0F" w:rsidRPr="009610AD" w:rsidRDefault="00E82C35" w:rsidP="00047B0F">
            <w:pPr>
              <w:jc w:val="both"/>
            </w:pPr>
            <w:r w:rsidRPr="009610AD">
              <w:rPr>
                <w:rFonts w:ascii="Arial" w:hAnsi="Arial"/>
              </w:rPr>
              <w:t xml:space="preserve">Uwzględniając Ustawę z dnia 10 marca 1925 r. o dystrybucji energii elektrycznej, </w:t>
            </w:r>
            <w:bookmarkStart w:id="1" w:name="hit1"/>
            <w:bookmarkEnd w:id="1"/>
            <w:r w:rsidRPr="009610AD">
              <w:rPr>
                <w:rFonts w:ascii="Arial" w:hAnsi="Arial"/>
              </w:rPr>
              <w:t>art. 21 ust. 1;</w:t>
            </w:r>
          </w:p>
        </w:tc>
      </w:tr>
      <w:tr w:rsidR="0079460A" w:rsidRPr="009610AD" w14:paraId="16C56C70" w14:textId="77777777" w:rsidTr="00EB6A7E">
        <w:trPr>
          <w:gridAfter w:val="1"/>
          <w:wAfter w:w="7" w:type="dxa"/>
        </w:trPr>
        <w:tc>
          <w:tcPr>
            <w:tcW w:w="279" w:type="dxa"/>
          </w:tcPr>
          <w:p w14:paraId="005A8A09" w14:textId="1FD00E60" w:rsidR="00047B0F" w:rsidRPr="009610AD" w:rsidRDefault="00047B0F" w:rsidP="00047B0F"/>
        </w:tc>
        <w:tc>
          <w:tcPr>
            <w:tcW w:w="9267" w:type="dxa"/>
            <w:gridSpan w:val="2"/>
          </w:tcPr>
          <w:p w14:paraId="2C6E1918" w14:textId="77777777" w:rsidR="00047B0F" w:rsidRPr="009610AD" w:rsidRDefault="00047B0F" w:rsidP="00047B0F"/>
        </w:tc>
      </w:tr>
      <w:tr w:rsidR="0079460A" w:rsidRPr="009610AD" w14:paraId="13B39B01" w14:textId="77777777" w:rsidTr="00EB6A7E">
        <w:trPr>
          <w:gridAfter w:val="1"/>
          <w:wAfter w:w="7" w:type="dxa"/>
        </w:trPr>
        <w:tc>
          <w:tcPr>
            <w:tcW w:w="279" w:type="dxa"/>
          </w:tcPr>
          <w:p w14:paraId="2EDDC7D3" w14:textId="7C3F5D57" w:rsidR="00047B0F" w:rsidRPr="009610AD" w:rsidRDefault="00047B0F" w:rsidP="00047B0F">
            <w:pPr>
              <w:jc w:val="both"/>
            </w:pPr>
          </w:p>
        </w:tc>
        <w:tc>
          <w:tcPr>
            <w:tcW w:w="9267" w:type="dxa"/>
            <w:gridSpan w:val="2"/>
          </w:tcPr>
          <w:p w14:paraId="0D47B9E7" w14:textId="34FB87E4" w:rsidR="00047B0F" w:rsidRPr="009610AD" w:rsidRDefault="00E82C35" w:rsidP="00047B0F">
            <w:pPr>
              <w:jc w:val="both"/>
            </w:pPr>
            <w:r w:rsidRPr="009610AD">
              <w:rPr>
                <w:rFonts w:ascii="Arial" w:hAnsi="Arial"/>
              </w:rPr>
              <w:t>Uwzględniając Ustawę z dnia 4 sierpnia 1996 r. o dobrym samopoczuciu pracowników podczas wykonywania przez nich pracy, art. 4 ust. 1 pkt 1, zmienioną Ustawą z dnia 7 kwietnia 1999 r; oraz art. 5 ust. 3</w:t>
            </w:r>
          </w:p>
        </w:tc>
      </w:tr>
      <w:tr w:rsidR="0079460A" w:rsidRPr="009610AD" w14:paraId="7B50A295" w14:textId="77777777" w:rsidTr="00EB6A7E">
        <w:trPr>
          <w:gridAfter w:val="1"/>
          <w:wAfter w:w="7" w:type="dxa"/>
        </w:trPr>
        <w:tc>
          <w:tcPr>
            <w:tcW w:w="279" w:type="dxa"/>
          </w:tcPr>
          <w:p w14:paraId="06DF04A2" w14:textId="6633B159" w:rsidR="00047B0F" w:rsidRPr="009610AD" w:rsidRDefault="00047B0F" w:rsidP="00047B0F">
            <w:pPr>
              <w:jc w:val="both"/>
            </w:pPr>
          </w:p>
        </w:tc>
        <w:tc>
          <w:tcPr>
            <w:tcW w:w="9267" w:type="dxa"/>
            <w:gridSpan w:val="2"/>
          </w:tcPr>
          <w:p w14:paraId="34C16BC8" w14:textId="475FC890" w:rsidR="00047B0F" w:rsidRPr="009610AD" w:rsidRDefault="00047B0F" w:rsidP="00047B0F">
            <w:pPr>
              <w:jc w:val="both"/>
            </w:pPr>
          </w:p>
        </w:tc>
      </w:tr>
      <w:tr w:rsidR="0079460A" w:rsidRPr="009610AD" w14:paraId="4320AA9F" w14:textId="77777777" w:rsidTr="00EB6A7E">
        <w:trPr>
          <w:gridAfter w:val="1"/>
          <w:wAfter w:w="7" w:type="dxa"/>
        </w:trPr>
        <w:tc>
          <w:tcPr>
            <w:tcW w:w="279" w:type="dxa"/>
          </w:tcPr>
          <w:p w14:paraId="688F9937" w14:textId="77777777" w:rsidR="00047B0F" w:rsidRPr="009610AD" w:rsidRDefault="00047B0F" w:rsidP="00E82C35">
            <w:pPr>
              <w:jc w:val="both"/>
            </w:pPr>
          </w:p>
        </w:tc>
        <w:tc>
          <w:tcPr>
            <w:tcW w:w="9267" w:type="dxa"/>
            <w:gridSpan w:val="2"/>
          </w:tcPr>
          <w:p w14:paraId="58EACF54" w14:textId="7CB491E9" w:rsidR="00207A1A" w:rsidRPr="009610AD" w:rsidRDefault="00E82C35" w:rsidP="00E82C35">
            <w:pPr>
              <w:jc w:val="both"/>
            </w:pPr>
            <w:r w:rsidRPr="009610AD">
              <w:rPr>
                <w:rFonts w:ascii="Arial" w:hAnsi="Arial"/>
              </w:rPr>
              <w:t>Uwzględniając Dekret Królewski z dnia 8 września 2019 r. ustanawiający Księgę 1 w sprawie instalacji elektrycznych niskiego i bardzo niskiego napięcia, Księgę 2 w sprawie instalacji elektrycznych wysokiego napięcia oraz Księgę 3 w sprawie instalacji do przesyłania i dystrybucji energii elektrycznej;</w:t>
            </w:r>
          </w:p>
        </w:tc>
      </w:tr>
      <w:tr w:rsidR="0079460A" w:rsidRPr="009610AD" w14:paraId="387D9A3A" w14:textId="77777777" w:rsidTr="00EB6A7E">
        <w:trPr>
          <w:gridAfter w:val="1"/>
          <w:wAfter w:w="7" w:type="dxa"/>
        </w:trPr>
        <w:tc>
          <w:tcPr>
            <w:tcW w:w="279" w:type="dxa"/>
          </w:tcPr>
          <w:p w14:paraId="3384E3C9" w14:textId="77777777" w:rsidR="00047B0F" w:rsidRPr="009610AD" w:rsidRDefault="00047B0F" w:rsidP="00EB6A7E">
            <w:pPr>
              <w:jc w:val="both"/>
            </w:pPr>
          </w:p>
        </w:tc>
        <w:tc>
          <w:tcPr>
            <w:tcW w:w="9267" w:type="dxa"/>
            <w:gridSpan w:val="2"/>
          </w:tcPr>
          <w:p w14:paraId="0B2BBF55" w14:textId="77777777" w:rsidR="00E82C35" w:rsidRPr="009610AD" w:rsidRDefault="00E82C35" w:rsidP="00E82C35">
            <w:pPr>
              <w:jc w:val="both"/>
              <w:rPr>
                <w:rFonts w:ascii="Arial" w:hAnsi="Arial" w:cs="Arial"/>
              </w:rPr>
            </w:pPr>
            <w:r w:rsidRPr="009610AD">
              <w:rPr>
                <w:rFonts w:ascii="Arial" w:hAnsi="Arial"/>
              </w:rPr>
              <w:t>Uwzględniając opinię Inspektora Finansów wydaną dnia 25 lutego 2021 r.;</w:t>
            </w:r>
          </w:p>
          <w:p w14:paraId="43E0BB1D" w14:textId="77777777" w:rsidR="00047B0F" w:rsidRPr="009610AD" w:rsidRDefault="00047B0F" w:rsidP="00047B0F">
            <w:pPr>
              <w:jc w:val="both"/>
              <w:rPr>
                <w:rFonts w:ascii="Arial" w:hAnsi="Arial" w:cs="Arial"/>
              </w:rPr>
            </w:pPr>
          </w:p>
          <w:p w14:paraId="053E9279" w14:textId="447443A8" w:rsidR="00E82C35" w:rsidRPr="009610AD" w:rsidRDefault="00E82C35" w:rsidP="00047B0F">
            <w:pPr>
              <w:jc w:val="both"/>
              <w:rPr>
                <w:rFonts w:ascii="Arial" w:hAnsi="Arial" w:cs="Arial"/>
              </w:rPr>
            </w:pPr>
            <w:r w:rsidRPr="009610AD">
              <w:rPr>
                <w:rFonts w:ascii="Arial" w:hAnsi="Arial"/>
              </w:rPr>
              <w:t xml:space="preserve">Uwzględniając opinię Wysokiej Rady do Spraw Prewencji i Ochrony w Miejscu Pracy, wydaną w dniu 17 listopada 2021 r., na podstawie art. 95 ust. </w:t>
            </w:r>
            <w:r w:rsidRPr="009610AD">
              <w:rPr>
                <w:rStyle w:val="Emphaseple1"/>
                <w:rFonts w:ascii="Arial" w:hAnsi="Arial"/>
                <w:i w:val="0"/>
                <w:color w:val="auto"/>
              </w:rPr>
              <w:t>1</w:t>
            </w:r>
            <w:r w:rsidRPr="009610AD">
              <w:rPr>
                <w:rFonts w:ascii="Arial" w:hAnsi="Arial"/>
              </w:rPr>
              <w:t xml:space="preserve"> ustawy z dnia 4 sierpnia 1996 r. o dobrostanie pracowników podczas wykonywania pracy;</w:t>
            </w:r>
          </w:p>
          <w:p w14:paraId="3B5454BB" w14:textId="21DB4915" w:rsidR="00E82C35" w:rsidRPr="009610AD" w:rsidRDefault="00E82C35" w:rsidP="00047B0F">
            <w:pPr>
              <w:jc w:val="both"/>
              <w:rPr>
                <w:rFonts w:ascii="Arial" w:hAnsi="Arial" w:cs="Arial"/>
              </w:rPr>
            </w:pPr>
          </w:p>
          <w:p w14:paraId="3E480D8D" w14:textId="77777777" w:rsidR="00E82C35" w:rsidRPr="009610AD" w:rsidRDefault="00E82C35" w:rsidP="00047B0F">
            <w:pPr>
              <w:jc w:val="both"/>
              <w:rPr>
                <w:rFonts w:ascii="Arial" w:hAnsi="Arial" w:cs="Arial"/>
              </w:rPr>
            </w:pPr>
          </w:p>
          <w:p w14:paraId="28981038" w14:textId="3CC2A681" w:rsidR="00E82C35" w:rsidRPr="009610AD" w:rsidRDefault="00E82C35" w:rsidP="00E82C35">
            <w:pPr>
              <w:jc w:val="both"/>
              <w:rPr>
                <w:rFonts w:ascii="Arial" w:hAnsi="Arial" w:cs="Arial"/>
              </w:rPr>
            </w:pPr>
            <w:r w:rsidRPr="009610AD">
              <w:rPr>
                <w:rFonts w:ascii="Arial" w:hAnsi="Arial"/>
              </w:rPr>
              <w:t>Uwzględniając opinię Wysokiej Rady ds. Ochrony przed Pożarami i Wybuchami, wydaną w dniu 22 grudnia 2021 r., na podstawie art. 6 ust. 1 pkt 2 lit. b) ustawy z dnia 30 lipca 1979 r. o zapobieganiu pożarom i wybuchom oraz o obowiązkowym ubezpieczeniu odpowiedzialności cywilnej w ich okolicznościach;</w:t>
            </w:r>
          </w:p>
          <w:p w14:paraId="3A3C5B0B" w14:textId="77777777" w:rsidR="00047B0F" w:rsidRPr="009610AD" w:rsidRDefault="00047B0F" w:rsidP="00E82C35">
            <w:pPr>
              <w:jc w:val="both"/>
            </w:pPr>
          </w:p>
        </w:tc>
      </w:tr>
      <w:tr w:rsidR="007D5658" w:rsidRPr="009610AD" w14:paraId="10B5E30F" w14:textId="77777777" w:rsidTr="00EB6A7E">
        <w:trPr>
          <w:gridAfter w:val="1"/>
          <w:wAfter w:w="7" w:type="dxa"/>
        </w:trPr>
        <w:tc>
          <w:tcPr>
            <w:tcW w:w="279" w:type="dxa"/>
          </w:tcPr>
          <w:p w14:paraId="532D036D" w14:textId="0B292C76" w:rsidR="007D5658" w:rsidRPr="009610AD" w:rsidRDefault="007D5658" w:rsidP="007D5658">
            <w:pPr>
              <w:jc w:val="both"/>
              <w:rPr>
                <w:rFonts w:ascii="Arial" w:hAnsi="Arial" w:cs="Arial"/>
              </w:rPr>
            </w:pPr>
          </w:p>
        </w:tc>
        <w:tc>
          <w:tcPr>
            <w:tcW w:w="9267" w:type="dxa"/>
            <w:gridSpan w:val="2"/>
          </w:tcPr>
          <w:p w14:paraId="1BB7DA30" w14:textId="77777777" w:rsidR="007D5658" w:rsidRPr="009610AD" w:rsidRDefault="007D5658" w:rsidP="007D5658">
            <w:pPr>
              <w:jc w:val="both"/>
              <w:rPr>
                <w:rFonts w:ascii="Arial" w:hAnsi="Arial" w:cs="Arial"/>
              </w:rPr>
            </w:pPr>
            <w:r w:rsidRPr="009610AD">
              <w:rPr>
                <w:rFonts w:ascii="Arial" w:hAnsi="Arial"/>
              </w:rPr>
              <w:t>Uwzględniając Komunikat do Komisji Europejskiej z dnia 2 marca 2021 r., zgodnie z art. 5 ust. 1 dyrektywy Parlamentu Europejskiego i Rady (UE) 2015/1535 z dnia 9 września 2015 r. ustanawiającej procedurę udzielania informacji w dziedzinie przepisów technicznych oraz zasad dotyczących usług społeczeństwa informacyjnego;</w:t>
            </w:r>
          </w:p>
          <w:p w14:paraId="00E94983" w14:textId="24DBB4E7" w:rsidR="007D5658" w:rsidRPr="009610AD" w:rsidRDefault="007D5658" w:rsidP="007D5658">
            <w:pPr>
              <w:jc w:val="both"/>
              <w:rPr>
                <w:rFonts w:ascii="Arial" w:hAnsi="Arial" w:cs="Arial"/>
              </w:rPr>
            </w:pPr>
          </w:p>
        </w:tc>
      </w:tr>
      <w:tr w:rsidR="0079460A" w:rsidRPr="009610AD" w14:paraId="3FE9D49A" w14:textId="77777777" w:rsidTr="00EB6A7E">
        <w:trPr>
          <w:gridAfter w:val="1"/>
          <w:wAfter w:w="7" w:type="dxa"/>
        </w:trPr>
        <w:tc>
          <w:tcPr>
            <w:tcW w:w="279" w:type="dxa"/>
          </w:tcPr>
          <w:p w14:paraId="459265C2" w14:textId="459B68C2" w:rsidR="00047B0F" w:rsidRPr="009610AD" w:rsidRDefault="00047B0F" w:rsidP="00047B0F">
            <w:pPr>
              <w:jc w:val="both"/>
            </w:pPr>
          </w:p>
        </w:tc>
        <w:tc>
          <w:tcPr>
            <w:tcW w:w="9267" w:type="dxa"/>
            <w:gridSpan w:val="2"/>
          </w:tcPr>
          <w:p w14:paraId="1C569048" w14:textId="4C963F22" w:rsidR="00047B0F" w:rsidRPr="009610AD" w:rsidRDefault="00E82C35" w:rsidP="00047B0F">
            <w:pPr>
              <w:jc w:val="both"/>
            </w:pPr>
            <w:r w:rsidRPr="009610AD">
              <w:rPr>
                <w:rFonts w:ascii="Arial" w:hAnsi="Arial"/>
              </w:rPr>
              <w:t>Uwzględniając opinię Stałego Komitetu ds. Energii Elektrycznej, wydaną w dniu 24 marca 2022 r., zgodnie z art. 22 ust. 5 Ustawy z dnia 10 marca 1925 r. o dystrybucji energii elektrycznej, zmienionej Ustawą z dnia 8 maja 2014 r.;</w:t>
            </w:r>
          </w:p>
        </w:tc>
      </w:tr>
      <w:tr w:rsidR="0079460A" w:rsidRPr="009610AD" w14:paraId="05A3F2A0" w14:textId="77777777" w:rsidTr="00EB6A7E">
        <w:trPr>
          <w:gridAfter w:val="1"/>
          <w:wAfter w:w="7" w:type="dxa"/>
        </w:trPr>
        <w:tc>
          <w:tcPr>
            <w:tcW w:w="279" w:type="dxa"/>
          </w:tcPr>
          <w:p w14:paraId="088DE580" w14:textId="4A862DD9" w:rsidR="00047B0F" w:rsidRPr="009610AD" w:rsidRDefault="00047B0F" w:rsidP="00047B0F"/>
        </w:tc>
        <w:tc>
          <w:tcPr>
            <w:tcW w:w="9267" w:type="dxa"/>
            <w:gridSpan w:val="2"/>
          </w:tcPr>
          <w:p w14:paraId="46AA12E7" w14:textId="77777777" w:rsidR="00047B0F" w:rsidRPr="009610AD" w:rsidRDefault="00047B0F" w:rsidP="00047B0F"/>
        </w:tc>
      </w:tr>
      <w:tr w:rsidR="0079460A" w:rsidRPr="009610AD" w14:paraId="3D487CBF" w14:textId="77777777" w:rsidTr="00EB6A7E">
        <w:trPr>
          <w:gridAfter w:val="1"/>
          <w:wAfter w:w="7" w:type="dxa"/>
        </w:trPr>
        <w:tc>
          <w:tcPr>
            <w:tcW w:w="279" w:type="dxa"/>
          </w:tcPr>
          <w:p w14:paraId="25F7FD0B" w14:textId="760EB5A9" w:rsidR="00C66AB4" w:rsidRPr="009610AD" w:rsidRDefault="00C66AB4" w:rsidP="00047B0F">
            <w:pPr>
              <w:jc w:val="both"/>
            </w:pPr>
          </w:p>
        </w:tc>
        <w:tc>
          <w:tcPr>
            <w:tcW w:w="9267" w:type="dxa"/>
            <w:gridSpan w:val="2"/>
          </w:tcPr>
          <w:p w14:paraId="184CF3C3" w14:textId="0EDC208F" w:rsidR="00BB6DE6" w:rsidRPr="009610AD" w:rsidRDefault="00BB6DE6" w:rsidP="00BB6DE6">
            <w:pPr>
              <w:jc w:val="both"/>
              <w:rPr>
                <w:rStyle w:val="Emphaseple1"/>
                <w:rFonts w:ascii="Arial" w:hAnsi="Arial" w:cs="Arial"/>
                <w:i w:val="0"/>
                <w:color w:val="auto"/>
              </w:rPr>
            </w:pPr>
            <w:r w:rsidRPr="009610AD">
              <w:rPr>
                <w:rStyle w:val="Emphaseple1"/>
                <w:rFonts w:ascii="Arial" w:hAnsi="Arial"/>
                <w:i w:val="0"/>
                <w:color w:val="auto"/>
              </w:rPr>
              <w:t>Uwzględniając opinię nr 71.421/3 Rady Stanu, wydaną w dniu 25 maja 2022 r., zgodnie z art. 84, § 1 ust. 2 Przepisów o Radzie Stanu, ujednoliconych w dniu 12 stycznia 1973 r;</w:t>
            </w:r>
          </w:p>
          <w:p w14:paraId="35B35ECC" w14:textId="12A6A124" w:rsidR="00047B0F" w:rsidRPr="009610AD" w:rsidRDefault="00047B0F" w:rsidP="00047B0F">
            <w:pPr>
              <w:jc w:val="both"/>
            </w:pPr>
          </w:p>
        </w:tc>
      </w:tr>
      <w:tr w:rsidR="0079460A" w:rsidRPr="009610AD" w14:paraId="7F76CC5D" w14:textId="77777777" w:rsidTr="00EB6A7E">
        <w:trPr>
          <w:gridAfter w:val="1"/>
          <w:wAfter w:w="7" w:type="dxa"/>
        </w:trPr>
        <w:tc>
          <w:tcPr>
            <w:tcW w:w="279" w:type="dxa"/>
          </w:tcPr>
          <w:p w14:paraId="69756BD7" w14:textId="40817D92" w:rsidR="00047B0F" w:rsidRPr="009610AD" w:rsidRDefault="00047B0F" w:rsidP="00047B0F">
            <w:pPr>
              <w:jc w:val="both"/>
            </w:pPr>
          </w:p>
        </w:tc>
        <w:tc>
          <w:tcPr>
            <w:tcW w:w="9267" w:type="dxa"/>
            <w:gridSpan w:val="2"/>
          </w:tcPr>
          <w:p w14:paraId="58B6FF8E" w14:textId="42BB1917" w:rsidR="00047B0F" w:rsidRPr="009610AD" w:rsidRDefault="00BB6DE6" w:rsidP="00047B0F">
            <w:pPr>
              <w:jc w:val="both"/>
            </w:pPr>
            <w:r w:rsidRPr="009610AD">
              <w:rPr>
                <w:rFonts w:ascii="Arial" w:hAnsi="Arial"/>
              </w:rPr>
              <w:t>Na wniosek Ministra ds. pracy i Ministra ds. energii,</w:t>
            </w:r>
          </w:p>
        </w:tc>
      </w:tr>
      <w:tr w:rsidR="0079460A" w:rsidRPr="009610AD" w14:paraId="71626A7C" w14:textId="77777777" w:rsidTr="00EB6A7E">
        <w:trPr>
          <w:gridAfter w:val="1"/>
          <w:wAfter w:w="7" w:type="dxa"/>
        </w:trPr>
        <w:tc>
          <w:tcPr>
            <w:tcW w:w="279" w:type="dxa"/>
          </w:tcPr>
          <w:p w14:paraId="7C646F38" w14:textId="5D5DC5C7" w:rsidR="00BB6DE6" w:rsidRPr="009610AD" w:rsidRDefault="00BB6DE6" w:rsidP="00047B0F">
            <w:pPr>
              <w:jc w:val="both"/>
            </w:pPr>
          </w:p>
        </w:tc>
        <w:tc>
          <w:tcPr>
            <w:tcW w:w="9267" w:type="dxa"/>
            <w:gridSpan w:val="2"/>
          </w:tcPr>
          <w:p w14:paraId="74FD1284" w14:textId="78874B9A" w:rsidR="0068248D" w:rsidRPr="009610AD" w:rsidRDefault="0068248D" w:rsidP="00047B0F">
            <w:pPr>
              <w:jc w:val="both"/>
              <w:rPr>
                <w:rFonts w:ascii="Arial" w:hAnsi="Arial" w:cs="Arial"/>
              </w:rPr>
            </w:pPr>
          </w:p>
          <w:p w14:paraId="41946D15" w14:textId="77777777" w:rsidR="00BB6DE6" w:rsidRPr="009610AD" w:rsidRDefault="00BB6DE6" w:rsidP="00BB6DE6">
            <w:pPr>
              <w:jc w:val="both"/>
              <w:rPr>
                <w:rFonts w:ascii="Arial" w:hAnsi="Arial" w:cs="Arial"/>
              </w:rPr>
            </w:pPr>
            <w:r w:rsidRPr="009610AD">
              <w:rPr>
                <w:rFonts w:ascii="Arial" w:hAnsi="Arial"/>
              </w:rPr>
              <w:t>POSTANOWILIŚMY I NINIEJSZYM POSTANAWIAMY:</w:t>
            </w:r>
          </w:p>
          <w:p w14:paraId="2A28917E" w14:textId="77777777" w:rsidR="00037346" w:rsidRPr="009610AD" w:rsidRDefault="00037346" w:rsidP="00047B0F">
            <w:pPr>
              <w:jc w:val="both"/>
            </w:pPr>
          </w:p>
        </w:tc>
      </w:tr>
      <w:tr w:rsidR="0079460A" w:rsidRPr="009610AD" w14:paraId="2A89BFDA" w14:textId="77777777" w:rsidTr="00EB6A7E">
        <w:trPr>
          <w:gridAfter w:val="1"/>
          <w:wAfter w:w="7" w:type="dxa"/>
        </w:trPr>
        <w:tc>
          <w:tcPr>
            <w:tcW w:w="279" w:type="dxa"/>
          </w:tcPr>
          <w:p w14:paraId="2E0B01A6" w14:textId="77777777" w:rsidR="00BB6DE6" w:rsidRPr="009610AD" w:rsidRDefault="00BB6DE6" w:rsidP="00BB6DE6">
            <w:pPr>
              <w:jc w:val="both"/>
              <w:rPr>
                <w:rFonts w:ascii="Arial" w:hAnsi="Arial" w:cs="Arial"/>
                <w:bCs/>
              </w:rPr>
            </w:pPr>
          </w:p>
          <w:p w14:paraId="41C7C6BB" w14:textId="77777777" w:rsidR="00BB6DE6" w:rsidRPr="009610AD" w:rsidRDefault="00BB6DE6" w:rsidP="00BB6DE6">
            <w:pPr>
              <w:jc w:val="both"/>
              <w:rPr>
                <w:rFonts w:ascii="Arial" w:hAnsi="Arial" w:cs="Arial"/>
              </w:rPr>
            </w:pPr>
          </w:p>
          <w:p w14:paraId="28941C63" w14:textId="2D5C16C5" w:rsidR="00BB6DE6" w:rsidRPr="009610AD" w:rsidRDefault="00BB6DE6" w:rsidP="00BB6DE6">
            <w:pPr>
              <w:jc w:val="both"/>
              <w:rPr>
                <w:rFonts w:ascii="Arial" w:hAnsi="Arial" w:cs="Arial"/>
              </w:rPr>
            </w:pPr>
          </w:p>
          <w:p w14:paraId="5511D5CF" w14:textId="77777777" w:rsidR="00BB6DE6" w:rsidRPr="009610AD" w:rsidRDefault="00BB6DE6" w:rsidP="00BB6DE6">
            <w:pPr>
              <w:jc w:val="both"/>
              <w:rPr>
                <w:rFonts w:ascii="Arial" w:hAnsi="Arial" w:cs="Arial"/>
              </w:rPr>
            </w:pPr>
          </w:p>
          <w:p w14:paraId="0A1E90CB" w14:textId="4776ACD5" w:rsidR="00240FFF" w:rsidRPr="009610AD" w:rsidRDefault="00240FFF" w:rsidP="00EB6A7E">
            <w:pPr>
              <w:jc w:val="both"/>
              <w:rPr>
                <w:rFonts w:ascii="Arial" w:hAnsi="Arial" w:cs="Arial"/>
              </w:rPr>
            </w:pPr>
          </w:p>
        </w:tc>
        <w:tc>
          <w:tcPr>
            <w:tcW w:w="9267" w:type="dxa"/>
            <w:gridSpan w:val="2"/>
          </w:tcPr>
          <w:p w14:paraId="07073119" w14:textId="77777777" w:rsidR="00BB6DE6" w:rsidRPr="009610AD" w:rsidRDefault="00BB6DE6" w:rsidP="00BB6DE6">
            <w:pPr>
              <w:jc w:val="both"/>
              <w:rPr>
                <w:rFonts w:ascii="Arial" w:hAnsi="Arial" w:cs="Arial"/>
              </w:rPr>
            </w:pPr>
            <w:r w:rsidRPr="009610AD">
              <w:rPr>
                <w:rFonts w:ascii="Arial" w:hAnsi="Arial"/>
                <w:b/>
              </w:rPr>
              <w:lastRenderedPageBreak/>
              <w:t>Artykuł 2.</w:t>
            </w:r>
            <w:r w:rsidRPr="009610AD">
              <w:rPr>
                <w:rFonts w:ascii="Arial" w:hAnsi="Arial"/>
              </w:rPr>
              <w:t xml:space="preserve"> W załączniku 1 do tego samego Dekretu wprowadza się następujące zmiany:</w:t>
            </w:r>
          </w:p>
          <w:p w14:paraId="39F34BEC" w14:textId="77777777" w:rsidR="00BB6DE6" w:rsidRPr="009610AD" w:rsidRDefault="00BB6DE6" w:rsidP="00BB6DE6">
            <w:pPr>
              <w:jc w:val="both"/>
              <w:rPr>
                <w:rFonts w:ascii="Arial" w:hAnsi="Arial" w:cs="Arial"/>
              </w:rPr>
            </w:pPr>
          </w:p>
          <w:p w14:paraId="45B46D48" w14:textId="77777777" w:rsidR="00BB6DE6" w:rsidRPr="009610AD" w:rsidRDefault="00BB6DE6" w:rsidP="00BB6DE6">
            <w:pPr>
              <w:jc w:val="both"/>
              <w:rPr>
                <w:rFonts w:ascii="Arial" w:hAnsi="Arial" w:cs="Arial"/>
              </w:rPr>
            </w:pPr>
            <w:r w:rsidRPr="009610AD">
              <w:rPr>
                <w:rFonts w:ascii="Arial" w:hAnsi="Arial"/>
              </w:rPr>
              <w:lastRenderedPageBreak/>
              <w:t>1. W księdze 1, część 2, rozdział 2.6, sekcja 2.6.1, między definicjami „obwodu podstawowego” a „obwodu” wprowadza się następującą definicję:</w:t>
            </w:r>
          </w:p>
          <w:p w14:paraId="35D1471D" w14:textId="77777777" w:rsidR="00BB6DE6" w:rsidRPr="009610AD" w:rsidRDefault="00BB6DE6" w:rsidP="00BB6DE6">
            <w:pPr>
              <w:jc w:val="both"/>
              <w:rPr>
                <w:rFonts w:ascii="Arial" w:hAnsi="Arial" w:cs="Arial"/>
              </w:rPr>
            </w:pPr>
          </w:p>
          <w:p w14:paraId="38A1E2DA" w14:textId="11258193" w:rsidR="00BB6DE6" w:rsidRPr="009610AD" w:rsidRDefault="00BB6DE6" w:rsidP="00BB6DE6">
            <w:pPr>
              <w:jc w:val="both"/>
              <w:rPr>
                <w:rFonts w:ascii="Arial" w:hAnsi="Arial" w:cs="Arial"/>
              </w:rPr>
            </w:pPr>
            <w:r w:rsidRPr="009610AD">
              <w:rPr>
                <w:rFonts w:ascii="Arial" w:hAnsi="Arial"/>
              </w:rPr>
              <w:t>”</w:t>
            </w:r>
            <w:r w:rsidRPr="009610AD">
              <w:rPr>
                <w:rFonts w:ascii="Arial" w:hAnsi="Arial"/>
                <w:b/>
                <w:bCs/>
              </w:rPr>
              <w:t>Wyłącznie dedykowany obwód (w niniejszym dokumencie określany również jako Księga obwodu dedykowanego):</w:t>
            </w:r>
            <w:r w:rsidRPr="009610AD">
              <w:rPr>
                <w:rFonts w:ascii="Arial" w:hAnsi="Arial"/>
              </w:rPr>
              <w:t xml:space="preserve"> obwód elementarny (obwód główny lub obwód zaciskowy) przeznaczony do wyłącznego zasilania jednego lub większej liczby urządzeń przeznaczonych do określonego celu”.;</w:t>
            </w:r>
          </w:p>
          <w:p w14:paraId="5255EFF4" w14:textId="77777777" w:rsidR="00BB6DE6" w:rsidRPr="009610AD" w:rsidRDefault="00BB6DE6" w:rsidP="00BB6DE6">
            <w:pPr>
              <w:jc w:val="both"/>
              <w:rPr>
                <w:rFonts w:ascii="Arial" w:hAnsi="Arial" w:cs="Arial"/>
              </w:rPr>
            </w:pPr>
          </w:p>
          <w:p w14:paraId="45E346B2" w14:textId="77777777" w:rsidR="00BB6DE6" w:rsidRPr="009610AD" w:rsidRDefault="00BB6DE6" w:rsidP="00BB6DE6">
            <w:pPr>
              <w:jc w:val="both"/>
              <w:rPr>
                <w:rFonts w:ascii="Arial" w:hAnsi="Arial" w:cs="Arial"/>
              </w:rPr>
            </w:pPr>
            <w:r w:rsidRPr="009610AD">
              <w:rPr>
                <w:rFonts w:ascii="Arial" w:hAnsi="Arial"/>
              </w:rPr>
              <w:t>2. We francuskiej wersji językowej księgi 1 wyrazy „dispositif(s) à courant différentiel résiduel”, „dispositif(s) à courant différentiel-résiduel”, „dispositif(s) de protection à courant différentiel”, „dispositif(s) de protection à courant différentiel résiduel” i „disfortuent dedient” zastępuje się każdorazowo wyrazami „dispositif(s) de protection à courant différentiel-résiduel.”</w:t>
            </w:r>
          </w:p>
          <w:p w14:paraId="3B1BF973" w14:textId="77777777" w:rsidR="00BB6DE6" w:rsidRPr="009610AD" w:rsidRDefault="00BB6DE6" w:rsidP="00BB6DE6">
            <w:pPr>
              <w:jc w:val="both"/>
              <w:rPr>
                <w:rFonts w:ascii="Arial" w:hAnsi="Arial" w:cs="Arial"/>
              </w:rPr>
            </w:pPr>
          </w:p>
          <w:p w14:paraId="3B3D8200" w14:textId="77777777" w:rsidR="00BB6DE6" w:rsidRPr="009610AD" w:rsidRDefault="00BB6DE6" w:rsidP="00BB6DE6">
            <w:pPr>
              <w:jc w:val="both"/>
              <w:rPr>
                <w:rFonts w:ascii="Arial" w:hAnsi="Arial" w:cs="Arial"/>
              </w:rPr>
            </w:pPr>
            <w:r w:rsidRPr="009610AD">
              <w:rPr>
                <w:rFonts w:ascii="Arial" w:hAnsi="Arial"/>
              </w:rPr>
              <w:t>3. W niderlandzkiej wersji językowej księgi 1 wyrazy „differentieelstroominrichting(en)” zastępuje się każdorazowo wyrazami „differentieelstroombeschermings-inrichting(en)”.</w:t>
            </w:r>
          </w:p>
          <w:p w14:paraId="41B10FF1" w14:textId="77777777" w:rsidR="00BB6DE6" w:rsidRPr="009610AD" w:rsidRDefault="00BB6DE6" w:rsidP="00BB6DE6">
            <w:pPr>
              <w:jc w:val="both"/>
              <w:rPr>
                <w:rFonts w:ascii="Arial" w:hAnsi="Arial" w:cs="Arial"/>
              </w:rPr>
            </w:pPr>
          </w:p>
          <w:p w14:paraId="7AAB1598" w14:textId="77777777" w:rsidR="00240FFF" w:rsidRPr="009610AD" w:rsidRDefault="00BB6DE6" w:rsidP="00BB6DE6">
            <w:pPr>
              <w:jc w:val="both"/>
              <w:rPr>
                <w:rFonts w:ascii="Arial" w:hAnsi="Arial" w:cs="Arial"/>
              </w:rPr>
            </w:pPr>
            <w:r w:rsidRPr="009610AD">
              <w:rPr>
                <w:rFonts w:ascii="Arial" w:hAnsi="Arial"/>
              </w:rPr>
              <w:t>4. We francuskiej wersji językowej księgi 1, cześć 5 rozdział 5.2 sekcja 5.2.1, podsekcja 5.2.1.2 ust. 7 wyrazy „circuit(s) exclusivement dédié(s)” zastępuje się każdorazowo wyrazami „circuit(s) dédié(s)”.</w:t>
            </w:r>
          </w:p>
          <w:p w14:paraId="4E430787" w14:textId="77777777" w:rsidR="00BB6DE6" w:rsidRPr="009610AD" w:rsidRDefault="00BB6DE6" w:rsidP="00BB6DE6">
            <w:pPr>
              <w:jc w:val="both"/>
              <w:rPr>
                <w:rFonts w:ascii="Arial" w:hAnsi="Arial" w:cs="Arial"/>
              </w:rPr>
            </w:pPr>
          </w:p>
          <w:p w14:paraId="7C84989C" w14:textId="77777777" w:rsidR="00BB6DE6" w:rsidRPr="009610AD" w:rsidRDefault="00BB6DE6" w:rsidP="00BB6DE6">
            <w:pPr>
              <w:jc w:val="both"/>
              <w:rPr>
                <w:rFonts w:ascii="Arial" w:hAnsi="Arial" w:cs="Arial"/>
              </w:rPr>
            </w:pPr>
            <w:r w:rsidRPr="009610AD">
              <w:rPr>
                <w:rFonts w:ascii="Arial" w:hAnsi="Arial"/>
              </w:rPr>
              <w:t>5. We francuskiej wersji językowej księgi 1, cześć 5 rozdział 5.2 sekcja 5.2.9, podsekcja 5.2.9.13., lit. b.11. i c.11., wyrazy „circuit exclusivement dédié” zastępuje się wyrazami „circuit dédié”.</w:t>
            </w:r>
          </w:p>
          <w:p w14:paraId="05DF9F52" w14:textId="77777777" w:rsidR="00BB6DE6" w:rsidRPr="009610AD" w:rsidRDefault="00BB6DE6" w:rsidP="00BB6DE6">
            <w:pPr>
              <w:jc w:val="both"/>
              <w:rPr>
                <w:rFonts w:ascii="Arial" w:hAnsi="Arial" w:cs="Arial"/>
              </w:rPr>
            </w:pPr>
          </w:p>
          <w:p w14:paraId="6EEFCFFF" w14:textId="77777777" w:rsidR="00BB6DE6" w:rsidRPr="009610AD" w:rsidRDefault="00BB6DE6" w:rsidP="00BB6DE6">
            <w:pPr>
              <w:jc w:val="both"/>
              <w:rPr>
                <w:rFonts w:ascii="Arial" w:hAnsi="Arial" w:cs="Arial"/>
              </w:rPr>
            </w:pPr>
            <w:r w:rsidRPr="009610AD">
              <w:rPr>
                <w:rFonts w:ascii="Arial" w:hAnsi="Arial"/>
              </w:rPr>
              <w:t>6. W niderlandzkiej wersji językowej księgi 1, cześć 5 rozdział 5.2 sekcja 5.2.1, podsekcja 5.2.1.2 ust. 7 wyrazy „exclusief toegekende stroombaan (stroombanen)” zastępuje się wyrazami „toegekende stroombaan (stroombanen)”;</w:t>
            </w:r>
          </w:p>
          <w:p w14:paraId="010B6738" w14:textId="77777777" w:rsidR="00BB6DE6" w:rsidRPr="009610AD" w:rsidRDefault="00BB6DE6" w:rsidP="00BB6DE6">
            <w:pPr>
              <w:jc w:val="both"/>
              <w:rPr>
                <w:rFonts w:ascii="Arial" w:hAnsi="Arial" w:cs="Arial"/>
              </w:rPr>
            </w:pPr>
          </w:p>
          <w:p w14:paraId="2D83934E" w14:textId="77777777" w:rsidR="00BB6DE6" w:rsidRPr="009610AD" w:rsidRDefault="00BB6DE6" w:rsidP="00BB6DE6">
            <w:pPr>
              <w:jc w:val="both"/>
              <w:rPr>
                <w:rFonts w:ascii="Arial" w:hAnsi="Arial" w:cs="Arial"/>
              </w:rPr>
            </w:pPr>
            <w:r w:rsidRPr="009610AD">
              <w:rPr>
                <w:rFonts w:ascii="Arial" w:hAnsi="Arial"/>
              </w:rPr>
              <w:t>7. W niderlandzkiej wersji językowej księgi 1, część 5 rozdział 5.2, sekcja 5.2.9, podsekcja 5.2.9.13., lit. b.11. i c.11. wyrazy „gescheiden stroombaan” zastępuje się wyrazami „toegekende stroombaan”.</w:t>
            </w:r>
          </w:p>
          <w:p w14:paraId="2BB6E783" w14:textId="77777777" w:rsidR="00BB6DE6" w:rsidRPr="009610AD" w:rsidRDefault="00BB6DE6" w:rsidP="00BB6DE6">
            <w:pPr>
              <w:jc w:val="both"/>
              <w:rPr>
                <w:rFonts w:ascii="Arial" w:hAnsi="Arial" w:cs="Arial"/>
              </w:rPr>
            </w:pPr>
          </w:p>
          <w:p w14:paraId="22DC5935" w14:textId="77777777" w:rsidR="00BB6DE6" w:rsidRPr="009610AD" w:rsidRDefault="00BB6DE6" w:rsidP="00BB6DE6">
            <w:pPr>
              <w:jc w:val="both"/>
              <w:rPr>
                <w:rFonts w:ascii="Arial" w:hAnsi="Arial" w:cs="Arial"/>
              </w:rPr>
            </w:pPr>
            <w:r w:rsidRPr="009610AD">
              <w:rPr>
                <w:rFonts w:ascii="Arial" w:hAnsi="Arial"/>
              </w:rPr>
              <w:t>8. W niderlandzkiej wersji językowej księgi 1, część 5 rozdział 5.5, sekcja 5.5.7, podsekcja 5.5.7.2., ust. 5 i 6, wyrazy „afzonderlijke stroombaan (stroombanen)” zastępuje się wyrazami „toegekende stroombaan (stroombanen)”.</w:t>
            </w:r>
          </w:p>
          <w:p w14:paraId="7A570275" w14:textId="77777777" w:rsidR="00BB6DE6" w:rsidRPr="009610AD" w:rsidRDefault="00BB6DE6" w:rsidP="00BB6DE6">
            <w:pPr>
              <w:jc w:val="both"/>
              <w:rPr>
                <w:rFonts w:ascii="Arial" w:hAnsi="Arial" w:cs="Arial"/>
              </w:rPr>
            </w:pPr>
          </w:p>
          <w:p w14:paraId="6A2BB9F4" w14:textId="77062D89" w:rsidR="00BB6DE6" w:rsidRPr="009610AD" w:rsidRDefault="00BB6DE6" w:rsidP="00BB6DE6">
            <w:pPr>
              <w:jc w:val="both"/>
              <w:rPr>
                <w:rFonts w:ascii="Arial" w:hAnsi="Arial" w:cs="Arial"/>
              </w:rPr>
            </w:pPr>
            <w:r w:rsidRPr="009610AD">
              <w:rPr>
                <w:rFonts w:ascii="Arial" w:hAnsi="Arial"/>
              </w:rPr>
              <w:t>9. W niderlandzkiej wersji językowej księgi 1, część 5 rozdział 5.6, sekcja 5.6.2, podsekcja 5.6.2.1., ust. 3 i 4,, wyrazy „afzonderlijke stroombaan (stroombanen)” zastępuje się wyrazami „afzonderlijke stroombaan (stroombanen)”.</w:t>
            </w:r>
          </w:p>
        </w:tc>
      </w:tr>
      <w:tr w:rsidR="0079460A" w:rsidRPr="009610AD" w14:paraId="6433AE65" w14:textId="77777777" w:rsidTr="00EB6A7E">
        <w:trPr>
          <w:gridAfter w:val="1"/>
          <w:wAfter w:w="7" w:type="dxa"/>
        </w:trPr>
        <w:tc>
          <w:tcPr>
            <w:tcW w:w="279" w:type="dxa"/>
          </w:tcPr>
          <w:p w14:paraId="6E051D29" w14:textId="7A9E3070" w:rsidR="0068248D" w:rsidRPr="009610AD" w:rsidRDefault="0068248D" w:rsidP="00E3501E">
            <w:pPr>
              <w:jc w:val="both"/>
              <w:rPr>
                <w:rFonts w:ascii="Arial" w:hAnsi="Arial" w:cs="Arial"/>
                <w:b/>
              </w:rPr>
            </w:pPr>
          </w:p>
          <w:p w14:paraId="24A873D7" w14:textId="47EF5DA5" w:rsidR="00A56B0F" w:rsidRPr="009610AD" w:rsidRDefault="00A56B0F" w:rsidP="00EB6A7E">
            <w:pPr>
              <w:jc w:val="both"/>
            </w:pPr>
          </w:p>
        </w:tc>
        <w:tc>
          <w:tcPr>
            <w:tcW w:w="9267" w:type="dxa"/>
            <w:gridSpan w:val="2"/>
          </w:tcPr>
          <w:p w14:paraId="3B8E48C3" w14:textId="5860A565" w:rsidR="0068248D" w:rsidRPr="009610AD" w:rsidRDefault="0068248D" w:rsidP="00E3501E">
            <w:pPr>
              <w:jc w:val="both"/>
              <w:rPr>
                <w:rFonts w:ascii="Arial" w:hAnsi="Arial" w:cs="Arial"/>
                <w:b/>
                <w:bCs/>
              </w:rPr>
            </w:pPr>
          </w:p>
          <w:p w14:paraId="44E866E5" w14:textId="77777777" w:rsidR="00BB6DE6" w:rsidRPr="009610AD" w:rsidRDefault="00BB6DE6" w:rsidP="00BB6DE6">
            <w:pPr>
              <w:jc w:val="both"/>
              <w:rPr>
                <w:rFonts w:ascii="Arial" w:hAnsi="Arial" w:cs="Arial"/>
              </w:rPr>
            </w:pPr>
            <w:r w:rsidRPr="009610AD">
              <w:rPr>
                <w:rFonts w:ascii="Arial" w:hAnsi="Arial"/>
                <w:b/>
              </w:rPr>
              <w:t>Artykuł 3.</w:t>
            </w:r>
            <w:r w:rsidRPr="009610AD">
              <w:rPr>
                <w:rFonts w:ascii="Arial" w:hAnsi="Arial"/>
              </w:rPr>
              <w:t xml:space="preserve"> W załączniku 3 do tego samego Dekretu wprowadza się następujące zmiany:</w:t>
            </w:r>
          </w:p>
          <w:p w14:paraId="22C044DF" w14:textId="77777777" w:rsidR="00BB6DE6" w:rsidRPr="009610AD" w:rsidRDefault="00BB6DE6" w:rsidP="00BB6DE6">
            <w:pPr>
              <w:jc w:val="both"/>
              <w:rPr>
                <w:rFonts w:ascii="Arial" w:hAnsi="Arial" w:cs="Arial"/>
              </w:rPr>
            </w:pPr>
          </w:p>
          <w:p w14:paraId="451EE525" w14:textId="77777777" w:rsidR="00BB6DE6" w:rsidRPr="009610AD" w:rsidRDefault="00BB6DE6" w:rsidP="00BB6DE6">
            <w:pPr>
              <w:jc w:val="both"/>
              <w:rPr>
                <w:rFonts w:ascii="Arial" w:hAnsi="Arial" w:cs="Arial"/>
              </w:rPr>
            </w:pPr>
            <w:r w:rsidRPr="009610AD">
              <w:rPr>
                <w:rFonts w:ascii="Arial" w:hAnsi="Arial"/>
              </w:rPr>
              <w:t>1. W księdze 3, część 2, rozdział 2.6, sekcja 2.6.1, podsekcja 2.6.1.1, pomiędzy definicjami „obwodu podstawowego” a „obwodu” dodaje się następującą definicję:</w:t>
            </w:r>
          </w:p>
          <w:p w14:paraId="4D4996E1" w14:textId="77777777" w:rsidR="00BB6DE6" w:rsidRPr="009610AD" w:rsidRDefault="00BB6DE6" w:rsidP="00BB6DE6">
            <w:pPr>
              <w:jc w:val="both"/>
              <w:rPr>
                <w:rFonts w:ascii="Arial" w:hAnsi="Arial" w:cs="Arial"/>
              </w:rPr>
            </w:pPr>
          </w:p>
          <w:p w14:paraId="1B2E18CC" w14:textId="66E8B014" w:rsidR="00BB6DE6" w:rsidRPr="009610AD" w:rsidRDefault="00BB6DE6" w:rsidP="00BB6DE6">
            <w:pPr>
              <w:jc w:val="both"/>
              <w:rPr>
                <w:rFonts w:ascii="Arial" w:hAnsi="Arial" w:cs="Arial"/>
              </w:rPr>
            </w:pPr>
            <w:r w:rsidRPr="009610AD">
              <w:rPr>
                <w:rFonts w:ascii="Arial" w:hAnsi="Arial"/>
              </w:rPr>
              <w:t>„</w:t>
            </w:r>
            <w:r w:rsidRPr="009610AD">
              <w:rPr>
                <w:rFonts w:ascii="Arial" w:hAnsi="Arial"/>
                <w:b/>
                <w:bCs/>
              </w:rPr>
              <w:t>Wyłącznie dedykowany obwód (w niniejszym dokumencie określany również jako Księga obwodu dedykowanego):</w:t>
            </w:r>
            <w:r w:rsidRPr="009610AD">
              <w:rPr>
                <w:rFonts w:ascii="Arial" w:hAnsi="Arial"/>
              </w:rPr>
              <w:t xml:space="preserve"> obwód elementarny (obwód główny lub obwód zaciskowy) przeznaczony do wyłącznego zasilania jednego lub większej liczby urządzeń przeznaczonych do określonego celu”.;</w:t>
            </w:r>
          </w:p>
          <w:p w14:paraId="2DBFECA1" w14:textId="77777777" w:rsidR="00BB6DE6" w:rsidRPr="009610AD" w:rsidRDefault="00BB6DE6" w:rsidP="00BB6DE6">
            <w:pPr>
              <w:jc w:val="both"/>
              <w:rPr>
                <w:rFonts w:ascii="Arial" w:hAnsi="Arial" w:cs="Arial"/>
              </w:rPr>
            </w:pPr>
          </w:p>
          <w:p w14:paraId="36E5B26F" w14:textId="77777777" w:rsidR="00BB6DE6" w:rsidRPr="009610AD" w:rsidRDefault="00BB6DE6" w:rsidP="00BB6DE6">
            <w:pPr>
              <w:jc w:val="both"/>
              <w:rPr>
                <w:rFonts w:ascii="Arial" w:hAnsi="Arial" w:cs="Arial"/>
              </w:rPr>
            </w:pPr>
            <w:r w:rsidRPr="009610AD">
              <w:rPr>
                <w:rFonts w:ascii="Arial" w:hAnsi="Arial"/>
              </w:rPr>
              <w:t>2. We francuskiej wersji językowej księgi 3 wyrazy „dispositif(s) à courant différentiel résiduel”, „dispositif(s) à courant différentiel-résiduel”, „dispositif(s) de protection à courant différentiel”, „dispositif(s) de protection à courant différentiel résiduel” i „disfortuent dedient” zastępuje się każdorazowo wyrazami „dispositif(s) de protection à courant différentiel-résiduel.”</w:t>
            </w:r>
          </w:p>
          <w:p w14:paraId="24FB0CEA" w14:textId="77777777" w:rsidR="00BB6DE6" w:rsidRPr="009610AD" w:rsidRDefault="00BB6DE6" w:rsidP="00BB6DE6">
            <w:pPr>
              <w:jc w:val="both"/>
              <w:rPr>
                <w:rFonts w:ascii="Arial" w:hAnsi="Arial" w:cs="Arial"/>
              </w:rPr>
            </w:pPr>
          </w:p>
          <w:p w14:paraId="4E2B3683" w14:textId="6A79C071" w:rsidR="00BB6DE6" w:rsidRPr="009610AD" w:rsidRDefault="00BB6DE6" w:rsidP="00BB6DE6">
            <w:pPr>
              <w:jc w:val="both"/>
              <w:rPr>
                <w:rFonts w:ascii="Arial" w:hAnsi="Arial" w:cs="Arial"/>
              </w:rPr>
            </w:pPr>
            <w:r w:rsidRPr="009610AD">
              <w:rPr>
                <w:rFonts w:ascii="Arial" w:hAnsi="Arial"/>
              </w:rPr>
              <w:lastRenderedPageBreak/>
              <w:t>3. W niderlandzkiej wersji językowej księgi 3 wyrazy „differentieelstroominrichting(en))” i „differentieelinrichting” zastępuje się każdorazowo wyrazami „differentieelstroombeschermingsinrichting(en)”.</w:t>
            </w:r>
          </w:p>
          <w:p w14:paraId="5A0E3616" w14:textId="77777777" w:rsidR="00BB6DE6" w:rsidRPr="009610AD" w:rsidRDefault="00BB6DE6" w:rsidP="00BB6DE6">
            <w:pPr>
              <w:jc w:val="both"/>
              <w:rPr>
                <w:rFonts w:ascii="Arial" w:hAnsi="Arial" w:cs="Arial"/>
              </w:rPr>
            </w:pPr>
            <w:r w:rsidRPr="009610AD">
              <w:rPr>
                <w:rFonts w:ascii="Arial" w:hAnsi="Arial"/>
              </w:rPr>
              <w:t>4. W niderlandzkiej wersji językowej księgi 3, część 5 rozdział 5.6, sekcja 5.6.7, podsekcja 5.6.7.2., ust. 5 i 6, wyrazy „afzonderlijke stroombaan (stroombanen)” zastępuje się wyrazami „toegekende stroombaan (stroombanen)”.</w:t>
            </w:r>
          </w:p>
          <w:p w14:paraId="6E3DD9B5" w14:textId="77777777" w:rsidR="00BB6DE6" w:rsidRPr="009610AD" w:rsidRDefault="00BB6DE6" w:rsidP="00BB6DE6">
            <w:pPr>
              <w:jc w:val="both"/>
              <w:rPr>
                <w:rFonts w:ascii="Arial" w:hAnsi="Arial" w:cs="Arial"/>
              </w:rPr>
            </w:pPr>
          </w:p>
          <w:p w14:paraId="334B8438" w14:textId="77777777" w:rsidR="00D01267" w:rsidRPr="009610AD" w:rsidRDefault="00BB6DE6" w:rsidP="00BB6DE6">
            <w:pPr>
              <w:jc w:val="both"/>
              <w:rPr>
                <w:rFonts w:ascii="Arial" w:hAnsi="Arial"/>
              </w:rPr>
            </w:pPr>
            <w:r w:rsidRPr="009610AD">
              <w:rPr>
                <w:rFonts w:ascii="Arial" w:hAnsi="Arial"/>
              </w:rPr>
              <w:t>5. W niderlandzkiej wersji językowej księgi 3, część 5 rozdział 5.7, sekcja 5.7.2, podsekcja 5.7.2.1, ust. 3 i 4, wyrazy „afzonderlijke stroombaan (stroombanen)” zastępuje się wyrazami „toegekende stroombaan (stroombanen)”.</w:t>
            </w:r>
          </w:p>
          <w:p w14:paraId="40785A79" w14:textId="07B7DAA4" w:rsidR="009610AD" w:rsidRPr="009610AD" w:rsidRDefault="009610AD" w:rsidP="00BB6DE6">
            <w:pPr>
              <w:jc w:val="both"/>
              <w:rPr>
                <w:rFonts w:ascii="Arial" w:hAnsi="Arial" w:cs="Arial"/>
              </w:rPr>
            </w:pPr>
          </w:p>
        </w:tc>
      </w:tr>
      <w:tr w:rsidR="0079460A" w:rsidRPr="009610AD" w14:paraId="77ED93EF" w14:textId="77777777" w:rsidTr="00EB6A7E">
        <w:trPr>
          <w:gridAfter w:val="1"/>
          <w:wAfter w:w="7" w:type="dxa"/>
        </w:trPr>
        <w:tc>
          <w:tcPr>
            <w:tcW w:w="279" w:type="dxa"/>
          </w:tcPr>
          <w:p w14:paraId="10B15663" w14:textId="346F6C7C" w:rsidR="009B74FF" w:rsidRPr="009610AD" w:rsidRDefault="009B74FF" w:rsidP="00BB6DE6">
            <w:pPr>
              <w:jc w:val="both"/>
            </w:pPr>
          </w:p>
        </w:tc>
        <w:tc>
          <w:tcPr>
            <w:tcW w:w="9267" w:type="dxa"/>
            <w:gridSpan w:val="2"/>
          </w:tcPr>
          <w:p w14:paraId="14BBA6E0" w14:textId="77C1812A" w:rsidR="00BB6DE6" w:rsidRPr="009610AD" w:rsidRDefault="00BB6DE6" w:rsidP="00BB6DE6">
            <w:pPr>
              <w:jc w:val="both"/>
              <w:rPr>
                <w:rFonts w:ascii="Arial" w:hAnsi="Arial" w:cs="Arial"/>
                <w:color w:val="000000" w:themeColor="text1"/>
              </w:rPr>
            </w:pPr>
            <w:r w:rsidRPr="009610AD">
              <w:rPr>
                <w:rFonts w:ascii="Arial" w:hAnsi="Arial"/>
                <w:b/>
              </w:rPr>
              <w:t>Artykuł 4.</w:t>
            </w:r>
            <w:r w:rsidRPr="009610AD">
              <w:rPr>
                <w:rFonts w:ascii="Arial" w:hAnsi="Arial"/>
              </w:rPr>
              <w:t xml:space="preserve"> Niniejszy Dekret wchodzi w życie pierwszego dnia trzeciego miesiąca po jego opublikowaniu w Dzienniku Urzędowym Belgii.</w:t>
            </w:r>
          </w:p>
          <w:p w14:paraId="3B885339" w14:textId="3C3A1DED" w:rsidR="0068248D" w:rsidRPr="009610AD" w:rsidRDefault="0068248D" w:rsidP="002530B5">
            <w:pPr>
              <w:jc w:val="both"/>
            </w:pPr>
          </w:p>
        </w:tc>
      </w:tr>
      <w:tr w:rsidR="0079460A" w:rsidRPr="009610AD" w14:paraId="48A32BDC" w14:textId="77777777" w:rsidTr="00EB6A7E">
        <w:trPr>
          <w:gridAfter w:val="1"/>
          <w:wAfter w:w="7" w:type="dxa"/>
        </w:trPr>
        <w:tc>
          <w:tcPr>
            <w:tcW w:w="279" w:type="dxa"/>
          </w:tcPr>
          <w:p w14:paraId="70513D0B" w14:textId="09DCC399" w:rsidR="002530B5" w:rsidRPr="009610AD" w:rsidRDefault="002530B5" w:rsidP="002530B5">
            <w:pPr>
              <w:jc w:val="both"/>
              <w:rPr>
                <w:rFonts w:ascii="Arial" w:hAnsi="Arial" w:cs="Arial"/>
                <w:b/>
              </w:rPr>
            </w:pPr>
          </w:p>
        </w:tc>
        <w:tc>
          <w:tcPr>
            <w:tcW w:w="9267" w:type="dxa"/>
            <w:gridSpan w:val="2"/>
          </w:tcPr>
          <w:p w14:paraId="779FCDB2" w14:textId="32EEBE81" w:rsidR="002530B5" w:rsidRPr="009610AD" w:rsidRDefault="00BB6DE6" w:rsidP="002530B5">
            <w:pPr>
              <w:jc w:val="both"/>
              <w:rPr>
                <w:rFonts w:ascii="Arial" w:hAnsi="Arial" w:cs="Arial"/>
                <w:b/>
              </w:rPr>
            </w:pPr>
            <w:r w:rsidRPr="009610AD">
              <w:rPr>
                <w:rFonts w:ascii="Arial" w:hAnsi="Arial"/>
                <w:b/>
              </w:rPr>
              <w:t xml:space="preserve">Artykuł 5. </w:t>
            </w:r>
            <w:r w:rsidRPr="009610AD">
              <w:rPr>
                <w:rFonts w:ascii="Arial" w:hAnsi="Arial"/>
              </w:rPr>
              <w:t>Za wykonanie niniejszego dekretu odpowiedzialni są Minister ds. pracy i Minister ds. energii są odpowiedzialni w zakresie, w jakim ich to dotyczy.</w:t>
            </w:r>
          </w:p>
        </w:tc>
      </w:tr>
      <w:tr w:rsidR="0079460A" w:rsidRPr="009610AD" w14:paraId="14FC949F" w14:textId="77777777" w:rsidTr="00EB6A7E">
        <w:trPr>
          <w:gridAfter w:val="1"/>
          <w:wAfter w:w="7" w:type="dxa"/>
        </w:trPr>
        <w:tc>
          <w:tcPr>
            <w:tcW w:w="279" w:type="dxa"/>
          </w:tcPr>
          <w:p w14:paraId="221228AA" w14:textId="483307AA" w:rsidR="002530B5" w:rsidRPr="009610AD" w:rsidRDefault="002530B5" w:rsidP="002530B5">
            <w:pPr>
              <w:jc w:val="both"/>
              <w:rPr>
                <w:rFonts w:ascii="Arial" w:hAnsi="Arial" w:cs="Arial"/>
                <w:b/>
              </w:rPr>
            </w:pPr>
          </w:p>
        </w:tc>
        <w:tc>
          <w:tcPr>
            <w:tcW w:w="9267" w:type="dxa"/>
            <w:gridSpan w:val="2"/>
          </w:tcPr>
          <w:p w14:paraId="25BE6A31" w14:textId="37E4947B" w:rsidR="002530B5" w:rsidRPr="009610AD" w:rsidRDefault="00BB6DE6" w:rsidP="00BB6DE6">
            <w:pPr>
              <w:rPr>
                <w:rFonts w:ascii="Arial" w:hAnsi="Arial" w:cs="Arial"/>
                <w:b/>
              </w:rPr>
            </w:pPr>
            <w:r w:rsidRPr="009610AD">
              <w:rPr>
                <w:rFonts w:ascii="Arial" w:hAnsi="Arial"/>
              </w:rPr>
              <w:t>Wydane</w:t>
            </w:r>
          </w:p>
        </w:tc>
      </w:tr>
      <w:tr w:rsidR="0079460A" w:rsidRPr="009610AD" w14:paraId="163729DC" w14:textId="77777777" w:rsidTr="00EB6A7E">
        <w:trPr>
          <w:gridAfter w:val="1"/>
          <w:wAfter w:w="7" w:type="dxa"/>
        </w:trPr>
        <w:tc>
          <w:tcPr>
            <w:tcW w:w="279" w:type="dxa"/>
          </w:tcPr>
          <w:p w14:paraId="38DE61CB" w14:textId="77777777" w:rsidR="002530B5" w:rsidRPr="009610AD" w:rsidRDefault="002530B5" w:rsidP="002530B5">
            <w:pPr>
              <w:jc w:val="both"/>
              <w:rPr>
                <w:rFonts w:ascii="Arial" w:hAnsi="Arial" w:cs="Arial"/>
                <w:b/>
                <w:lang w:val="nl-NL"/>
              </w:rPr>
            </w:pPr>
          </w:p>
        </w:tc>
        <w:tc>
          <w:tcPr>
            <w:tcW w:w="9267" w:type="dxa"/>
            <w:gridSpan w:val="2"/>
          </w:tcPr>
          <w:p w14:paraId="465A6DE8" w14:textId="77777777" w:rsidR="002530B5" w:rsidRPr="009610AD" w:rsidRDefault="002530B5" w:rsidP="002530B5">
            <w:pPr>
              <w:jc w:val="both"/>
              <w:rPr>
                <w:rFonts w:ascii="Arial" w:hAnsi="Arial" w:cs="Arial"/>
                <w:b/>
                <w:lang w:val="nl-BE"/>
              </w:rPr>
            </w:pPr>
          </w:p>
        </w:tc>
      </w:tr>
      <w:tr w:rsidR="0079460A" w:rsidRPr="009610AD" w14:paraId="031B1352" w14:textId="77777777" w:rsidTr="00EB6A7E">
        <w:trPr>
          <w:gridAfter w:val="1"/>
          <w:wAfter w:w="7" w:type="dxa"/>
        </w:trPr>
        <w:tc>
          <w:tcPr>
            <w:tcW w:w="279" w:type="dxa"/>
          </w:tcPr>
          <w:p w14:paraId="5D4DA8D3" w14:textId="77777777" w:rsidR="002530B5" w:rsidRPr="009610AD" w:rsidRDefault="002530B5" w:rsidP="002530B5">
            <w:pPr>
              <w:jc w:val="both"/>
              <w:rPr>
                <w:rFonts w:ascii="Arial" w:hAnsi="Arial" w:cs="Arial"/>
                <w:b/>
                <w:lang w:val="nl-NL"/>
              </w:rPr>
            </w:pPr>
          </w:p>
        </w:tc>
        <w:tc>
          <w:tcPr>
            <w:tcW w:w="9267" w:type="dxa"/>
            <w:gridSpan w:val="2"/>
          </w:tcPr>
          <w:p w14:paraId="07528092" w14:textId="77777777" w:rsidR="002530B5" w:rsidRPr="009610AD" w:rsidRDefault="002530B5" w:rsidP="002530B5">
            <w:pPr>
              <w:jc w:val="both"/>
              <w:rPr>
                <w:rFonts w:ascii="Arial" w:hAnsi="Arial" w:cs="Arial"/>
                <w:b/>
                <w:lang w:val="nl-BE"/>
              </w:rPr>
            </w:pPr>
          </w:p>
        </w:tc>
      </w:tr>
      <w:tr w:rsidR="0079460A" w:rsidRPr="009610AD" w14:paraId="71C2D5EF" w14:textId="77777777" w:rsidTr="00EB6A7E">
        <w:trPr>
          <w:gridAfter w:val="1"/>
          <w:wAfter w:w="7" w:type="dxa"/>
        </w:trPr>
        <w:tc>
          <w:tcPr>
            <w:tcW w:w="279" w:type="dxa"/>
          </w:tcPr>
          <w:p w14:paraId="40C0DFB2" w14:textId="77777777" w:rsidR="002530B5" w:rsidRPr="009610AD" w:rsidRDefault="002530B5" w:rsidP="002530B5">
            <w:pPr>
              <w:jc w:val="both"/>
              <w:rPr>
                <w:rFonts w:ascii="Arial" w:hAnsi="Arial" w:cs="Arial"/>
                <w:b/>
                <w:lang w:val="nl-NL"/>
              </w:rPr>
            </w:pPr>
          </w:p>
        </w:tc>
        <w:tc>
          <w:tcPr>
            <w:tcW w:w="9267" w:type="dxa"/>
            <w:gridSpan w:val="2"/>
          </w:tcPr>
          <w:p w14:paraId="42527E44" w14:textId="77777777" w:rsidR="002530B5" w:rsidRPr="009610AD" w:rsidRDefault="002530B5" w:rsidP="002530B5">
            <w:pPr>
              <w:jc w:val="both"/>
              <w:rPr>
                <w:rFonts w:ascii="Arial" w:hAnsi="Arial" w:cs="Arial"/>
                <w:b/>
                <w:lang w:val="nl-BE"/>
              </w:rPr>
            </w:pPr>
          </w:p>
        </w:tc>
      </w:tr>
      <w:tr w:rsidR="0079460A" w:rsidRPr="009610AD" w14:paraId="15F534A9" w14:textId="77777777" w:rsidTr="00EB6A7E">
        <w:trPr>
          <w:gridAfter w:val="1"/>
          <w:wAfter w:w="7" w:type="dxa"/>
        </w:trPr>
        <w:tc>
          <w:tcPr>
            <w:tcW w:w="279" w:type="dxa"/>
          </w:tcPr>
          <w:p w14:paraId="5A058918" w14:textId="77777777" w:rsidR="002530B5" w:rsidRPr="009610AD" w:rsidRDefault="002530B5" w:rsidP="002530B5">
            <w:pPr>
              <w:jc w:val="both"/>
              <w:rPr>
                <w:rFonts w:ascii="Arial" w:hAnsi="Arial" w:cs="Arial"/>
                <w:b/>
                <w:lang w:val="nl-NL"/>
              </w:rPr>
            </w:pPr>
          </w:p>
          <w:p w14:paraId="5BB643EE" w14:textId="4A74A3C4" w:rsidR="009B74FF" w:rsidRPr="009610AD" w:rsidRDefault="009B74FF" w:rsidP="002530B5">
            <w:pPr>
              <w:jc w:val="both"/>
              <w:rPr>
                <w:rFonts w:ascii="Arial" w:hAnsi="Arial" w:cs="Arial"/>
                <w:b/>
                <w:lang w:val="nl-NL"/>
              </w:rPr>
            </w:pPr>
          </w:p>
          <w:p w14:paraId="77BB6D7E" w14:textId="1F564A43" w:rsidR="00F55AB2" w:rsidRPr="009610AD" w:rsidRDefault="00F55AB2" w:rsidP="002530B5">
            <w:pPr>
              <w:jc w:val="both"/>
              <w:rPr>
                <w:rFonts w:ascii="Arial" w:hAnsi="Arial" w:cs="Arial"/>
                <w:b/>
                <w:lang w:val="nl-NL"/>
              </w:rPr>
            </w:pPr>
          </w:p>
          <w:p w14:paraId="4C6BB458" w14:textId="5BA1C870" w:rsidR="00F55AB2" w:rsidRPr="009610AD" w:rsidRDefault="00F55AB2" w:rsidP="002530B5">
            <w:pPr>
              <w:jc w:val="both"/>
              <w:rPr>
                <w:rFonts w:ascii="Arial" w:hAnsi="Arial" w:cs="Arial"/>
                <w:b/>
                <w:lang w:val="nl-NL"/>
              </w:rPr>
            </w:pPr>
          </w:p>
          <w:p w14:paraId="54DE01EF" w14:textId="4D743AAC" w:rsidR="00F55AB2" w:rsidRPr="009610AD" w:rsidRDefault="00F55AB2" w:rsidP="002530B5">
            <w:pPr>
              <w:jc w:val="both"/>
              <w:rPr>
                <w:rFonts w:ascii="Arial" w:hAnsi="Arial" w:cs="Arial"/>
                <w:b/>
                <w:lang w:val="nl-NL"/>
              </w:rPr>
            </w:pPr>
          </w:p>
          <w:p w14:paraId="5A962CDB" w14:textId="2169322A" w:rsidR="009B74FF" w:rsidRPr="009610AD" w:rsidRDefault="009B74FF" w:rsidP="002530B5">
            <w:pPr>
              <w:jc w:val="both"/>
              <w:rPr>
                <w:rFonts w:ascii="Arial" w:hAnsi="Arial" w:cs="Arial"/>
                <w:b/>
                <w:lang w:val="nl-NL"/>
              </w:rPr>
            </w:pPr>
          </w:p>
        </w:tc>
        <w:tc>
          <w:tcPr>
            <w:tcW w:w="9267" w:type="dxa"/>
            <w:gridSpan w:val="2"/>
          </w:tcPr>
          <w:p w14:paraId="4E43B14A" w14:textId="77777777" w:rsidR="002530B5" w:rsidRPr="009610AD" w:rsidRDefault="002530B5" w:rsidP="002530B5">
            <w:pPr>
              <w:jc w:val="both"/>
              <w:rPr>
                <w:rFonts w:ascii="Arial" w:hAnsi="Arial" w:cs="Arial"/>
                <w:b/>
                <w:lang w:val="nl-BE"/>
              </w:rPr>
            </w:pPr>
          </w:p>
        </w:tc>
      </w:tr>
      <w:tr w:rsidR="0079460A" w:rsidRPr="009610AD" w14:paraId="5831AFF6" w14:textId="77777777" w:rsidTr="00EB6A7E">
        <w:trPr>
          <w:gridAfter w:val="1"/>
          <w:wAfter w:w="7" w:type="dxa"/>
        </w:trPr>
        <w:tc>
          <w:tcPr>
            <w:tcW w:w="279" w:type="dxa"/>
          </w:tcPr>
          <w:p w14:paraId="7AF1E386" w14:textId="77777777" w:rsidR="002530B5" w:rsidRPr="009610AD" w:rsidRDefault="002530B5" w:rsidP="002530B5">
            <w:pPr>
              <w:jc w:val="both"/>
              <w:rPr>
                <w:rFonts w:ascii="Arial" w:hAnsi="Arial" w:cs="Arial"/>
                <w:b/>
                <w:lang w:val="nl-NL"/>
              </w:rPr>
            </w:pPr>
          </w:p>
          <w:p w14:paraId="7F225597" w14:textId="77777777" w:rsidR="00BA186D" w:rsidRPr="009610AD" w:rsidRDefault="00BA186D" w:rsidP="002530B5">
            <w:pPr>
              <w:jc w:val="both"/>
              <w:rPr>
                <w:rFonts w:ascii="Arial" w:hAnsi="Arial" w:cs="Arial"/>
                <w:b/>
                <w:lang w:val="nl-NL"/>
              </w:rPr>
            </w:pPr>
          </w:p>
        </w:tc>
        <w:tc>
          <w:tcPr>
            <w:tcW w:w="9267" w:type="dxa"/>
            <w:gridSpan w:val="2"/>
          </w:tcPr>
          <w:p w14:paraId="633A8CA0" w14:textId="77777777" w:rsidR="002530B5" w:rsidRPr="009610AD" w:rsidRDefault="002530B5" w:rsidP="002530B5">
            <w:pPr>
              <w:jc w:val="both"/>
              <w:rPr>
                <w:rFonts w:ascii="Arial" w:hAnsi="Arial" w:cs="Arial"/>
                <w:b/>
                <w:lang w:val="nl-BE"/>
              </w:rPr>
            </w:pPr>
          </w:p>
        </w:tc>
      </w:tr>
      <w:tr w:rsidR="0079460A" w:rsidRPr="009610AD" w14:paraId="071A2F21" w14:textId="77777777" w:rsidTr="00EB6A7E">
        <w:trPr>
          <w:gridAfter w:val="1"/>
          <w:wAfter w:w="7" w:type="dxa"/>
        </w:trPr>
        <w:tc>
          <w:tcPr>
            <w:tcW w:w="279" w:type="dxa"/>
          </w:tcPr>
          <w:p w14:paraId="6AEE26F7" w14:textId="2ED14078" w:rsidR="009B74FF" w:rsidRPr="009610AD" w:rsidRDefault="009B74FF" w:rsidP="000F0B2C">
            <w:pPr>
              <w:jc w:val="center"/>
              <w:rPr>
                <w:rFonts w:ascii="Arial" w:hAnsi="Arial" w:cs="Arial"/>
                <w:lang w:val="nl-NL"/>
              </w:rPr>
            </w:pPr>
          </w:p>
        </w:tc>
        <w:tc>
          <w:tcPr>
            <w:tcW w:w="9267" w:type="dxa"/>
            <w:gridSpan w:val="2"/>
          </w:tcPr>
          <w:p w14:paraId="4D59BFA6" w14:textId="08995E03" w:rsidR="002530B5" w:rsidRPr="009610AD" w:rsidRDefault="009D3040" w:rsidP="002530B5">
            <w:pPr>
              <w:jc w:val="center"/>
              <w:rPr>
                <w:rFonts w:ascii="Arial" w:hAnsi="Arial" w:cs="Arial"/>
                <w:b/>
              </w:rPr>
            </w:pPr>
            <w:r w:rsidRPr="009610AD">
              <w:rPr>
                <w:rFonts w:ascii="Arial" w:hAnsi="Arial"/>
              </w:rPr>
              <w:t>Przez Króla:</w:t>
            </w:r>
          </w:p>
        </w:tc>
      </w:tr>
      <w:tr w:rsidR="0079460A" w:rsidRPr="009610AD" w14:paraId="18BB15EE" w14:textId="77777777" w:rsidTr="00EB6A7E">
        <w:trPr>
          <w:gridAfter w:val="1"/>
          <w:wAfter w:w="7" w:type="dxa"/>
        </w:trPr>
        <w:tc>
          <w:tcPr>
            <w:tcW w:w="279" w:type="dxa"/>
          </w:tcPr>
          <w:p w14:paraId="5449E577" w14:textId="2CA3144F" w:rsidR="002530B5" w:rsidRPr="009610AD" w:rsidRDefault="002530B5" w:rsidP="002530B5">
            <w:pPr>
              <w:jc w:val="center"/>
              <w:rPr>
                <w:rFonts w:ascii="Arial" w:hAnsi="Arial" w:cs="Arial"/>
                <w:b/>
              </w:rPr>
            </w:pPr>
          </w:p>
        </w:tc>
        <w:tc>
          <w:tcPr>
            <w:tcW w:w="9267" w:type="dxa"/>
            <w:gridSpan w:val="2"/>
          </w:tcPr>
          <w:p w14:paraId="31F4D5CE" w14:textId="4018DAC4" w:rsidR="002530B5" w:rsidRPr="009610AD" w:rsidRDefault="009D3040" w:rsidP="002530B5">
            <w:pPr>
              <w:jc w:val="center"/>
              <w:rPr>
                <w:rFonts w:ascii="Arial" w:hAnsi="Arial" w:cs="Arial"/>
                <w:b/>
              </w:rPr>
            </w:pPr>
            <w:r w:rsidRPr="009610AD">
              <w:rPr>
                <w:rFonts w:ascii="Arial" w:hAnsi="Arial"/>
              </w:rPr>
              <w:t>Minister ds. pracy,</w:t>
            </w:r>
          </w:p>
        </w:tc>
      </w:tr>
      <w:tr w:rsidR="0079460A" w:rsidRPr="009610AD" w14:paraId="1E9339D8" w14:textId="77777777" w:rsidTr="00EB6A7E">
        <w:trPr>
          <w:gridAfter w:val="1"/>
          <w:wAfter w:w="7" w:type="dxa"/>
        </w:trPr>
        <w:tc>
          <w:tcPr>
            <w:tcW w:w="279" w:type="dxa"/>
          </w:tcPr>
          <w:p w14:paraId="5C4519FC" w14:textId="77777777" w:rsidR="002530B5" w:rsidRPr="009610AD" w:rsidRDefault="002530B5" w:rsidP="002530B5">
            <w:pPr>
              <w:jc w:val="both"/>
              <w:rPr>
                <w:rFonts w:ascii="Arial" w:hAnsi="Arial" w:cs="Arial"/>
                <w:b/>
              </w:rPr>
            </w:pPr>
          </w:p>
        </w:tc>
        <w:tc>
          <w:tcPr>
            <w:tcW w:w="9267" w:type="dxa"/>
            <w:gridSpan w:val="2"/>
          </w:tcPr>
          <w:p w14:paraId="6202C02C" w14:textId="77777777" w:rsidR="002530B5" w:rsidRPr="009610AD" w:rsidRDefault="002530B5" w:rsidP="002530B5">
            <w:pPr>
              <w:jc w:val="both"/>
              <w:rPr>
                <w:rFonts w:ascii="Arial" w:hAnsi="Arial" w:cs="Arial"/>
                <w:b/>
              </w:rPr>
            </w:pPr>
          </w:p>
        </w:tc>
      </w:tr>
      <w:tr w:rsidR="0079460A" w:rsidRPr="009610AD" w14:paraId="77600055" w14:textId="77777777" w:rsidTr="00EB6A7E">
        <w:trPr>
          <w:gridAfter w:val="1"/>
          <w:wAfter w:w="7" w:type="dxa"/>
        </w:trPr>
        <w:tc>
          <w:tcPr>
            <w:tcW w:w="279" w:type="dxa"/>
          </w:tcPr>
          <w:p w14:paraId="111ECF7D" w14:textId="77777777" w:rsidR="002530B5" w:rsidRPr="009610AD" w:rsidRDefault="002530B5" w:rsidP="002530B5">
            <w:pPr>
              <w:jc w:val="both"/>
              <w:rPr>
                <w:rFonts w:ascii="Arial" w:hAnsi="Arial" w:cs="Arial"/>
                <w:b/>
              </w:rPr>
            </w:pPr>
          </w:p>
          <w:p w14:paraId="660AB4D7" w14:textId="77777777" w:rsidR="002530B5" w:rsidRPr="009610AD" w:rsidRDefault="002530B5" w:rsidP="002530B5">
            <w:pPr>
              <w:jc w:val="both"/>
              <w:rPr>
                <w:rFonts w:ascii="Arial" w:hAnsi="Arial" w:cs="Arial"/>
                <w:b/>
              </w:rPr>
            </w:pPr>
          </w:p>
          <w:p w14:paraId="43C8926B" w14:textId="77777777" w:rsidR="002530B5" w:rsidRPr="009610AD" w:rsidRDefault="002530B5" w:rsidP="002530B5">
            <w:pPr>
              <w:jc w:val="both"/>
              <w:rPr>
                <w:rFonts w:ascii="Arial" w:hAnsi="Arial" w:cs="Arial"/>
                <w:b/>
              </w:rPr>
            </w:pPr>
          </w:p>
        </w:tc>
        <w:tc>
          <w:tcPr>
            <w:tcW w:w="9267" w:type="dxa"/>
            <w:gridSpan w:val="2"/>
          </w:tcPr>
          <w:p w14:paraId="00A5E572" w14:textId="77777777" w:rsidR="002530B5" w:rsidRPr="009610AD" w:rsidRDefault="002530B5" w:rsidP="002530B5">
            <w:pPr>
              <w:jc w:val="both"/>
              <w:rPr>
                <w:rFonts w:ascii="Arial" w:hAnsi="Arial" w:cs="Arial"/>
                <w:b/>
              </w:rPr>
            </w:pPr>
          </w:p>
        </w:tc>
      </w:tr>
      <w:tr w:rsidR="0079460A" w:rsidRPr="009610AD" w14:paraId="6A90DA93" w14:textId="77777777" w:rsidTr="00EB6A7E">
        <w:trPr>
          <w:gridAfter w:val="1"/>
          <w:wAfter w:w="7" w:type="dxa"/>
        </w:trPr>
        <w:tc>
          <w:tcPr>
            <w:tcW w:w="279" w:type="dxa"/>
          </w:tcPr>
          <w:p w14:paraId="38F9A661" w14:textId="77777777" w:rsidR="002530B5" w:rsidRPr="009610AD" w:rsidRDefault="002530B5" w:rsidP="002530B5">
            <w:pPr>
              <w:jc w:val="both"/>
              <w:rPr>
                <w:rFonts w:ascii="Arial" w:hAnsi="Arial" w:cs="Arial"/>
                <w:b/>
              </w:rPr>
            </w:pPr>
          </w:p>
        </w:tc>
        <w:tc>
          <w:tcPr>
            <w:tcW w:w="9267" w:type="dxa"/>
            <w:gridSpan w:val="2"/>
          </w:tcPr>
          <w:p w14:paraId="5C70B306" w14:textId="77777777" w:rsidR="002530B5" w:rsidRPr="009610AD" w:rsidRDefault="002530B5" w:rsidP="002530B5">
            <w:pPr>
              <w:jc w:val="both"/>
              <w:rPr>
                <w:rFonts w:ascii="Arial" w:hAnsi="Arial" w:cs="Arial"/>
                <w:b/>
              </w:rPr>
            </w:pPr>
          </w:p>
        </w:tc>
      </w:tr>
      <w:tr w:rsidR="0079460A" w:rsidRPr="009610AD" w14:paraId="2869CB9F" w14:textId="77777777" w:rsidTr="00EB6A7E">
        <w:trPr>
          <w:gridAfter w:val="1"/>
          <w:wAfter w:w="7" w:type="dxa"/>
        </w:trPr>
        <w:tc>
          <w:tcPr>
            <w:tcW w:w="279" w:type="dxa"/>
          </w:tcPr>
          <w:p w14:paraId="521E1ABC" w14:textId="77777777" w:rsidR="002530B5" w:rsidRPr="009610AD" w:rsidRDefault="002530B5" w:rsidP="002530B5">
            <w:pPr>
              <w:jc w:val="both"/>
              <w:rPr>
                <w:rFonts w:ascii="Arial" w:hAnsi="Arial" w:cs="Arial"/>
                <w:b/>
              </w:rPr>
            </w:pPr>
          </w:p>
        </w:tc>
        <w:tc>
          <w:tcPr>
            <w:tcW w:w="9267" w:type="dxa"/>
            <w:gridSpan w:val="2"/>
          </w:tcPr>
          <w:p w14:paraId="67F47643" w14:textId="77777777" w:rsidR="002530B5" w:rsidRPr="009610AD" w:rsidRDefault="002530B5" w:rsidP="002530B5">
            <w:pPr>
              <w:jc w:val="both"/>
              <w:rPr>
                <w:rFonts w:ascii="Arial" w:hAnsi="Arial" w:cs="Arial"/>
                <w:b/>
              </w:rPr>
            </w:pPr>
          </w:p>
        </w:tc>
      </w:tr>
      <w:tr w:rsidR="0079460A" w:rsidRPr="009610AD" w14:paraId="3AE140DC" w14:textId="77777777" w:rsidTr="00EB6A7E">
        <w:trPr>
          <w:gridAfter w:val="1"/>
          <w:wAfter w:w="7" w:type="dxa"/>
        </w:trPr>
        <w:tc>
          <w:tcPr>
            <w:tcW w:w="279" w:type="dxa"/>
          </w:tcPr>
          <w:p w14:paraId="2BBDD9B2" w14:textId="77777777" w:rsidR="002530B5" w:rsidRPr="009610AD" w:rsidRDefault="002530B5" w:rsidP="002530B5">
            <w:pPr>
              <w:jc w:val="both"/>
              <w:rPr>
                <w:rFonts w:ascii="Arial" w:hAnsi="Arial" w:cs="Arial"/>
                <w:b/>
              </w:rPr>
            </w:pPr>
          </w:p>
        </w:tc>
        <w:tc>
          <w:tcPr>
            <w:tcW w:w="9267" w:type="dxa"/>
            <w:gridSpan w:val="2"/>
          </w:tcPr>
          <w:p w14:paraId="2D554267" w14:textId="77777777" w:rsidR="002530B5" w:rsidRPr="009610AD" w:rsidRDefault="002530B5" w:rsidP="002530B5">
            <w:pPr>
              <w:jc w:val="both"/>
              <w:rPr>
                <w:rFonts w:ascii="Arial" w:hAnsi="Arial" w:cs="Arial"/>
                <w:b/>
              </w:rPr>
            </w:pPr>
          </w:p>
        </w:tc>
      </w:tr>
      <w:tr w:rsidR="002530B5" w:rsidRPr="009610AD" w14:paraId="23314A4F" w14:textId="77777777" w:rsidTr="00EB6A7E">
        <w:tc>
          <w:tcPr>
            <w:tcW w:w="9553" w:type="dxa"/>
            <w:gridSpan w:val="4"/>
          </w:tcPr>
          <w:p w14:paraId="71506BA3" w14:textId="1D15271A" w:rsidR="003E3226" w:rsidRPr="009610AD" w:rsidRDefault="002530B5" w:rsidP="000F0B2C">
            <w:pPr>
              <w:jc w:val="center"/>
              <w:rPr>
                <w:rFonts w:ascii="Arial" w:hAnsi="Arial" w:cs="Arial"/>
                <w:spacing w:val="-3"/>
              </w:rPr>
            </w:pPr>
            <w:r w:rsidRPr="009610AD">
              <w:rPr>
                <w:rStyle w:val="acopre1"/>
                <w:rFonts w:ascii="Arial" w:hAnsi="Arial"/>
              </w:rPr>
              <w:t>Pierre-Yves Dermagne</w:t>
            </w:r>
          </w:p>
          <w:p w14:paraId="09D749A7" w14:textId="1BD263EE" w:rsidR="003E3226" w:rsidRPr="009610AD" w:rsidRDefault="003E3226" w:rsidP="003E3226">
            <w:pPr>
              <w:rPr>
                <w:rFonts w:ascii="Arial" w:hAnsi="Arial" w:cs="Arial"/>
                <w:spacing w:val="-3"/>
                <w:lang w:val="nl-BE"/>
              </w:rPr>
            </w:pPr>
          </w:p>
        </w:tc>
      </w:tr>
      <w:tr w:rsidR="0079460A" w:rsidRPr="009610AD" w14:paraId="0C3D19F4" w14:textId="77777777" w:rsidTr="00EB6A7E">
        <w:trPr>
          <w:gridAfter w:val="1"/>
          <w:wAfter w:w="7" w:type="dxa"/>
        </w:trPr>
        <w:tc>
          <w:tcPr>
            <w:tcW w:w="279" w:type="dxa"/>
          </w:tcPr>
          <w:p w14:paraId="76AE18E2" w14:textId="074EF6F1" w:rsidR="002530B5" w:rsidRPr="009610AD" w:rsidRDefault="002530B5" w:rsidP="002530B5">
            <w:pPr>
              <w:jc w:val="center"/>
              <w:rPr>
                <w:rFonts w:ascii="Arial" w:hAnsi="Arial" w:cs="Arial"/>
              </w:rPr>
            </w:pPr>
            <w:r w:rsidRPr="009610AD">
              <w:rPr>
                <w:rFonts w:ascii="Arial" w:hAnsi="Arial"/>
                <w:b/>
              </w:rPr>
              <w:tab/>
            </w:r>
          </w:p>
        </w:tc>
        <w:tc>
          <w:tcPr>
            <w:tcW w:w="9267" w:type="dxa"/>
            <w:gridSpan w:val="2"/>
          </w:tcPr>
          <w:p w14:paraId="0FFD8752" w14:textId="50869938" w:rsidR="002530B5" w:rsidRPr="009610AD" w:rsidRDefault="009D3040" w:rsidP="00106BDC">
            <w:pPr>
              <w:jc w:val="center"/>
              <w:rPr>
                <w:rFonts w:ascii="Arial" w:hAnsi="Arial" w:cs="Arial"/>
                <w:b/>
              </w:rPr>
            </w:pPr>
            <w:r w:rsidRPr="009610AD">
              <w:rPr>
                <w:rFonts w:ascii="Arial" w:hAnsi="Arial"/>
              </w:rPr>
              <w:t>Minister ds. energii,</w:t>
            </w:r>
          </w:p>
        </w:tc>
      </w:tr>
      <w:tr w:rsidR="0079460A" w:rsidRPr="009610AD" w14:paraId="4C3974C8" w14:textId="77777777" w:rsidTr="00EB6A7E">
        <w:trPr>
          <w:gridAfter w:val="1"/>
          <w:wAfter w:w="7" w:type="dxa"/>
        </w:trPr>
        <w:tc>
          <w:tcPr>
            <w:tcW w:w="279" w:type="dxa"/>
          </w:tcPr>
          <w:p w14:paraId="1F194BDB" w14:textId="77777777" w:rsidR="002530B5" w:rsidRPr="009610AD" w:rsidRDefault="002530B5" w:rsidP="002530B5">
            <w:pPr>
              <w:jc w:val="both"/>
              <w:rPr>
                <w:rFonts w:ascii="Arial" w:hAnsi="Arial" w:cs="Arial"/>
                <w:b/>
                <w:lang w:val="nl-NL"/>
              </w:rPr>
            </w:pPr>
          </w:p>
        </w:tc>
        <w:tc>
          <w:tcPr>
            <w:tcW w:w="9267" w:type="dxa"/>
            <w:gridSpan w:val="2"/>
          </w:tcPr>
          <w:p w14:paraId="287FDC76" w14:textId="77777777" w:rsidR="002530B5" w:rsidRPr="009610AD" w:rsidRDefault="002530B5" w:rsidP="002530B5">
            <w:pPr>
              <w:jc w:val="both"/>
              <w:rPr>
                <w:rFonts w:ascii="Arial" w:hAnsi="Arial" w:cs="Arial"/>
                <w:b/>
                <w:lang w:val="nl-BE"/>
              </w:rPr>
            </w:pPr>
          </w:p>
        </w:tc>
      </w:tr>
      <w:tr w:rsidR="0079460A" w:rsidRPr="009610AD" w14:paraId="66F53B56" w14:textId="77777777" w:rsidTr="00EB6A7E">
        <w:trPr>
          <w:gridAfter w:val="1"/>
          <w:wAfter w:w="7" w:type="dxa"/>
        </w:trPr>
        <w:tc>
          <w:tcPr>
            <w:tcW w:w="279" w:type="dxa"/>
          </w:tcPr>
          <w:p w14:paraId="5341F54C" w14:textId="77777777" w:rsidR="002530B5" w:rsidRPr="009610AD" w:rsidRDefault="002530B5" w:rsidP="002530B5">
            <w:pPr>
              <w:jc w:val="both"/>
              <w:rPr>
                <w:rFonts w:ascii="Arial" w:hAnsi="Arial" w:cs="Arial"/>
                <w:b/>
                <w:lang w:val="nl-NL"/>
              </w:rPr>
            </w:pPr>
          </w:p>
        </w:tc>
        <w:tc>
          <w:tcPr>
            <w:tcW w:w="9267" w:type="dxa"/>
            <w:gridSpan w:val="2"/>
          </w:tcPr>
          <w:p w14:paraId="246C39E1" w14:textId="77777777" w:rsidR="002530B5" w:rsidRPr="009610AD" w:rsidRDefault="002530B5" w:rsidP="002530B5">
            <w:pPr>
              <w:jc w:val="both"/>
              <w:rPr>
                <w:rFonts w:ascii="Arial" w:hAnsi="Arial" w:cs="Arial"/>
                <w:b/>
                <w:lang w:val="nl-BE"/>
              </w:rPr>
            </w:pPr>
          </w:p>
        </w:tc>
      </w:tr>
      <w:tr w:rsidR="0079460A" w:rsidRPr="009610AD" w14:paraId="7FDA9587" w14:textId="77777777" w:rsidTr="00EB6A7E">
        <w:trPr>
          <w:gridAfter w:val="1"/>
          <w:wAfter w:w="7" w:type="dxa"/>
        </w:trPr>
        <w:tc>
          <w:tcPr>
            <w:tcW w:w="279" w:type="dxa"/>
          </w:tcPr>
          <w:p w14:paraId="68F240D6" w14:textId="77777777" w:rsidR="002530B5" w:rsidRPr="009610AD" w:rsidRDefault="002530B5" w:rsidP="002530B5">
            <w:pPr>
              <w:jc w:val="both"/>
              <w:rPr>
                <w:rFonts w:ascii="Arial" w:hAnsi="Arial" w:cs="Arial"/>
                <w:b/>
                <w:lang w:val="nl-NL"/>
              </w:rPr>
            </w:pPr>
          </w:p>
          <w:p w14:paraId="30AE2F7B" w14:textId="77777777" w:rsidR="002530B5" w:rsidRPr="009610AD" w:rsidRDefault="002530B5" w:rsidP="002530B5">
            <w:pPr>
              <w:jc w:val="both"/>
              <w:rPr>
                <w:rFonts w:ascii="Arial" w:hAnsi="Arial" w:cs="Arial"/>
                <w:b/>
                <w:lang w:val="nl-NL"/>
              </w:rPr>
            </w:pPr>
          </w:p>
          <w:p w14:paraId="25603E14" w14:textId="77777777" w:rsidR="00BA186D" w:rsidRPr="009610AD" w:rsidRDefault="00BA186D" w:rsidP="002530B5">
            <w:pPr>
              <w:jc w:val="both"/>
              <w:rPr>
                <w:rFonts w:ascii="Arial" w:hAnsi="Arial" w:cs="Arial"/>
                <w:b/>
                <w:lang w:val="nl-NL"/>
              </w:rPr>
            </w:pPr>
          </w:p>
          <w:p w14:paraId="783A482C" w14:textId="77777777" w:rsidR="002530B5" w:rsidRPr="009610AD" w:rsidRDefault="002530B5" w:rsidP="002530B5">
            <w:pPr>
              <w:jc w:val="both"/>
              <w:rPr>
                <w:rFonts w:ascii="Arial" w:hAnsi="Arial" w:cs="Arial"/>
                <w:b/>
                <w:lang w:val="nl-NL"/>
              </w:rPr>
            </w:pPr>
          </w:p>
        </w:tc>
        <w:tc>
          <w:tcPr>
            <w:tcW w:w="9267" w:type="dxa"/>
            <w:gridSpan w:val="2"/>
          </w:tcPr>
          <w:p w14:paraId="6EEFC80D" w14:textId="77777777" w:rsidR="002530B5" w:rsidRPr="009610AD" w:rsidRDefault="002530B5" w:rsidP="002530B5">
            <w:pPr>
              <w:jc w:val="both"/>
              <w:rPr>
                <w:rFonts w:ascii="Arial" w:hAnsi="Arial" w:cs="Arial"/>
                <w:b/>
                <w:lang w:val="nl-BE"/>
              </w:rPr>
            </w:pPr>
          </w:p>
        </w:tc>
      </w:tr>
      <w:tr w:rsidR="0079460A" w:rsidRPr="009610AD" w14:paraId="53B0D87D" w14:textId="77777777" w:rsidTr="00EB6A7E">
        <w:trPr>
          <w:gridAfter w:val="1"/>
          <w:wAfter w:w="7" w:type="dxa"/>
        </w:trPr>
        <w:tc>
          <w:tcPr>
            <w:tcW w:w="279" w:type="dxa"/>
          </w:tcPr>
          <w:p w14:paraId="169B2C96" w14:textId="77777777" w:rsidR="002530B5" w:rsidRPr="009610AD" w:rsidRDefault="002530B5" w:rsidP="002530B5">
            <w:pPr>
              <w:jc w:val="both"/>
              <w:rPr>
                <w:rFonts w:ascii="Arial" w:hAnsi="Arial" w:cs="Arial"/>
                <w:b/>
                <w:lang w:val="nl-NL"/>
              </w:rPr>
            </w:pPr>
          </w:p>
        </w:tc>
        <w:tc>
          <w:tcPr>
            <w:tcW w:w="9267" w:type="dxa"/>
            <w:gridSpan w:val="2"/>
          </w:tcPr>
          <w:p w14:paraId="5A0A2EC3" w14:textId="77777777" w:rsidR="002530B5" w:rsidRPr="009610AD" w:rsidRDefault="002530B5" w:rsidP="002530B5">
            <w:pPr>
              <w:jc w:val="both"/>
              <w:rPr>
                <w:rFonts w:ascii="Arial" w:hAnsi="Arial" w:cs="Arial"/>
                <w:b/>
                <w:lang w:val="nl-BE"/>
              </w:rPr>
            </w:pPr>
          </w:p>
        </w:tc>
      </w:tr>
      <w:tr w:rsidR="0079460A" w:rsidRPr="009610AD" w14:paraId="5CB931C8" w14:textId="77777777" w:rsidTr="00EB6A7E">
        <w:trPr>
          <w:gridAfter w:val="1"/>
          <w:wAfter w:w="7" w:type="dxa"/>
        </w:trPr>
        <w:tc>
          <w:tcPr>
            <w:tcW w:w="279" w:type="dxa"/>
          </w:tcPr>
          <w:p w14:paraId="426E1198" w14:textId="77777777" w:rsidR="002530B5" w:rsidRPr="009610AD" w:rsidRDefault="002530B5" w:rsidP="002530B5">
            <w:pPr>
              <w:jc w:val="both"/>
              <w:rPr>
                <w:rFonts w:ascii="Arial" w:hAnsi="Arial" w:cs="Arial"/>
                <w:b/>
                <w:lang w:val="nl-NL"/>
              </w:rPr>
            </w:pPr>
          </w:p>
        </w:tc>
        <w:tc>
          <w:tcPr>
            <w:tcW w:w="9267" w:type="dxa"/>
            <w:gridSpan w:val="2"/>
          </w:tcPr>
          <w:p w14:paraId="13A5DA6D" w14:textId="77777777" w:rsidR="002530B5" w:rsidRPr="009610AD" w:rsidRDefault="002530B5" w:rsidP="002530B5">
            <w:pPr>
              <w:jc w:val="both"/>
              <w:rPr>
                <w:rFonts w:ascii="Arial" w:hAnsi="Arial" w:cs="Arial"/>
                <w:b/>
                <w:lang w:val="nl-BE"/>
              </w:rPr>
            </w:pPr>
          </w:p>
        </w:tc>
      </w:tr>
      <w:tr w:rsidR="002530B5" w:rsidRPr="009610AD" w14:paraId="6BF2AB59" w14:textId="77777777" w:rsidTr="00EB6A7E">
        <w:tc>
          <w:tcPr>
            <w:tcW w:w="9553" w:type="dxa"/>
            <w:gridSpan w:val="4"/>
          </w:tcPr>
          <w:p w14:paraId="4C4B4735" w14:textId="62F0E19E" w:rsidR="002530B5" w:rsidRPr="009610AD" w:rsidRDefault="002530B5" w:rsidP="00A4604E">
            <w:pPr>
              <w:jc w:val="center"/>
              <w:rPr>
                <w:rFonts w:ascii="Arial" w:hAnsi="Arial" w:cs="Arial"/>
              </w:rPr>
            </w:pPr>
            <w:r w:rsidRPr="009610AD">
              <w:rPr>
                <w:rFonts w:ascii="Arial" w:hAnsi="Arial"/>
              </w:rPr>
              <w:t>Tinne Van der Straeten</w:t>
            </w:r>
          </w:p>
          <w:p w14:paraId="4E0C6521" w14:textId="4C90910F" w:rsidR="00EB6A7E" w:rsidRPr="009610AD" w:rsidRDefault="00EB6A7E" w:rsidP="00A4604E">
            <w:pPr>
              <w:jc w:val="center"/>
              <w:rPr>
                <w:rFonts w:ascii="Arial" w:hAnsi="Arial" w:cs="Arial"/>
                <w:lang w:val="nl-BE"/>
              </w:rPr>
            </w:pPr>
          </w:p>
          <w:p w14:paraId="6119BFC5" w14:textId="33DEC1CF" w:rsidR="00EB6A7E" w:rsidRPr="009610AD" w:rsidRDefault="00EB6A7E" w:rsidP="00A4604E">
            <w:pPr>
              <w:jc w:val="center"/>
              <w:rPr>
                <w:rFonts w:ascii="Arial" w:hAnsi="Arial" w:cs="Arial"/>
                <w:lang w:val="nl-BE"/>
              </w:rPr>
            </w:pPr>
          </w:p>
          <w:p w14:paraId="03BDE27E" w14:textId="26A6A968" w:rsidR="00EB6A7E" w:rsidRPr="009610AD" w:rsidRDefault="00EB6A7E" w:rsidP="00A4604E">
            <w:pPr>
              <w:jc w:val="center"/>
              <w:rPr>
                <w:rFonts w:ascii="Arial" w:hAnsi="Arial" w:cs="Arial"/>
                <w:lang w:val="nl-BE"/>
              </w:rPr>
            </w:pPr>
          </w:p>
          <w:p w14:paraId="62BDC602" w14:textId="256222A7" w:rsidR="00EB6A7E" w:rsidRPr="009610AD" w:rsidRDefault="00EB6A7E" w:rsidP="00A4604E">
            <w:pPr>
              <w:jc w:val="center"/>
              <w:rPr>
                <w:rFonts w:ascii="Arial" w:hAnsi="Arial" w:cs="Arial"/>
                <w:lang w:val="nl-BE"/>
              </w:rPr>
            </w:pPr>
          </w:p>
          <w:p w14:paraId="40D83809" w14:textId="41EA832B" w:rsidR="00EB6A7E" w:rsidRPr="009610AD" w:rsidRDefault="00EB6A7E" w:rsidP="00A4604E">
            <w:pPr>
              <w:jc w:val="center"/>
              <w:rPr>
                <w:rFonts w:ascii="Arial" w:hAnsi="Arial" w:cs="Arial"/>
                <w:lang w:val="nl-BE"/>
              </w:rPr>
            </w:pPr>
          </w:p>
          <w:p w14:paraId="5CB6D08D" w14:textId="6C6B9972" w:rsidR="00EB6A7E" w:rsidRPr="009610AD" w:rsidRDefault="00EB6A7E" w:rsidP="00A4604E">
            <w:pPr>
              <w:jc w:val="center"/>
              <w:rPr>
                <w:rFonts w:ascii="Arial" w:hAnsi="Arial" w:cs="Arial"/>
                <w:lang w:val="nl-BE"/>
              </w:rPr>
            </w:pPr>
          </w:p>
          <w:p w14:paraId="0D7CAB27" w14:textId="77777777" w:rsidR="00EB6A7E" w:rsidRPr="009610AD" w:rsidRDefault="00EB6A7E" w:rsidP="009610AD">
            <w:pPr>
              <w:rPr>
                <w:rFonts w:ascii="Arial" w:hAnsi="Arial" w:cs="Arial"/>
                <w:lang w:val="nl-BE"/>
              </w:rPr>
            </w:pPr>
          </w:p>
          <w:p w14:paraId="47B7A99C" w14:textId="4CC8BEC4" w:rsidR="00BF274B" w:rsidRPr="009610AD" w:rsidRDefault="00BF274B" w:rsidP="00A4604E">
            <w:pPr>
              <w:rPr>
                <w:rFonts w:ascii="Arial" w:hAnsi="Arial" w:cs="Arial"/>
                <w:b/>
                <w:lang w:val="nl-BE"/>
              </w:rPr>
            </w:pPr>
          </w:p>
        </w:tc>
      </w:tr>
      <w:tr w:rsidR="00EF338F" w:rsidRPr="009610AD" w14:paraId="305E35B2" w14:textId="77777777" w:rsidTr="00EB6A7E">
        <w:tc>
          <w:tcPr>
            <w:tcW w:w="279" w:type="dxa"/>
          </w:tcPr>
          <w:p w14:paraId="037F95A1" w14:textId="77777777" w:rsidR="00DD0AA6" w:rsidRPr="009610AD" w:rsidRDefault="00DD0AA6" w:rsidP="00DD0AA6">
            <w:pPr>
              <w:rPr>
                <w:rFonts w:ascii="Arial" w:hAnsi="Arial" w:cs="Arial"/>
                <w:color w:val="000000" w:themeColor="text1"/>
                <w:lang w:val="nl-BE" w:eastAsia="nl-NL"/>
              </w:rPr>
            </w:pPr>
          </w:p>
          <w:p w14:paraId="264915ED" w14:textId="5CDAF74B" w:rsidR="007D1226" w:rsidRPr="009610AD" w:rsidRDefault="007D1226" w:rsidP="00C72127">
            <w:pPr>
              <w:jc w:val="both"/>
              <w:rPr>
                <w:rFonts w:ascii="Arial" w:hAnsi="Arial" w:cs="Arial"/>
                <w:color w:val="000000" w:themeColor="text1"/>
                <w:lang w:val="nl-BE"/>
              </w:rPr>
            </w:pPr>
          </w:p>
          <w:p w14:paraId="376CB62C" w14:textId="77777777" w:rsidR="00DD0AA6" w:rsidRPr="009610AD" w:rsidRDefault="00DD0AA6" w:rsidP="00DD0AA6">
            <w:pPr>
              <w:jc w:val="both"/>
              <w:rPr>
                <w:rFonts w:ascii="Arial" w:hAnsi="Arial" w:cs="Arial"/>
                <w:b/>
                <w:bCs/>
                <w:color w:val="000000" w:themeColor="text1"/>
                <w:lang w:val="nl-BE"/>
              </w:rPr>
            </w:pPr>
          </w:p>
          <w:p w14:paraId="60958B40" w14:textId="77777777" w:rsidR="00DD0AA6" w:rsidRPr="009610AD" w:rsidRDefault="00DD0AA6" w:rsidP="00DD0AA6">
            <w:pPr>
              <w:jc w:val="both"/>
              <w:rPr>
                <w:rFonts w:ascii="Arial" w:hAnsi="Arial" w:cs="Arial"/>
                <w:b/>
                <w:bCs/>
                <w:color w:val="000000" w:themeColor="text1"/>
                <w:lang w:val="nl-BE"/>
              </w:rPr>
            </w:pPr>
          </w:p>
          <w:p w14:paraId="5DA6CD53" w14:textId="77777777" w:rsidR="007D1226" w:rsidRPr="009610AD" w:rsidRDefault="007D1226" w:rsidP="00DD0AA6">
            <w:pPr>
              <w:jc w:val="both"/>
              <w:rPr>
                <w:rFonts w:ascii="Arial" w:hAnsi="Arial" w:cs="Arial"/>
                <w:b/>
                <w:bCs/>
                <w:lang w:val="nl-BE"/>
              </w:rPr>
            </w:pPr>
          </w:p>
          <w:p w14:paraId="08EFE2E9" w14:textId="77777777" w:rsidR="00DD0AA6" w:rsidRPr="009610AD" w:rsidRDefault="00DD0AA6" w:rsidP="00DD0AA6">
            <w:pPr>
              <w:jc w:val="both"/>
              <w:rPr>
                <w:rFonts w:ascii="Arial" w:hAnsi="Arial" w:cs="Arial"/>
                <w:color w:val="000000" w:themeColor="text1"/>
                <w:lang w:val="nl-BE"/>
              </w:rPr>
            </w:pPr>
          </w:p>
          <w:p w14:paraId="748EDC35" w14:textId="77777777" w:rsidR="00DD0AA6" w:rsidRPr="009610AD" w:rsidRDefault="00DD0AA6" w:rsidP="00BF274B">
            <w:pPr>
              <w:jc w:val="both"/>
              <w:rPr>
                <w:rFonts w:ascii="Arial" w:hAnsi="Arial" w:cs="Arial"/>
                <w:b/>
                <w:i/>
                <w:color w:val="000000" w:themeColor="text1"/>
              </w:rPr>
            </w:pPr>
          </w:p>
          <w:p w14:paraId="2E757EE9" w14:textId="77777777" w:rsidR="00DD0AA6" w:rsidRPr="009610AD" w:rsidRDefault="00DD0AA6" w:rsidP="00BF274B">
            <w:pPr>
              <w:jc w:val="both"/>
              <w:rPr>
                <w:rFonts w:ascii="Arial" w:hAnsi="Arial" w:cs="Arial"/>
                <w:b/>
                <w:i/>
                <w:color w:val="000000" w:themeColor="text1"/>
              </w:rPr>
            </w:pPr>
          </w:p>
          <w:p w14:paraId="49A44D94" w14:textId="77777777" w:rsidR="00DD0AA6" w:rsidRPr="009610AD" w:rsidRDefault="00DD0AA6" w:rsidP="00BF274B">
            <w:pPr>
              <w:jc w:val="both"/>
              <w:rPr>
                <w:rFonts w:ascii="Arial" w:hAnsi="Arial" w:cs="Arial"/>
                <w:b/>
                <w:i/>
                <w:color w:val="000000" w:themeColor="text1"/>
              </w:rPr>
            </w:pPr>
          </w:p>
          <w:p w14:paraId="397C661B" w14:textId="77777777" w:rsidR="00DD0AA6" w:rsidRPr="009610AD" w:rsidRDefault="00DD0AA6" w:rsidP="00BF274B">
            <w:pPr>
              <w:jc w:val="both"/>
              <w:rPr>
                <w:rFonts w:ascii="Arial" w:hAnsi="Arial" w:cs="Arial"/>
                <w:b/>
                <w:i/>
                <w:color w:val="000000" w:themeColor="text1"/>
              </w:rPr>
            </w:pPr>
          </w:p>
          <w:p w14:paraId="04750DAC" w14:textId="77777777" w:rsidR="00DD0AA6" w:rsidRPr="009610AD" w:rsidRDefault="00DD0AA6" w:rsidP="00BF274B">
            <w:pPr>
              <w:jc w:val="both"/>
              <w:rPr>
                <w:rFonts w:ascii="Arial" w:hAnsi="Arial" w:cs="Arial"/>
                <w:b/>
                <w:i/>
                <w:color w:val="000000" w:themeColor="text1"/>
              </w:rPr>
            </w:pPr>
          </w:p>
          <w:p w14:paraId="2F50E97A" w14:textId="77777777" w:rsidR="00EF338F" w:rsidRPr="009610AD" w:rsidRDefault="00EF338F" w:rsidP="002530B5">
            <w:pPr>
              <w:jc w:val="center"/>
              <w:rPr>
                <w:rFonts w:ascii="Arial" w:hAnsi="Arial" w:cs="Arial"/>
              </w:rPr>
            </w:pPr>
          </w:p>
        </w:tc>
        <w:tc>
          <w:tcPr>
            <w:tcW w:w="9274" w:type="dxa"/>
            <w:gridSpan w:val="3"/>
          </w:tcPr>
          <w:p w14:paraId="15CF88AF" w14:textId="05871A63" w:rsidR="00633E10" w:rsidRPr="009610AD" w:rsidRDefault="00DD0AA6" w:rsidP="00D044DF">
            <w:pPr>
              <w:jc w:val="center"/>
              <w:rPr>
                <w:rFonts w:ascii="Arial" w:hAnsi="Arial" w:cs="Arial"/>
                <w:b/>
                <w:color w:val="000000" w:themeColor="text1"/>
              </w:rPr>
            </w:pPr>
            <w:r w:rsidRPr="009610AD">
              <w:rPr>
                <w:rFonts w:ascii="Arial" w:hAnsi="Arial"/>
                <w:b/>
                <w:color w:val="000000" w:themeColor="text1"/>
              </w:rPr>
              <w:t>Załącznik</w:t>
            </w:r>
          </w:p>
          <w:p w14:paraId="05FDC483" w14:textId="0DDE04E8" w:rsidR="00D044DF" w:rsidRPr="009610AD" w:rsidRDefault="00D044DF" w:rsidP="00D044DF">
            <w:pPr>
              <w:jc w:val="center"/>
              <w:rPr>
                <w:rFonts w:ascii="Arial" w:hAnsi="Arial" w:cs="Arial"/>
                <w:b/>
                <w:color w:val="000000" w:themeColor="text1"/>
              </w:rPr>
            </w:pPr>
          </w:p>
          <w:p w14:paraId="196EE3AB" w14:textId="77777777" w:rsidR="003C2DF7" w:rsidRPr="009610AD" w:rsidRDefault="003C2DF7" w:rsidP="00D044DF">
            <w:pPr>
              <w:jc w:val="center"/>
              <w:rPr>
                <w:rFonts w:ascii="Arial" w:hAnsi="Arial" w:cs="Arial"/>
                <w:b/>
                <w:color w:val="000000" w:themeColor="text1"/>
              </w:rPr>
            </w:pPr>
          </w:p>
          <w:p w14:paraId="25849EF0" w14:textId="656D978C" w:rsidR="00BF274B" w:rsidRPr="009610AD" w:rsidRDefault="00DD0AA6" w:rsidP="00BF274B">
            <w:pPr>
              <w:jc w:val="both"/>
              <w:rPr>
                <w:rFonts w:ascii="Arial" w:hAnsi="Arial" w:cs="Arial"/>
                <w:b/>
                <w:color w:val="000000" w:themeColor="text1"/>
              </w:rPr>
            </w:pPr>
            <w:r w:rsidRPr="009610AD">
              <w:rPr>
                <w:rFonts w:ascii="Arial" w:hAnsi="Arial"/>
                <w:b/>
                <w:color w:val="000000" w:themeColor="text1"/>
              </w:rPr>
              <w:t>Rozdział 7.22. Zasilanie drogowych pojazdów elektrycznych</w:t>
            </w:r>
          </w:p>
          <w:p w14:paraId="085531B6" w14:textId="77777777" w:rsidR="00614A41" w:rsidRPr="009610AD" w:rsidRDefault="00614A41" w:rsidP="00BF274B">
            <w:pPr>
              <w:shd w:val="clear" w:color="auto" w:fill="FFFFFF" w:themeFill="background1"/>
              <w:jc w:val="both"/>
              <w:rPr>
                <w:rFonts w:ascii="Arial" w:hAnsi="Arial" w:cs="Arial"/>
                <w:color w:val="000000" w:themeColor="text1"/>
              </w:rPr>
            </w:pPr>
          </w:p>
          <w:p w14:paraId="7CD4CAC6" w14:textId="77777777" w:rsidR="00DD0AA6" w:rsidRPr="009610AD" w:rsidRDefault="00DD0AA6" w:rsidP="00DD0AA6">
            <w:pPr>
              <w:rPr>
                <w:rFonts w:ascii="Arial" w:hAnsi="Arial" w:cs="Arial"/>
                <w:i/>
                <w:color w:val="000000" w:themeColor="text1"/>
              </w:rPr>
            </w:pPr>
            <w:r w:rsidRPr="009610AD">
              <w:rPr>
                <w:rFonts w:ascii="Arial" w:hAnsi="Arial"/>
                <w:b/>
                <w:i/>
                <w:color w:val="000000" w:themeColor="text1"/>
              </w:rPr>
              <w:t>Sekcja 7.22.1. Zakres</w:t>
            </w:r>
          </w:p>
          <w:p w14:paraId="0A740A9D" w14:textId="77777777" w:rsidR="00DD0AA6" w:rsidRPr="009610AD" w:rsidRDefault="00DD0AA6" w:rsidP="00DD0AA6">
            <w:pPr>
              <w:rPr>
                <w:rFonts w:ascii="Arial" w:hAnsi="Arial" w:cs="Arial"/>
                <w:color w:val="000000" w:themeColor="text1"/>
                <w:lang w:eastAsia="nl-NL"/>
              </w:rPr>
            </w:pPr>
          </w:p>
          <w:p w14:paraId="20C7E61B" w14:textId="0AB0C65F" w:rsidR="00DD0AA6" w:rsidRPr="009610AD" w:rsidRDefault="00DD0AA6" w:rsidP="00DD0AA6">
            <w:pPr>
              <w:jc w:val="both"/>
              <w:rPr>
                <w:rFonts w:ascii="Arial" w:eastAsia="TrebuchetMS" w:hAnsi="Arial" w:cs="Arial"/>
                <w:color w:val="000000" w:themeColor="text1"/>
              </w:rPr>
            </w:pPr>
            <w:r w:rsidRPr="009610AD">
              <w:rPr>
                <w:rFonts w:ascii="Arial" w:hAnsi="Arial"/>
                <w:color w:val="000000" w:themeColor="text1"/>
              </w:rPr>
              <w:t>Wymagania ogólne zawarte w innych częściach niniejszej Księgi będą miały również zastosowanie do obiektów specjalnych i miejsc wymienionych w niniejszym rozdziale 7.22. Wymogi niniejszego Rozdziału uzupełniają ogólne wymogi.</w:t>
            </w:r>
          </w:p>
          <w:p w14:paraId="2FD34EB6" w14:textId="77777777" w:rsidR="00DD0AA6" w:rsidRPr="009610AD" w:rsidRDefault="00DD0AA6" w:rsidP="00DD0AA6">
            <w:pPr>
              <w:jc w:val="both"/>
              <w:rPr>
                <w:rFonts w:ascii="Arial" w:eastAsia="TrebuchetMS" w:hAnsi="Arial" w:cs="Arial"/>
                <w:color w:val="000000" w:themeColor="text1"/>
              </w:rPr>
            </w:pPr>
          </w:p>
          <w:p w14:paraId="587F58BC" w14:textId="1247DCA0" w:rsidR="00DD0AA6" w:rsidRPr="009610AD" w:rsidRDefault="00DD0AA6" w:rsidP="00DD0AA6">
            <w:pPr>
              <w:jc w:val="both"/>
              <w:rPr>
                <w:rFonts w:ascii="Arial" w:eastAsia="TrebuchetMS" w:hAnsi="Arial" w:cs="Arial"/>
                <w:color w:val="000000" w:themeColor="text1"/>
              </w:rPr>
            </w:pPr>
            <w:r w:rsidRPr="009610AD">
              <w:rPr>
                <w:rFonts w:ascii="Arial" w:hAnsi="Arial"/>
                <w:color w:val="000000" w:themeColor="text1"/>
              </w:rPr>
              <w:t>Niniejszy Rozdział stosuje się do stacji ładowania drogowych pojazdów elektrycznych, których budowę lub wymianę rozpoczęto z chwilą wejścia w życie niniejszego Rozdziału, a także do obwodów:</w:t>
            </w:r>
          </w:p>
          <w:p w14:paraId="287BFC1D" w14:textId="77777777" w:rsidR="00DD0AA6" w:rsidRPr="009610AD" w:rsidRDefault="00DD0AA6" w:rsidP="00DD0AA6">
            <w:pPr>
              <w:jc w:val="both"/>
              <w:rPr>
                <w:rFonts w:ascii="Arial" w:hAnsi="Arial" w:cs="Arial"/>
                <w:color w:val="000000" w:themeColor="text1"/>
              </w:rPr>
            </w:pPr>
          </w:p>
          <w:p w14:paraId="3783B9E1"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1. przeznaczonych do dostarczania energii elektrycznej do pojazdów elektrycznych; oraz ew.</w:t>
            </w:r>
          </w:p>
          <w:p w14:paraId="537EC24E" w14:textId="77777777" w:rsidR="00DD0AA6" w:rsidRPr="009610AD" w:rsidRDefault="00DD0AA6" w:rsidP="00DD0AA6">
            <w:pPr>
              <w:jc w:val="both"/>
              <w:rPr>
                <w:rFonts w:ascii="Arial" w:hAnsi="Arial" w:cs="Arial"/>
                <w:color w:val="000000" w:themeColor="text1"/>
              </w:rPr>
            </w:pPr>
          </w:p>
          <w:p w14:paraId="40F114CF" w14:textId="77777777" w:rsidR="00DD0AA6" w:rsidRPr="009610AD" w:rsidRDefault="00DD0AA6" w:rsidP="00DD0AA6">
            <w:pPr>
              <w:jc w:val="both"/>
              <w:rPr>
                <w:rFonts w:ascii="Arial" w:hAnsi="Arial" w:cs="Arial"/>
              </w:rPr>
            </w:pPr>
            <w:bookmarkStart w:id="2" w:name="_Hlk58498838"/>
            <w:r w:rsidRPr="009610AD">
              <w:rPr>
                <w:rFonts w:ascii="Arial" w:hAnsi="Arial"/>
                <w:color w:val="000000" w:themeColor="text1"/>
              </w:rPr>
              <w:t>2. również przeznaczonych do oddawania energii elektrycznej z akumulatorów pojazdów elektrycznych</w:t>
            </w:r>
            <w:bookmarkEnd w:id="2"/>
            <w:r w:rsidRPr="009610AD">
              <w:rPr>
                <w:rFonts w:ascii="Arial" w:hAnsi="Arial"/>
              </w:rPr>
              <w:t>.</w:t>
            </w:r>
          </w:p>
          <w:p w14:paraId="7BB8274E" w14:textId="77777777" w:rsidR="00DD0AA6" w:rsidRPr="009610AD" w:rsidRDefault="00DD0AA6" w:rsidP="00DD0AA6">
            <w:pPr>
              <w:jc w:val="both"/>
              <w:rPr>
                <w:rFonts w:ascii="Arial" w:hAnsi="Arial" w:cs="Arial"/>
              </w:rPr>
            </w:pPr>
          </w:p>
          <w:p w14:paraId="62C8E0EE" w14:textId="0E616575" w:rsidR="00DD0AA6" w:rsidRPr="009610AD" w:rsidRDefault="00DD0AA6" w:rsidP="00DD0AA6">
            <w:pPr>
              <w:jc w:val="both"/>
              <w:rPr>
                <w:rFonts w:ascii="Arial" w:hAnsi="Arial" w:cs="Arial"/>
                <w:color w:val="000000" w:themeColor="text1"/>
              </w:rPr>
            </w:pPr>
            <w:r w:rsidRPr="009610AD">
              <w:rPr>
                <w:rFonts w:ascii="Arial" w:hAnsi="Arial"/>
                <w:color w:val="000000" w:themeColor="text1"/>
              </w:rPr>
              <w:t>Obwody, o których mowa w poprzednim ustępie, kończą się w punkcie połączenia.</w:t>
            </w:r>
          </w:p>
          <w:p w14:paraId="497DEEDA" w14:textId="7F41079E" w:rsidR="007F5D52" w:rsidRPr="009610AD" w:rsidRDefault="007F5D52" w:rsidP="00DD0AA6">
            <w:pPr>
              <w:jc w:val="both"/>
              <w:rPr>
                <w:rFonts w:ascii="Arial" w:hAnsi="Arial" w:cs="Arial"/>
                <w:color w:val="000000" w:themeColor="text1"/>
              </w:rPr>
            </w:pPr>
          </w:p>
          <w:p w14:paraId="7CCE4436" w14:textId="54594919" w:rsidR="007F5D52" w:rsidRPr="009610AD" w:rsidRDefault="007F5D52" w:rsidP="00DD0AA6">
            <w:pPr>
              <w:jc w:val="both"/>
              <w:rPr>
                <w:rFonts w:ascii="Arial" w:hAnsi="Arial" w:cs="Arial"/>
                <w:color w:val="000000" w:themeColor="text1"/>
              </w:rPr>
            </w:pPr>
            <w:r w:rsidRPr="009610AD">
              <w:rPr>
                <w:rFonts w:ascii="Arial" w:hAnsi="Arial"/>
                <w:color w:val="000000" w:themeColor="text1"/>
              </w:rPr>
              <w:t>W związku z tym postanowienia księgi 1, z wyjątkiem niniejszego rozdziału, nadal mają zastosowanie do:</w:t>
            </w:r>
          </w:p>
          <w:p w14:paraId="51D143C6" w14:textId="137062C2" w:rsidR="007F5D52" w:rsidRPr="009610AD" w:rsidRDefault="007F5D52" w:rsidP="00DD0AA6">
            <w:pPr>
              <w:jc w:val="both"/>
              <w:rPr>
                <w:rFonts w:ascii="Arial" w:hAnsi="Arial" w:cs="Arial"/>
                <w:color w:val="000000" w:themeColor="text1"/>
              </w:rPr>
            </w:pPr>
          </w:p>
          <w:p w14:paraId="4169E159" w14:textId="4DDA49C7" w:rsidR="007F5D52" w:rsidRPr="009610AD" w:rsidRDefault="007F5D52" w:rsidP="007F5D52">
            <w:pPr>
              <w:jc w:val="both"/>
              <w:rPr>
                <w:rFonts w:ascii="Arial" w:hAnsi="Arial" w:cs="Arial"/>
              </w:rPr>
            </w:pPr>
            <w:r w:rsidRPr="009610AD">
              <w:rPr>
                <w:rFonts w:ascii="Arial" w:hAnsi="Arial"/>
              </w:rPr>
              <w:t>1. istniejących stacji ładowania drogowych pojazdów elektrycznych, których budowa rozpoczęła się przed wejściem w życie niniejszego rozdziału;</w:t>
            </w:r>
          </w:p>
          <w:p w14:paraId="4A4D3ACC" w14:textId="77777777" w:rsidR="0001776B" w:rsidRPr="009610AD" w:rsidRDefault="0001776B" w:rsidP="007F5D52">
            <w:pPr>
              <w:jc w:val="both"/>
              <w:rPr>
                <w:rFonts w:ascii="Arial" w:hAnsi="Arial" w:cs="Arial"/>
              </w:rPr>
            </w:pPr>
          </w:p>
          <w:p w14:paraId="3BD62698" w14:textId="38C347F7" w:rsidR="007F5D52" w:rsidRPr="009610AD" w:rsidRDefault="007F5D52" w:rsidP="007F5D52">
            <w:pPr>
              <w:jc w:val="both"/>
              <w:rPr>
                <w:rFonts w:ascii="Arial" w:hAnsi="Arial" w:cs="Arial"/>
              </w:rPr>
            </w:pPr>
            <w:r w:rsidRPr="009610AD">
              <w:rPr>
                <w:rFonts w:ascii="Arial" w:hAnsi="Arial"/>
              </w:rPr>
              <w:t>2. stacji ładowania drogowych pojazdów elektrycznych, których projekt budowy, instalację lub wymianę rozpoczęto przed wejściem w życie niniejszego rozdziału, bez uszczerbku dla faktu, że kontrola zgodności, która ma zostać przeprowadzona przed jego wejściem w życie, odbędzie się po wejściu w życie niniejszego rozdziału.</w:t>
            </w:r>
          </w:p>
          <w:p w14:paraId="21935BA7" w14:textId="77777777" w:rsidR="007F5D52" w:rsidRPr="009610AD" w:rsidRDefault="007F5D52" w:rsidP="007F5D52">
            <w:pPr>
              <w:jc w:val="both"/>
              <w:rPr>
                <w:rFonts w:ascii="Arial" w:hAnsi="Arial" w:cs="Arial"/>
              </w:rPr>
            </w:pPr>
          </w:p>
          <w:p w14:paraId="2D2FE59E" w14:textId="7885F1E0" w:rsidR="007F5D52" w:rsidRPr="009610AD" w:rsidRDefault="007F5D52" w:rsidP="007F5D52">
            <w:pPr>
              <w:jc w:val="both"/>
              <w:rPr>
                <w:rFonts w:ascii="Arial" w:hAnsi="Arial" w:cs="Arial"/>
              </w:rPr>
            </w:pPr>
            <w:r w:rsidRPr="009610AD">
              <w:rPr>
                <w:rFonts w:ascii="Arial" w:hAnsi="Arial"/>
              </w:rPr>
              <w:t>Jeżeli istniejąca stacja ładowania, o której mowa w sekcji 1 ust. 4 zostanie dostosowana do przepisów Rozdziału 7.22, podlega ona kontroli zgodności przed jej oddaniem do użytku, zgodnie z przepisami rozdziału 7.22.</w:t>
            </w:r>
          </w:p>
          <w:p w14:paraId="13F9FA61" w14:textId="77777777" w:rsidR="007F5D52" w:rsidRPr="009610AD" w:rsidRDefault="007F5D52" w:rsidP="007F5D52">
            <w:pPr>
              <w:jc w:val="both"/>
              <w:rPr>
                <w:rFonts w:ascii="Arial" w:hAnsi="Arial" w:cs="Arial"/>
              </w:rPr>
            </w:pPr>
          </w:p>
          <w:p w14:paraId="78071E5F" w14:textId="13A03CB0" w:rsidR="007F5D52" w:rsidRPr="009610AD" w:rsidRDefault="007F5D52" w:rsidP="007F5D52">
            <w:pPr>
              <w:jc w:val="both"/>
              <w:rPr>
                <w:rFonts w:ascii="Arial" w:hAnsi="Arial" w:cs="Arial"/>
                <w:color w:val="000000" w:themeColor="text1"/>
              </w:rPr>
            </w:pPr>
            <w:r w:rsidRPr="009610AD">
              <w:rPr>
                <w:rFonts w:ascii="Arial" w:hAnsi="Arial"/>
              </w:rPr>
              <w:t>Jeżeli stacja ładowania wymieniona w sekcji 2 ust. 4 jest przystosowana do spełniania przepisów rozdziału 7.22, należy o tym poinformować uprawnioną organizację odpowiedzialną za sprawdzenie zgodności przed jej oddaniem do użytku. Informacja ta zostanie podana w sprawozdaniu z inspekcji.</w:t>
            </w:r>
          </w:p>
          <w:p w14:paraId="023EE1D2" w14:textId="1D98F1BB" w:rsidR="007F5D52" w:rsidRPr="009610AD" w:rsidRDefault="007F5D52" w:rsidP="00DD0AA6">
            <w:pPr>
              <w:jc w:val="both"/>
              <w:rPr>
                <w:rFonts w:ascii="Arial" w:hAnsi="Arial" w:cs="Arial"/>
                <w:color w:val="000000" w:themeColor="text1"/>
              </w:rPr>
            </w:pPr>
          </w:p>
          <w:p w14:paraId="50B1E8C4" w14:textId="77777777" w:rsidR="007D1226" w:rsidRPr="009610AD" w:rsidRDefault="007D1226" w:rsidP="007D1226">
            <w:pPr>
              <w:jc w:val="both"/>
              <w:rPr>
                <w:rFonts w:ascii="Arial" w:hAnsi="Arial" w:cs="Arial"/>
                <w:color w:val="000000" w:themeColor="text1"/>
              </w:rPr>
            </w:pPr>
            <w:r w:rsidRPr="009610AD">
              <w:rPr>
                <w:rFonts w:ascii="Arial" w:hAnsi="Arial"/>
                <w:color w:val="000000" w:themeColor="text1"/>
              </w:rPr>
              <w:t>Stała instalacja elektryczna przeznaczona do dostarczania energii do pojazdu elektrycznego podłączonego do źródła energii elektrycznej bez stałej stacji ładowania specyficznej dla pojazdów elektrycznych podlega ogólnym wymaganiom zawartym w innych częściach niniejszej Księgi.</w:t>
            </w:r>
          </w:p>
          <w:p w14:paraId="0ED44CAA" w14:textId="588C5D25" w:rsidR="0053287B" w:rsidRPr="009610AD" w:rsidRDefault="0053287B" w:rsidP="00DD0AA6">
            <w:pPr>
              <w:jc w:val="both"/>
              <w:rPr>
                <w:rFonts w:ascii="Arial" w:hAnsi="Arial" w:cs="Arial"/>
                <w:color w:val="000000" w:themeColor="text1"/>
              </w:rPr>
            </w:pPr>
          </w:p>
          <w:p w14:paraId="7D516316" w14:textId="77777777" w:rsidR="00DD0AA6" w:rsidRPr="009610AD" w:rsidRDefault="00DD0AA6" w:rsidP="00DD0AA6">
            <w:pPr>
              <w:jc w:val="both"/>
              <w:rPr>
                <w:rFonts w:ascii="Arial" w:hAnsi="Arial" w:cs="Arial"/>
                <w:color w:val="000000" w:themeColor="text1"/>
              </w:rPr>
            </w:pPr>
            <w:r w:rsidRPr="009610AD">
              <w:rPr>
                <w:rFonts w:ascii="Arial" w:hAnsi="Arial"/>
                <w:b/>
                <w:i/>
                <w:color w:val="000000" w:themeColor="text1"/>
              </w:rPr>
              <w:t>Sekcja 7.22.2. Terminy i definicje</w:t>
            </w:r>
          </w:p>
          <w:p w14:paraId="36534F8F" w14:textId="77777777" w:rsidR="00DD0AA6" w:rsidRPr="009610AD" w:rsidRDefault="00DD0AA6" w:rsidP="00DD0AA6">
            <w:pPr>
              <w:jc w:val="both"/>
              <w:rPr>
                <w:rFonts w:ascii="Arial" w:hAnsi="Arial" w:cs="Arial"/>
                <w:b/>
                <w:bCs/>
                <w:color w:val="000000" w:themeColor="text1"/>
              </w:rPr>
            </w:pPr>
          </w:p>
          <w:p w14:paraId="351FF180" w14:textId="77777777" w:rsidR="00DD0AA6" w:rsidRPr="009610AD" w:rsidRDefault="00DD0AA6" w:rsidP="00DD0AA6">
            <w:pPr>
              <w:jc w:val="both"/>
              <w:rPr>
                <w:rFonts w:ascii="Arial" w:hAnsi="Arial" w:cs="Arial"/>
                <w:color w:val="000000" w:themeColor="text1"/>
              </w:rPr>
            </w:pPr>
            <w:r w:rsidRPr="009610AD">
              <w:rPr>
                <w:rFonts w:ascii="Arial" w:hAnsi="Arial"/>
                <w:b/>
                <w:bCs/>
                <w:color w:val="000000" w:themeColor="text1"/>
              </w:rPr>
              <w:t>Drogowy pojazd elektryczny (zwany w niniejszym dziale pojazdem elektrycznym):</w:t>
            </w:r>
            <w:r w:rsidRPr="009610AD">
              <w:rPr>
                <w:rFonts w:ascii="Arial" w:hAnsi="Arial"/>
                <w:color w:val="000000" w:themeColor="text1"/>
              </w:rPr>
              <w:t xml:space="preserve"> każdy pojazd napędzany silnikiem elektrycznym, którego prąd elektryczny pochodzi z systemu magazynowania energii wielokrotnego ładowania, przeznaczony przede wszystkim do użytku na drogach publicznych.</w:t>
            </w:r>
          </w:p>
          <w:p w14:paraId="25807918" w14:textId="77777777" w:rsidR="00DD0AA6" w:rsidRPr="009610AD" w:rsidRDefault="00DD0AA6" w:rsidP="00DD0AA6">
            <w:pPr>
              <w:jc w:val="both"/>
              <w:rPr>
                <w:rFonts w:ascii="Arial" w:hAnsi="Arial" w:cs="Arial"/>
                <w:b/>
                <w:bCs/>
                <w:color w:val="000000" w:themeColor="text1"/>
              </w:rPr>
            </w:pPr>
          </w:p>
          <w:p w14:paraId="4CB24D08" w14:textId="77777777" w:rsidR="00DD0AA6" w:rsidRPr="009610AD" w:rsidRDefault="00DD0AA6" w:rsidP="00DD0AA6">
            <w:pPr>
              <w:jc w:val="both"/>
              <w:rPr>
                <w:rFonts w:ascii="Arial" w:hAnsi="Arial" w:cs="Arial"/>
                <w:color w:val="000000" w:themeColor="text1"/>
              </w:rPr>
            </w:pPr>
            <w:r w:rsidRPr="009610AD">
              <w:rPr>
                <w:rFonts w:ascii="Arial" w:hAnsi="Arial"/>
                <w:b/>
                <w:bCs/>
                <w:color w:val="000000" w:themeColor="text1"/>
              </w:rPr>
              <w:t>Stacja ładowania pojazdów elektrycznych (w niniejszym rozdziale określana jako stacja ładowania):</w:t>
            </w:r>
            <w:r w:rsidRPr="009610AD">
              <w:rPr>
                <w:rFonts w:ascii="Arial" w:hAnsi="Arial"/>
                <w:color w:val="000000" w:themeColor="text1"/>
              </w:rPr>
              <w:t xml:space="preserve"> wyposażenie lub zestaw wyposażenia trwale połączonej instalacji stacjonarnej z funkcjami przeznaczonymi do przesyłania energii elektrycznej między pojazdem elektrycznym a źródłem energii elektrycznej.</w:t>
            </w:r>
          </w:p>
          <w:p w14:paraId="3A25BC82" w14:textId="77777777" w:rsidR="00D903DF" w:rsidRPr="009610AD" w:rsidRDefault="00D903DF" w:rsidP="00DD0AA6">
            <w:pPr>
              <w:jc w:val="both"/>
              <w:rPr>
                <w:rFonts w:ascii="Arial" w:hAnsi="Arial" w:cs="Arial"/>
                <w:b/>
                <w:bCs/>
              </w:rPr>
            </w:pPr>
          </w:p>
          <w:p w14:paraId="55AF01DB" w14:textId="77777777" w:rsidR="00DD0AA6" w:rsidRPr="009610AD" w:rsidRDefault="00DD0AA6" w:rsidP="00DD0AA6">
            <w:pPr>
              <w:jc w:val="both"/>
              <w:rPr>
                <w:rFonts w:ascii="Arial" w:hAnsi="Arial" w:cs="Arial"/>
                <w:b/>
                <w:bCs/>
                <w:color w:val="000000" w:themeColor="text1"/>
              </w:rPr>
            </w:pPr>
            <w:r w:rsidRPr="009610AD">
              <w:rPr>
                <w:rFonts w:ascii="Arial" w:hAnsi="Arial"/>
                <w:b/>
                <w:bCs/>
              </w:rPr>
              <w:t>Punkt przyłączenia stacji ładowania pojazdów elektrycznych (zwany w niniejszym rozdziale punktem przyłączenia):</w:t>
            </w:r>
            <w:r w:rsidRPr="009610AD">
              <w:rPr>
                <w:rFonts w:ascii="Arial" w:hAnsi="Arial"/>
              </w:rPr>
              <w:t xml:space="preserve"> punkt końcowy stanowiący część stacji ładowania, </w:t>
            </w:r>
            <w:r w:rsidRPr="009610AD">
              <w:rPr>
                <w:rFonts w:ascii="Arial" w:hAnsi="Arial"/>
                <w:color w:val="000000" w:themeColor="text1"/>
              </w:rPr>
              <w:t>przez który energia jest przesyłana do lub z pojazdu elektrycznego.</w:t>
            </w:r>
          </w:p>
          <w:p w14:paraId="35E711B1" w14:textId="77777777" w:rsidR="00DD0AA6" w:rsidRPr="009610AD" w:rsidRDefault="00DD0AA6" w:rsidP="00DD0AA6">
            <w:pPr>
              <w:jc w:val="both"/>
              <w:rPr>
                <w:rFonts w:ascii="Arial" w:hAnsi="Arial" w:cs="Arial"/>
                <w:i/>
                <w:color w:val="000000" w:themeColor="text1"/>
              </w:rPr>
            </w:pPr>
          </w:p>
          <w:p w14:paraId="7C9E72B0" w14:textId="77777777" w:rsidR="00DD0AA6" w:rsidRPr="009610AD" w:rsidRDefault="00DD0AA6" w:rsidP="00DD0AA6">
            <w:pPr>
              <w:jc w:val="both"/>
              <w:rPr>
                <w:rFonts w:ascii="Arial" w:hAnsi="Arial" w:cs="Arial"/>
                <w:i/>
                <w:color w:val="000000" w:themeColor="text1"/>
              </w:rPr>
            </w:pPr>
            <w:r w:rsidRPr="009610AD">
              <w:rPr>
                <w:rFonts w:ascii="Arial" w:hAnsi="Arial"/>
                <w:i/>
                <w:color w:val="000000" w:themeColor="text1"/>
              </w:rPr>
              <w:t xml:space="preserve">Przykład: Gniazdo zasilania na stacji ładowania lub gniazdo pojazdu ruchomego. </w:t>
            </w:r>
          </w:p>
          <w:p w14:paraId="65A2BD66" w14:textId="1A54D647" w:rsidR="00DD0AA6" w:rsidRPr="009610AD" w:rsidRDefault="00DD0AA6" w:rsidP="00DD0AA6">
            <w:pPr>
              <w:jc w:val="both"/>
              <w:rPr>
                <w:rFonts w:ascii="Arial" w:hAnsi="Arial" w:cs="Arial"/>
                <w:i/>
                <w:color w:val="000000" w:themeColor="text1"/>
              </w:rPr>
            </w:pPr>
          </w:p>
          <w:p w14:paraId="2F48EED0" w14:textId="77777777" w:rsidR="00DD0AA6" w:rsidRPr="009610AD" w:rsidRDefault="00DD0AA6" w:rsidP="00DD0AA6">
            <w:pPr>
              <w:jc w:val="both"/>
              <w:rPr>
                <w:rFonts w:ascii="Arial" w:hAnsi="Arial" w:cs="Arial"/>
                <w:i/>
                <w:color w:val="000000" w:themeColor="text1"/>
              </w:rPr>
            </w:pPr>
            <w:r w:rsidRPr="009610AD">
              <w:rPr>
                <w:rFonts w:ascii="Arial" w:hAnsi="Arial"/>
                <w:b/>
                <w:i/>
                <w:color w:val="000000" w:themeColor="text1"/>
              </w:rPr>
              <w:t>Sekcja 7.22.3. Określenie ogólnych charakterystyk - dział instalacji</w:t>
            </w:r>
          </w:p>
          <w:p w14:paraId="1BFE659A" w14:textId="77777777" w:rsidR="00DD0AA6" w:rsidRPr="009610AD" w:rsidRDefault="00DD0AA6" w:rsidP="00DD0AA6">
            <w:pPr>
              <w:jc w:val="both"/>
              <w:rPr>
                <w:rFonts w:ascii="Arial" w:hAnsi="Arial" w:cs="Arial"/>
                <w:b/>
                <w:color w:val="000000" w:themeColor="text1"/>
                <w:lang w:eastAsia="nl-NL"/>
              </w:rPr>
            </w:pPr>
          </w:p>
          <w:p w14:paraId="098C75BA"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Zabrania się podłączania stacji ładowania do stałej instalacji elektrycznej za pomocą gniazdka elektrycznego.</w:t>
            </w:r>
          </w:p>
          <w:p w14:paraId="6C8D1D8F" w14:textId="77777777" w:rsidR="00DD0AA6" w:rsidRPr="009610AD" w:rsidRDefault="00DD0AA6" w:rsidP="00DD0AA6">
            <w:pPr>
              <w:jc w:val="both"/>
              <w:rPr>
                <w:rFonts w:ascii="Arial" w:hAnsi="Arial" w:cs="Arial"/>
                <w:color w:val="000000" w:themeColor="text1"/>
                <w:lang w:eastAsia="nl-NL"/>
              </w:rPr>
            </w:pPr>
          </w:p>
          <w:p w14:paraId="7CB3F19A"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Dla każdego punktu przyłączeniowego przewidziany jest dedykowany obwód.</w:t>
            </w:r>
          </w:p>
          <w:p w14:paraId="1E48AE7D" w14:textId="77777777" w:rsidR="00DD0AA6" w:rsidRPr="009610AD" w:rsidRDefault="00DD0AA6" w:rsidP="00DD0AA6">
            <w:pPr>
              <w:jc w:val="both"/>
              <w:rPr>
                <w:rFonts w:ascii="Arial" w:hAnsi="Arial" w:cs="Arial"/>
                <w:color w:val="000000" w:themeColor="text1"/>
                <w:lang w:eastAsia="nl-NL"/>
              </w:rPr>
            </w:pPr>
          </w:p>
          <w:p w14:paraId="655AA988" w14:textId="77777777" w:rsidR="00DD0AA6" w:rsidRPr="009610AD" w:rsidRDefault="00DD0AA6" w:rsidP="00DD0AA6">
            <w:pPr>
              <w:jc w:val="both"/>
              <w:rPr>
                <w:rFonts w:ascii="Arial" w:hAnsi="Arial" w:cs="Arial"/>
              </w:rPr>
            </w:pPr>
            <w:r w:rsidRPr="009610AD">
              <w:rPr>
                <w:rFonts w:ascii="Arial" w:hAnsi="Arial"/>
              </w:rPr>
              <w:t>Wymóg określony w poprzednim punkcie jest spełniony poprzez zastosowanie odpowiednich urządzeń zabezpieczających albo w stałej instalacji elektrycznej przed ładowaniem, albo w stacji ładowania (lub w połączeniu obu tych elementów).</w:t>
            </w:r>
          </w:p>
          <w:p w14:paraId="6226A21E" w14:textId="77777777" w:rsidR="00DD0AA6" w:rsidRPr="009610AD" w:rsidRDefault="00DD0AA6" w:rsidP="00DD0AA6">
            <w:pPr>
              <w:jc w:val="both"/>
              <w:rPr>
                <w:rFonts w:ascii="Arial" w:hAnsi="Arial" w:cs="Arial"/>
                <w:color w:val="000000" w:themeColor="text1"/>
                <w:lang w:eastAsia="nl-NL"/>
              </w:rPr>
            </w:pPr>
          </w:p>
          <w:p w14:paraId="7F263F52" w14:textId="77777777" w:rsidR="00DD0AA6" w:rsidRPr="009610AD" w:rsidRDefault="00DD0AA6" w:rsidP="00DD0AA6">
            <w:pPr>
              <w:jc w:val="both"/>
              <w:rPr>
                <w:rFonts w:ascii="Arial" w:hAnsi="Arial" w:cs="Arial"/>
                <w:color w:val="000000" w:themeColor="text1"/>
                <w:lang w:eastAsia="nl-NL"/>
              </w:rPr>
            </w:pPr>
          </w:p>
          <w:p w14:paraId="4B415C89" w14:textId="1412941B" w:rsidR="00BF274B" w:rsidRPr="009610AD" w:rsidRDefault="00DD0AA6" w:rsidP="00DD0AA6">
            <w:pPr>
              <w:jc w:val="both"/>
              <w:rPr>
                <w:rFonts w:ascii="Arial" w:hAnsi="Arial" w:cs="Arial"/>
                <w:color w:val="000000" w:themeColor="text1"/>
              </w:rPr>
            </w:pPr>
            <w:r w:rsidRPr="009610AD">
              <w:rPr>
                <w:rFonts w:ascii="Arial" w:hAnsi="Arial"/>
                <w:color w:val="000000" w:themeColor="text1"/>
              </w:rPr>
              <w:t>Rysunki 7.17. do 7.20. ilustrują niektóre możliwe konfiguracje w celu wyjaśnienia. Nie są one wyczerpujące:</w:t>
            </w:r>
          </w:p>
          <w:p w14:paraId="08689D10" w14:textId="129DD840" w:rsidR="00BF274B" w:rsidRPr="009610AD" w:rsidRDefault="00BF274B" w:rsidP="00BF274B">
            <w:pPr>
              <w:jc w:val="center"/>
              <w:rPr>
                <w:rFonts w:ascii="Arial" w:hAnsi="Arial" w:cs="Arial"/>
                <w:lang w:val="nl-BE"/>
              </w:rPr>
            </w:pPr>
          </w:p>
        </w:tc>
      </w:tr>
      <w:tr w:rsidR="00BF274B" w:rsidRPr="009610AD" w14:paraId="2E40607B" w14:textId="77777777" w:rsidTr="00EB6A7E">
        <w:tc>
          <w:tcPr>
            <w:tcW w:w="9553" w:type="dxa"/>
            <w:gridSpan w:val="4"/>
          </w:tcPr>
          <w:p w14:paraId="0552BC3F" w14:textId="1635BD60" w:rsidR="00BF274B" w:rsidRPr="009610AD" w:rsidRDefault="00BF274B" w:rsidP="00BF274B">
            <w:pPr>
              <w:jc w:val="both"/>
            </w:pPr>
            <w:r w:rsidRPr="009610AD">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18708" r:id="rId13"/>
              </w:object>
            </w:r>
          </w:p>
          <w:tbl>
            <w:tblPr>
              <w:tblStyle w:val="TableGrid"/>
              <w:tblW w:w="9327" w:type="dxa"/>
              <w:tblLayout w:type="fixed"/>
              <w:tblLook w:val="04A0" w:firstRow="1" w:lastRow="0" w:firstColumn="1" w:lastColumn="0" w:noHBand="0" w:noVBand="1"/>
            </w:tblPr>
            <w:tblGrid>
              <w:gridCol w:w="4663"/>
              <w:gridCol w:w="4664"/>
            </w:tblGrid>
            <w:tr w:rsidR="000A56F6" w:rsidRPr="009610AD" w14:paraId="03E40545" w14:textId="77777777" w:rsidTr="000A56F6">
              <w:tc>
                <w:tcPr>
                  <w:tcW w:w="4663" w:type="dxa"/>
                </w:tcPr>
                <w:p w14:paraId="19017FD1" w14:textId="71B71419" w:rsidR="000A56F6" w:rsidRPr="009610AD" w:rsidRDefault="000A56F6" w:rsidP="000A56F6">
                  <w:pPr>
                    <w:jc w:val="both"/>
                    <w:rPr>
                      <w:rFonts w:ascii="Arial" w:hAnsi="Arial" w:cs="Arial"/>
                    </w:rPr>
                  </w:pPr>
                  <w:r w:rsidRPr="009610AD">
                    <w:rPr>
                      <w:rFonts w:ascii="Arial" w:hAnsi="Arial"/>
                      <w:sz w:val="20"/>
                      <w:lang w:val="nl-BE"/>
                    </w:rPr>
                    <w:t>Point de connexion</w:t>
                  </w:r>
                </w:p>
              </w:tc>
              <w:tc>
                <w:tcPr>
                  <w:tcW w:w="4664" w:type="dxa"/>
                </w:tcPr>
                <w:p w14:paraId="50A7A09A" w14:textId="710B6923" w:rsidR="000A56F6" w:rsidRPr="009610AD" w:rsidRDefault="000A56F6" w:rsidP="000A56F6">
                  <w:pPr>
                    <w:jc w:val="both"/>
                    <w:rPr>
                      <w:rFonts w:ascii="Arial" w:hAnsi="Arial" w:cs="Arial"/>
                      <w:b/>
                      <w:bCs/>
                    </w:rPr>
                  </w:pPr>
                  <w:r w:rsidRPr="009610AD">
                    <w:rPr>
                      <w:rFonts w:ascii="Arial" w:hAnsi="Arial"/>
                      <w:sz w:val="20"/>
                    </w:rPr>
                    <w:t>Punkt przyłączeniowy</w:t>
                  </w:r>
                </w:p>
              </w:tc>
            </w:tr>
            <w:tr w:rsidR="000A56F6" w:rsidRPr="009610AD" w14:paraId="7AAC3ED2" w14:textId="77777777" w:rsidTr="000A56F6">
              <w:tc>
                <w:tcPr>
                  <w:tcW w:w="4663" w:type="dxa"/>
                </w:tcPr>
                <w:p w14:paraId="7343507A" w14:textId="197416B8" w:rsidR="000A56F6" w:rsidRPr="009610AD" w:rsidRDefault="000A56F6" w:rsidP="000A56F6">
                  <w:pPr>
                    <w:jc w:val="both"/>
                    <w:rPr>
                      <w:rFonts w:ascii="Arial" w:hAnsi="Arial" w:cs="Arial"/>
                      <w:sz w:val="20"/>
                      <w:szCs w:val="20"/>
                    </w:rPr>
                  </w:pPr>
                  <w:r w:rsidRPr="009610AD">
                    <w:rPr>
                      <w:rFonts w:ascii="Arial" w:hAnsi="Arial"/>
                      <w:sz w:val="20"/>
                      <w:lang w:val="nl-BE"/>
                    </w:rPr>
                    <w:t>Câble souple mobile</w:t>
                  </w:r>
                </w:p>
              </w:tc>
              <w:tc>
                <w:tcPr>
                  <w:tcW w:w="4664" w:type="dxa"/>
                </w:tcPr>
                <w:p w14:paraId="4302B418" w14:textId="5DCD49EA" w:rsidR="000A56F6" w:rsidRPr="009610AD" w:rsidRDefault="000A56F6" w:rsidP="000A56F6">
                  <w:pPr>
                    <w:jc w:val="both"/>
                    <w:rPr>
                      <w:rFonts w:ascii="Arial" w:hAnsi="Arial" w:cs="Arial"/>
                      <w:b/>
                      <w:bCs/>
                    </w:rPr>
                  </w:pPr>
                  <w:r w:rsidRPr="009610AD">
                    <w:rPr>
                      <w:rFonts w:ascii="Arial" w:hAnsi="Arial"/>
                      <w:sz w:val="20"/>
                    </w:rPr>
                    <w:t>Ruchomy elastyczny kabel</w:t>
                  </w:r>
                </w:p>
              </w:tc>
            </w:tr>
            <w:tr w:rsidR="000A56F6" w:rsidRPr="009610AD" w14:paraId="335A58B1" w14:textId="77777777" w:rsidTr="000A56F6">
              <w:tc>
                <w:tcPr>
                  <w:tcW w:w="4663" w:type="dxa"/>
                </w:tcPr>
                <w:p w14:paraId="55CD6C21" w14:textId="6E6A14CE" w:rsidR="000A56F6" w:rsidRPr="009610AD" w:rsidRDefault="000A56F6" w:rsidP="000A56F6">
                  <w:pPr>
                    <w:jc w:val="both"/>
                    <w:rPr>
                      <w:rFonts w:ascii="Arial" w:hAnsi="Arial" w:cs="Arial"/>
                      <w:sz w:val="20"/>
                      <w:szCs w:val="20"/>
                    </w:rPr>
                  </w:pPr>
                  <w:r w:rsidRPr="009610AD">
                    <w:rPr>
                      <w:rFonts w:ascii="Arial" w:hAnsi="Arial"/>
                      <w:sz w:val="20"/>
                      <w:lang w:val="nl-BE"/>
                    </w:rPr>
                    <w:t>Alimentation</w:t>
                  </w:r>
                </w:p>
              </w:tc>
              <w:tc>
                <w:tcPr>
                  <w:tcW w:w="4664" w:type="dxa"/>
                </w:tcPr>
                <w:p w14:paraId="4952DA63" w14:textId="27998CEC" w:rsidR="000A56F6" w:rsidRPr="009610AD" w:rsidRDefault="000A56F6" w:rsidP="000A56F6">
                  <w:pPr>
                    <w:jc w:val="both"/>
                    <w:rPr>
                      <w:rFonts w:ascii="Arial" w:hAnsi="Arial" w:cs="Arial"/>
                      <w:b/>
                      <w:bCs/>
                    </w:rPr>
                  </w:pPr>
                  <w:r w:rsidRPr="009610AD">
                    <w:rPr>
                      <w:rFonts w:ascii="Arial" w:hAnsi="Arial"/>
                      <w:sz w:val="20"/>
                    </w:rPr>
                    <w:t>Zasilanie</w:t>
                  </w:r>
                </w:p>
              </w:tc>
            </w:tr>
            <w:tr w:rsidR="000A56F6" w:rsidRPr="009610AD" w14:paraId="21BDEA3C" w14:textId="77777777" w:rsidTr="000A56F6">
              <w:tc>
                <w:tcPr>
                  <w:tcW w:w="4663" w:type="dxa"/>
                </w:tcPr>
                <w:p w14:paraId="138BD0F7" w14:textId="78E86A27" w:rsidR="000A56F6" w:rsidRPr="009610AD" w:rsidRDefault="000A56F6" w:rsidP="000A56F6">
                  <w:pPr>
                    <w:jc w:val="both"/>
                    <w:rPr>
                      <w:rFonts w:ascii="Arial" w:hAnsi="Arial" w:cs="Arial"/>
                      <w:sz w:val="20"/>
                      <w:szCs w:val="20"/>
                    </w:rPr>
                  </w:pPr>
                  <w:r w:rsidRPr="009610AD">
                    <w:rPr>
                      <w:rFonts w:ascii="Arial" w:hAnsi="Arial"/>
                      <w:sz w:val="20"/>
                      <w:lang w:val="nl-BE"/>
                    </w:rPr>
                    <w:t>Tableau de manœuvre et de répartition</w:t>
                  </w:r>
                </w:p>
              </w:tc>
              <w:tc>
                <w:tcPr>
                  <w:tcW w:w="4664" w:type="dxa"/>
                </w:tcPr>
                <w:p w14:paraId="74F0F976" w14:textId="48BFF753" w:rsidR="000A56F6" w:rsidRPr="009610AD" w:rsidRDefault="000A56F6" w:rsidP="000A56F6">
                  <w:pPr>
                    <w:jc w:val="both"/>
                    <w:rPr>
                      <w:rFonts w:ascii="Arial" w:hAnsi="Arial" w:cs="Arial"/>
                      <w:b/>
                      <w:bCs/>
                    </w:rPr>
                  </w:pPr>
                  <w:r w:rsidRPr="009610AD">
                    <w:rPr>
                      <w:rFonts w:ascii="Arial" w:hAnsi="Arial"/>
                      <w:sz w:val="20"/>
                    </w:rPr>
                    <w:t>Panel obsługi i dystrybucji</w:t>
                  </w:r>
                </w:p>
              </w:tc>
            </w:tr>
            <w:tr w:rsidR="000A56F6" w:rsidRPr="009610AD" w14:paraId="024B7DA7" w14:textId="77777777" w:rsidTr="000A56F6">
              <w:tc>
                <w:tcPr>
                  <w:tcW w:w="4663" w:type="dxa"/>
                </w:tcPr>
                <w:p w14:paraId="77CAEAD1" w14:textId="54BC0807" w:rsidR="000A56F6" w:rsidRPr="009610AD" w:rsidRDefault="000A56F6" w:rsidP="000A56F6">
                  <w:pPr>
                    <w:jc w:val="both"/>
                    <w:rPr>
                      <w:rFonts w:ascii="Arial" w:hAnsi="Arial" w:cs="Arial"/>
                      <w:sz w:val="20"/>
                      <w:szCs w:val="20"/>
                    </w:rPr>
                  </w:pPr>
                  <w:r w:rsidRPr="009610AD">
                    <w:rPr>
                      <w:rFonts w:ascii="Arial" w:hAnsi="Arial"/>
                      <w:sz w:val="20"/>
                      <w:lang w:val="nl-BE"/>
                    </w:rPr>
                    <w:t>Borne de charge</w:t>
                  </w:r>
                </w:p>
              </w:tc>
              <w:tc>
                <w:tcPr>
                  <w:tcW w:w="4664" w:type="dxa"/>
                </w:tcPr>
                <w:p w14:paraId="7F69240C" w14:textId="078010D5" w:rsidR="000A56F6" w:rsidRPr="009610AD" w:rsidRDefault="000A56F6" w:rsidP="000A56F6">
                  <w:pPr>
                    <w:jc w:val="both"/>
                    <w:rPr>
                      <w:rFonts w:ascii="Arial" w:hAnsi="Arial" w:cs="Arial"/>
                      <w:b/>
                      <w:bCs/>
                    </w:rPr>
                  </w:pPr>
                  <w:r w:rsidRPr="009610AD">
                    <w:rPr>
                      <w:rFonts w:ascii="Arial" w:hAnsi="Arial"/>
                      <w:sz w:val="20"/>
                    </w:rPr>
                    <w:t>Stacja ładowania</w:t>
                  </w:r>
                </w:p>
              </w:tc>
            </w:tr>
            <w:tr w:rsidR="000A56F6" w:rsidRPr="009610AD" w14:paraId="05D5883B" w14:textId="77777777" w:rsidTr="000A56F6">
              <w:tc>
                <w:tcPr>
                  <w:tcW w:w="4663" w:type="dxa"/>
                </w:tcPr>
                <w:p w14:paraId="3FE00913" w14:textId="6C7E6C95" w:rsidR="000A56F6" w:rsidRPr="009610AD" w:rsidRDefault="000A56F6" w:rsidP="000A56F6">
                  <w:pPr>
                    <w:jc w:val="both"/>
                    <w:rPr>
                      <w:rFonts w:ascii="Arial" w:hAnsi="Arial" w:cs="Arial"/>
                      <w:sz w:val="20"/>
                      <w:szCs w:val="20"/>
                    </w:rPr>
                  </w:pPr>
                  <w:r w:rsidRPr="009610AD">
                    <w:rPr>
                      <w:rFonts w:ascii="Arial" w:hAnsi="Arial"/>
                      <w:sz w:val="20"/>
                      <w:lang w:val="nl-BE"/>
                    </w:rPr>
                    <w:t>Véhicule électrique</w:t>
                  </w:r>
                </w:p>
              </w:tc>
              <w:tc>
                <w:tcPr>
                  <w:tcW w:w="4664" w:type="dxa"/>
                </w:tcPr>
                <w:p w14:paraId="293ECB5E" w14:textId="57128183" w:rsidR="000A56F6" w:rsidRPr="009610AD" w:rsidRDefault="000A56F6" w:rsidP="000A56F6">
                  <w:pPr>
                    <w:jc w:val="both"/>
                    <w:rPr>
                      <w:rFonts w:ascii="Arial" w:hAnsi="Arial" w:cs="Arial"/>
                      <w:b/>
                      <w:bCs/>
                    </w:rPr>
                  </w:pPr>
                  <w:r w:rsidRPr="009610AD">
                    <w:rPr>
                      <w:rFonts w:ascii="Arial" w:hAnsi="Arial"/>
                      <w:sz w:val="20"/>
                    </w:rPr>
                    <w:t>Pojazd elektryczny</w:t>
                  </w:r>
                </w:p>
              </w:tc>
            </w:tr>
            <w:tr w:rsidR="000A56F6" w:rsidRPr="009610AD" w14:paraId="71425E02" w14:textId="77777777" w:rsidTr="000A56F6">
              <w:tc>
                <w:tcPr>
                  <w:tcW w:w="4663" w:type="dxa"/>
                </w:tcPr>
                <w:p w14:paraId="33339C6C" w14:textId="221EE72E" w:rsidR="000A56F6" w:rsidRPr="009610AD" w:rsidRDefault="000A56F6" w:rsidP="000A56F6">
                  <w:pPr>
                    <w:jc w:val="both"/>
                    <w:rPr>
                      <w:rFonts w:ascii="Arial" w:hAnsi="Arial" w:cs="Arial"/>
                      <w:sz w:val="20"/>
                      <w:szCs w:val="20"/>
                    </w:rPr>
                  </w:pPr>
                  <w:r w:rsidRPr="009610AD">
                    <w:rPr>
                      <w:rFonts w:ascii="Arial" w:hAnsi="Arial"/>
                      <w:sz w:val="20"/>
                      <w:lang w:val="nl-BE"/>
                    </w:rPr>
                    <w:t>Circuit dédié</w:t>
                  </w:r>
                </w:p>
              </w:tc>
              <w:tc>
                <w:tcPr>
                  <w:tcW w:w="4664" w:type="dxa"/>
                </w:tcPr>
                <w:p w14:paraId="218EAC0A" w14:textId="7BFF5906" w:rsidR="000A56F6" w:rsidRPr="009610AD" w:rsidRDefault="000A56F6" w:rsidP="000A56F6">
                  <w:pPr>
                    <w:jc w:val="both"/>
                    <w:rPr>
                      <w:rFonts w:ascii="Arial" w:hAnsi="Arial" w:cs="Arial"/>
                      <w:b/>
                      <w:bCs/>
                    </w:rPr>
                  </w:pPr>
                  <w:r w:rsidRPr="009610AD">
                    <w:rPr>
                      <w:rFonts w:ascii="Arial" w:hAnsi="Arial"/>
                      <w:sz w:val="20"/>
                    </w:rPr>
                    <w:t>Obwód dedykowany</w:t>
                  </w:r>
                </w:p>
              </w:tc>
            </w:tr>
          </w:tbl>
          <w:p w14:paraId="26AEC2B9" w14:textId="77777777" w:rsidR="000049F2" w:rsidRPr="009610AD" w:rsidRDefault="000049F2" w:rsidP="00BF274B">
            <w:pPr>
              <w:jc w:val="both"/>
              <w:rPr>
                <w:rFonts w:ascii="Arial" w:hAnsi="Arial" w:cs="Arial"/>
                <w:b/>
                <w:bCs/>
                <w:lang w:val="nl-BE"/>
              </w:rPr>
            </w:pPr>
          </w:p>
          <w:p w14:paraId="520C7B87" w14:textId="77777777" w:rsidR="00BF274B" w:rsidRPr="009610AD" w:rsidRDefault="00BF274B" w:rsidP="00BF274B">
            <w:pPr>
              <w:jc w:val="center"/>
              <w:rPr>
                <w:rFonts w:ascii="Arial" w:hAnsi="Arial" w:cs="Arial"/>
                <w:b/>
                <w:i/>
                <w:color w:val="000000" w:themeColor="text1"/>
                <w:sz w:val="16"/>
                <w:szCs w:val="16"/>
              </w:rPr>
            </w:pPr>
            <w:r w:rsidRPr="009610AD">
              <w:rPr>
                <w:rFonts w:ascii="Arial" w:hAnsi="Arial"/>
                <w:b/>
                <w:i/>
                <w:color w:val="000000" w:themeColor="text1"/>
                <w:sz w:val="16"/>
              </w:rPr>
              <w:t>Rys. 7.17. Stacja ładowania z punktem przyłączeniowym „gniazda pojazdu mobilnego" stanowiącym część stacji ładowania (urządzenie zabezpieczające przed nadmiernym prądem dedykowanego obwodu zintegrowanego z panelem obsługi i dystrybucji)</w:t>
            </w:r>
          </w:p>
          <w:p w14:paraId="45EC109A" w14:textId="77777777" w:rsidR="00BF274B" w:rsidRPr="009610AD" w:rsidRDefault="00BF274B" w:rsidP="00BF274B">
            <w:pPr>
              <w:jc w:val="both"/>
              <w:rPr>
                <w:rFonts w:ascii="Arial" w:hAnsi="Arial" w:cs="Arial"/>
                <w:b/>
                <w:bCs/>
              </w:rPr>
            </w:pPr>
          </w:p>
          <w:p w14:paraId="0C45C3A2" w14:textId="77777777" w:rsidR="00BF274B" w:rsidRPr="009610AD" w:rsidRDefault="00BF274B" w:rsidP="00BF274B">
            <w:pPr>
              <w:jc w:val="center"/>
              <w:rPr>
                <w:rFonts w:ascii="Arial" w:hAnsi="Arial" w:cs="Arial"/>
                <w:b/>
                <w:bCs/>
              </w:rPr>
            </w:pPr>
            <w:r w:rsidRPr="009610AD">
              <w:object w:dxaOrig="6960" w:dyaOrig="4500" w14:anchorId="57A2DD5C">
                <v:shape id="_x0000_i1026" type="#_x0000_t75" style="width:346.8pt;height:223.3pt" o:ole="">
                  <v:imagedata r:id="rId14" o:title=""/>
                </v:shape>
                <o:OLEObject Type="Embed" ProgID="PBrush" ShapeID="_x0000_i1026" DrawAspect="Content" ObjectID="_1728718709" r:id="rId15"/>
              </w:object>
            </w:r>
          </w:p>
          <w:tbl>
            <w:tblPr>
              <w:tblStyle w:val="TableGrid"/>
              <w:tblW w:w="9327" w:type="dxa"/>
              <w:tblLayout w:type="fixed"/>
              <w:tblLook w:val="04A0" w:firstRow="1" w:lastRow="0" w:firstColumn="1" w:lastColumn="0" w:noHBand="0" w:noVBand="1"/>
            </w:tblPr>
            <w:tblGrid>
              <w:gridCol w:w="4663"/>
              <w:gridCol w:w="4664"/>
            </w:tblGrid>
            <w:tr w:rsidR="00067D4A" w:rsidRPr="009610AD" w14:paraId="09FD5F05" w14:textId="77777777" w:rsidTr="00A40009">
              <w:tc>
                <w:tcPr>
                  <w:tcW w:w="4663" w:type="dxa"/>
                </w:tcPr>
                <w:p w14:paraId="0C2BD7F0" w14:textId="77777777" w:rsidR="00067D4A" w:rsidRPr="009610AD" w:rsidRDefault="00067D4A" w:rsidP="00067D4A">
                  <w:pPr>
                    <w:jc w:val="both"/>
                    <w:rPr>
                      <w:rFonts w:ascii="Arial" w:hAnsi="Arial" w:cs="Arial"/>
                    </w:rPr>
                  </w:pPr>
                  <w:r w:rsidRPr="009610AD">
                    <w:rPr>
                      <w:rFonts w:ascii="Arial" w:hAnsi="Arial"/>
                      <w:sz w:val="20"/>
                      <w:lang w:val="nl-BE"/>
                    </w:rPr>
                    <w:t>Point de connexion</w:t>
                  </w:r>
                </w:p>
              </w:tc>
              <w:tc>
                <w:tcPr>
                  <w:tcW w:w="4664" w:type="dxa"/>
                </w:tcPr>
                <w:p w14:paraId="0907C42B" w14:textId="77777777" w:rsidR="00067D4A" w:rsidRPr="009610AD" w:rsidRDefault="00067D4A" w:rsidP="00067D4A">
                  <w:pPr>
                    <w:jc w:val="both"/>
                    <w:rPr>
                      <w:rFonts w:ascii="Arial" w:hAnsi="Arial" w:cs="Arial"/>
                      <w:b/>
                      <w:bCs/>
                    </w:rPr>
                  </w:pPr>
                  <w:r w:rsidRPr="009610AD">
                    <w:rPr>
                      <w:rFonts w:ascii="Arial" w:hAnsi="Arial"/>
                      <w:sz w:val="20"/>
                    </w:rPr>
                    <w:t>Punkt przyłączeniowy</w:t>
                  </w:r>
                </w:p>
              </w:tc>
            </w:tr>
            <w:tr w:rsidR="00067D4A" w:rsidRPr="009610AD" w14:paraId="15E3411C" w14:textId="77777777" w:rsidTr="00A40009">
              <w:tc>
                <w:tcPr>
                  <w:tcW w:w="4663" w:type="dxa"/>
                </w:tcPr>
                <w:p w14:paraId="5832FB89" w14:textId="77777777" w:rsidR="00067D4A" w:rsidRPr="009610AD" w:rsidRDefault="00067D4A" w:rsidP="00067D4A">
                  <w:pPr>
                    <w:jc w:val="both"/>
                    <w:rPr>
                      <w:rFonts w:ascii="Arial" w:hAnsi="Arial" w:cs="Arial"/>
                      <w:sz w:val="20"/>
                      <w:szCs w:val="20"/>
                    </w:rPr>
                  </w:pPr>
                  <w:r w:rsidRPr="009610AD">
                    <w:rPr>
                      <w:rFonts w:ascii="Arial" w:hAnsi="Arial"/>
                      <w:sz w:val="20"/>
                      <w:lang w:val="nl-BE"/>
                    </w:rPr>
                    <w:t>Câble souple mobile</w:t>
                  </w:r>
                </w:p>
              </w:tc>
              <w:tc>
                <w:tcPr>
                  <w:tcW w:w="4664" w:type="dxa"/>
                </w:tcPr>
                <w:p w14:paraId="36E8A3DE" w14:textId="77777777" w:rsidR="00067D4A" w:rsidRPr="009610AD" w:rsidRDefault="00067D4A" w:rsidP="00067D4A">
                  <w:pPr>
                    <w:jc w:val="both"/>
                    <w:rPr>
                      <w:rFonts w:ascii="Arial" w:hAnsi="Arial" w:cs="Arial"/>
                      <w:b/>
                      <w:bCs/>
                    </w:rPr>
                  </w:pPr>
                  <w:r w:rsidRPr="009610AD">
                    <w:rPr>
                      <w:rFonts w:ascii="Arial" w:hAnsi="Arial"/>
                      <w:sz w:val="20"/>
                    </w:rPr>
                    <w:t>Ruchomy elastyczny kabel</w:t>
                  </w:r>
                </w:p>
              </w:tc>
            </w:tr>
            <w:tr w:rsidR="00067D4A" w:rsidRPr="009610AD" w14:paraId="2F5957E4" w14:textId="77777777" w:rsidTr="00A40009">
              <w:tc>
                <w:tcPr>
                  <w:tcW w:w="4663" w:type="dxa"/>
                </w:tcPr>
                <w:p w14:paraId="4A459142" w14:textId="77777777" w:rsidR="00067D4A" w:rsidRPr="009610AD" w:rsidRDefault="00067D4A" w:rsidP="00067D4A">
                  <w:pPr>
                    <w:jc w:val="both"/>
                    <w:rPr>
                      <w:rFonts w:ascii="Arial" w:hAnsi="Arial" w:cs="Arial"/>
                      <w:sz w:val="20"/>
                      <w:szCs w:val="20"/>
                    </w:rPr>
                  </w:pPr>
                  <w:r w:rsidRPr="009610AD">
                    <w:rPr>
                      <w:rFonts w:ascii="Arial" w:hAnsi="Arial"/>
                      <w:sz w:val="20"/>
                      <w:lang w:val="nl-BE"/>
                    </w:rPr>
                    <w:t>Alimentation</w:t>
                  </w:r>
                </w:p>
              </w:tc>
              <w:tc>
                <w:tcPr>
                  <w:tcW w:w="4664" w:type="dxa"/>
                </w:tcPr>
                <w:p w14:paraId="69E272C1" w14:textId="77777777" w:rsidR="00067D4A" w:rsidRPr="009610AD" w:rsidRDefault="00067D4A" w:rsidP="00067D4A">
                  <w:pPr>
                    <w:jc w:val="both"/>
                    <w:rPr>
                      <w:rFonts w:ascii="Arial" w:hAnsi="Arial" w:cs="Arial"/>
                      <w:b/>
                      <w:bCs/>
                    </w:rPr>
                  </w:pPr>
                  <w:r w:rsidRPr="009610AD">
                    <w:rPr>
                      <w:rFonts w:ascii="Arial" w:hAnsi="Arial"/>
                      <w:sz w:val="20"/>
                    </w:rPr>
                    <w:t>Zasilanie</w:t>
                  </w:r>
                </w:p>
              </w:tc>
            </w:tr>
            <w:tr w:rsidR="00067D4A" w:rsidRPr="009610AD" w14:paraId="4CBD734A" w14:textId="77777777" w:rsidTr="00A40009">
              <w:tc>
                <w:tcPr>
                  <w:tcW w:w="4663" w:type="dxa"/>
                </w:tcPr>
                <w:p w14:paraId="4FD008A6" w14:textId="77777777" w:rsidR="00067D4A" w:rsidRPr="009610AD" w:rsidRDefault="00067D4A" w:rsidP="00067D4A">
                  <w:pPr>
                    <w:jc w:val="both"/>
                    <w:rPr>
                      <w:rFonts w:ascii="Arial" w:hAnsi="Arial" w:cs="Arial"/>
                      <w:sz w:val="20"/>
                      <w:szCs w:val="20"/>
                    </w:rPr>
                  </w:pPr>
                  <w:r w:rsidRPr="009610AD">
                    <w:rPr>
                      <w:rFonts w:ascii="Arial" w:hAnsi="Arial"/>
                      <w:sz w:val="20"/>
                      <w:lang w:val="nl-BE"/>
                    </w:rPr>
                    <w:t>Borne de charge</w:t>
                  </w:r>
                </w:p>
              </w:tc>
              <w:tc>
                <w:tcPr>
                  <w:tcW w:w="4664" w:type="dxa"/>
                </w:tcPr>
                <w:p w14:paraId="7AE8B6E5" w14:textId="77777777" w:rsidR="00067D4A" w:rsidRPr="009610AD" w:rsidRDefault="00067D4A" w:rsidP="00067D4A">
                  <w:pPr>
                    <w:jc w:val="both"/>
                    <w:rPr>
                      <w:rFonts w:ascii="Arial" w:hAnsi="Arial" w:cs="Arial"/>
                      <w:b/>
                      <w:bCs/>
                    </w:rPr>
                  </w:pPr>
                  <w:r w:rsidRPr="009610AD">
                    <w:rPr>
                      <w:rFonts w:ascii="Arial" w:hAnsi="Arial"/>
                      <w:sz w:val="20"/>
                    </w:rPr>
                    <w:t>Stacja ładowania</w:t>
                  </w:r>
                </w:p>
              </w:tc>
            </w:tr>
            <w:tr w:rsidR="00067D4A" w:rsidRPr="009610AD" w14:paraId="7AED0501" w14:textId="77777777" w:rsidTr="00A40009">
              <w:tc>
                <w:tcPr>
                  <w:tcW w:w="4663" w:type="dxa"/>
                </w:tcPr>
                <w:p w14:paraId="1AFCC0B7" w14:textId="77777777" w:rsidR="00067D4A" w:rsidRPr="009610AD" w:rsidRDefault="00067D4A" w:rsidP="00067D4A">
                  <w:pPr>
                    <w:jc w:val="both"/>
                    <w:rPr>
                      <w:rFonts w:ascii="Arial" w:hAnsi="Arial" w:cs="Arial"/>
                      <w:sz w:val="20"/>
                      <w:szCs w:val="20"/>
                    </w:rPr>
                  </w:pPr>
                  <w:r w:rsidRPr="009610AD">
                    <w:rPr>
                      <w:rFonts w:ascii="Arial" w:hAnsi="Arial"/>
                      <w:sz w:val="20"/>
                      <w:lang w:val="nl-BE"/>
                    </w:rPr>
                    <w:t>Véhicule électrique</w:t>
                  </w:r>
                </w:p>
              </w:tc>
              <w:tc>
                <w:tcPr>
                  <w:tcW w:w="4664" w:type="dxa"/>
                </w:tcPr>
                <w:p w14:paraId="6D79F65B" w14:textId="77777777" w:rsidR="00067D4A" w:rsidRPr="009610AD" w:rsidRDefault="00067D4A" w:rsidP="00067D4A">
                  <w:pPr>
                    <w:jc w:val="both"/>
                    <w:rPr>
                      <w:rFonts w:ascii="Arial" w:hAnsi="Arial" w:cs="Arial"/>
                      <w:b/>
                      <w:bCs/>
                    </w:rPr>
                  </w:pPr>
                  <w:r w:rsidRPr="009610AD">
                    <w:rPr>
                      <w:rFonts w:ascii="Arial" w:hAnsi="Arial"/>
                      <w:sz w:val="20"/>
                    </w:rPr>
                    <w:t>Pojazd elektryczny</w:t>
                  </w:r>
                </w:p>
              </w:tc>
            </w:tr>
            <w:tr w:rsidR="00067D4A" w:rsidRPr="009610AD" w14:paraId="27348DE3" w14:textId="77777777" w:rsidTr="00A40009">
              <w:tc>
                <w:tcPr>
                  <w:tcW w:w="4663" w:type="dxa"/>
                </w:tcPr>
                <w:p w14:paraId="71E5F29E" w14:textId="77777777" w:rsidR="00067D4A" w:rsidRPr="009610AD" w:rsidRDefault="00067D4A" w:rsidP="00067D4A">
                  <w:pPr>
                    <w:jc w:val="both"/>
                    <w:rPr>
                      <w:rFonts w:ascii="Arial" w:hAnsi="Arial" w:cs="Arial"/>
                      <w:sz w:val="20"/>
                      <w:szCs w:val="20"/>
                    </w:rPr>
                  </w:pPr>
                  <w:r w:rsidRPr="009610AD">
                    <w:rPr>
                      <w:rFonts w:ascii="Arial" w:hAnsi="Arial"/>
                      <w:sz w:val="20"/>
                      <w:lang w:val="nl-BE"/>
                    </w:rPr>
                    <w:t>Circuit dédié</w:t>
                  </w:r>
                </w:p>
              </w:tc>
              <w:tc>
                <w:tcPr>
                  <w:tcW w:w="4664" w:type="dxa"/>
                </w:tcPr>
                <w:p w14:paraId="1D998FF6" w14:textId="77777777" w:rsidR="00067D4A" w:rsidRPr="009610AD" w:rsidRDefault="00067D4A" w:rsidP="00067D4A">
                  <w:pPr>
                    <w:jc w:val="both"/>
                    <w:rPr>
                      <w:rFonts w:ascii="Arial" w:hAnsi="Arial" w:cs="Arial"/>
                      <w:b/>
                      <w:bCs/>
                    </w:rPr>
                  </w:pPr>
                  <w:r w:rsidRPr="009610AD">
                    <w:rPr>
                      <w:rFonts w:ascii="Arial" w:hAnsi="Arial"/>
                      <w:sz w:val="20"/>
                    </w:rPr>
                    <w:t>Obwód dedykowany</w:t>
                  </w:r>
                </w:p>
              </w:tc>
            </w:tr>
          </w:tbl>
          <w:p w14:paraId="6B6ECF9A" w14:textId="77777777" w:rsidR="00BF274B" w:rsidRPr="009610AD" w:rsidRDefault="00BF274B" w:rsidP="00BF274B">
            <w:pPr>
              <w:jc w:val="both"/>
              <w:rPr>
                <w:rFonts w:ascii="Arial" w:hAnsi="Arial" w:cs="Arial"/>
                <w:b/>
                <w:bCs/>
                <w:lang w:val="nl-BE"/>
              </w:rPr>
            </w:pPr>
          </w:p>
          <w:p w14:paraId="151F382A" w14:textId="77777777" w:rsidR="00BF274B" w:rsidRPr="009610AD" w:rsidRDefault="00BF274B" w:rsidP="00BF274B">
            <w:pPr>
              <w:jc w:val="center"/>
              <w:rPr>
                <w:rFonts w:ascii="Arial" w:hAnsi="Arial" w:cs="Arial"/>
                <w:b/>
                <w:i/>
                <w:color w:val="000000" w:themeColor="text1"/>
                <w:sz w:val="16"/>
                <w:szCs w:val="16"/>
              </w:rPr>
            </w:pPr>
            <w:r w:rsidRPr="009610AD">
              <w:rPr>
                <w:rFonts w:ascii="Arial" w:hAnsi="Arial"/>
                <w:b/>
                <w:i/>
                <w:color w:val="000000" w:themeColor="text1"/>
                <w:sz w:val="16"/>
              </w:rPr>
              <w:t>Rys. 7.18. Stacja ładowania z dwoma punktami przyłączeniowymi „przenośne gniazda na stacji ładowania” stanowiącymi część stacji ładowania (urządzenie zabezpieczające przed nadmiernym prądem dla obwodów dedykowanych zintegrowanych ze stacją ładowania)</w:t>
            </w:r>
          </w:p>
          <w:p w14:paraId="2F449D73" w14:textId="77777777" w:rsidR="00BF274B" w:rsidRPr="009610AD" w:rsidRDefault="00BF274B" w:rsidP="00BF274B">
            <w:pPr>
              <w:jc w:val="both"/>
              <w:rPr>
                <w:rFonts w:ascii="Arial" w:hAnsi="Arial" w:cs="Arial"/>
                <w:b/>
                <w:bCs/>
              </w:rPr>
            </w:pPr>
          </w:p>
          <w:p w14:paraId="765910AD" w14:textId="6A3A1CC1" w:rsidR="00BF274B" w:rsidRPr="009610AD" w:rsidRDefault="00BF274B" w:rsidP="00BF274B">
            <w:pPr>
              <w:jc w:val="both"/>
              <w:rPr>
                <w:rFonts w:ascii="Arial" w:hAnsi="Arial" w:cs="Arial"/>
                <w:b/>
                <w:bCs/>
              </w:rPr>
            </w:pPr>
          </w:p>
          <w:p w14:paraId="526E08BB" w14:textId="731C2C7C" w:rsidR="00357B13" w:rsidRDefault="00357B13" w:rsidP="00BF274B">
            <w:pPr>
              <w:jc w:val="both"/>
              <w:rPr>
                <w:rFonts w:ascii="Arial" w:hAnsi="Arial" w:cs="Arial"/>
                <w:b/>
                <w:bCs/>
              </w:rPr>
            </w:pPr>
          </w:p>
          <w:p w14:paraId="1AE39094" w14:textId="77777777" w:rsidR="009610AD" w:rsidRPr="009610AD" w:rsidRDefault="009610AD" w:rsidP="00BF274B">
            <w:pPr>
              <w:jc w:val="both"/>
              <w:rPr>
                <w:rFonts w:ascii="Arial" w:hAnsi="Arial" w:cs="Arial"/>
                <w:b/>
                <w:bCs/>
              </w:rPr>
            </w:pPr>
          </w:p>
          <w:p w14:paraId="598E1807" w14:textId="77777777" w:rsidR="00357B13" w:rsidRPr="009610AD" w:rsidRDefault="00357B13" w:rsidP="00BF274B">
            <w:pPr>
              <w:jc w:val="both"/>
              <w:rPr>
                <w:rFonts w:ascii="Arial" w:hAnsi="Arial" w:cs="Arial"/>
                <w:b/>
                <w:bCs/>
              </w:rPr>
            </w:pPr>
          </w:p>
          <w:p w14:paraId="51E1BD20" w14:textId="77777777" w:rsidR="00BF274B" w:rsidRPr="009610AD" w:rsidRDefault="00BF274B" w:rsidP="00BF274B">
            <w:pPr>
              <w:jc w:val="both"/>
              <w:rPr>
                <w:rFonts w:ascii="Arial" w:hAnsi="Arial" w:cs="Arial"/>
                <w:b/>
                <w:bCs/>
              </w:rPr>
            </w:pPr>
            <w:r w:rsidRPr="009610AD">
              <w:object w:dxaOrig="9870" w:dyaOrig="4710" w14:anchorId="1E1307D6">
                <v:shape id="_x0000_i1027" type="#_x0000_t75" style="width:468pt;height:223.3pt" o:ole="">
                  <v:imagedata r:id="rId16" o:title=""/>
                </v:shape>
                <o:OLEObject Type="Embed" ProgID="PBrush" ShapeID="_x0000_i1027" DrawAspect="Content" ObjectID="_1728718710" r:id="rId17"/>
              </w:object>
            </w:r>
          </w:p>
          <w:tbl>
            <w:tblPr>
              <w:tblStyle w:val="TableGrid"/>
              <w:tblW w:w="9327" w:type="dxa"/>
              <w:tblLayout w:type="fixed"/>
              <w:tblLook w:val="04A0" w:firstRow="1" w:lastRow="0" w:firstColumn="1" w:lastColumn="0" w:noHBand="0" w:noVBand="1"/>
            </w:tblPr>
            <w:tblGrid>
              <w:gridCol w:w="4663"/>
              <w:gridCol w:w="4664"/>
            </w:tblGrid>
            <w:tr w:rsidR="00DF17B7" w:rsidRPr="009610AD" w14:paraId="3087A3F4" w14:textId="77777777" w:rsidTr="00A40009">
              <w:tc>
                <w:tcPr>
                  <w:tcW w:w="4663" w:type="dxa"/>
                </w:tcPr>
                <w:p w14:paraId="172DE1C5" w14:textId="77777777" w:rsidR="00DF17B7" w:rsidRPr="009610AD" w:rsidRDefault="00DF17B7" w:rsidP="00DF17B7">
                  <w:pPr>
                    <w:jc w:val="both"/>
                    <w:rPr>
                      <w:rFonts w:ascii="Arial" w:hAnsi="Arial" w:cs="Arial"/>
                    </w:rPr>
                  </w:pPr>
                  <w:r w:rsidRPr="009610AD">
                    <w:rPr>
                      <w:rFonts w:ascii="Arial" w:hAnsi="Arial"/>
                      <w:sz w:val="20"/>
                      <w:lang w:val="nl-BE"/>
                    </w:rPr>
                    <w:t>Point de connexion</w:t>
                  </w:r>
                </w:p>
              </w:tc>
              <w:tc>
                <w:tcPr>
                  <w:tcW w:w="4664" w:type="dxa"/>
                </w:tcPr>
                <w:p w14:paraId="563B004E" w14:textId="77777777" w:rsidR="00DF17B7" w:rsidRPr="009610AD" w:rsidRDefault="00DF17B7" w:rsidP="00DF17B7">
                  <w:pPr>
                    <w:jc w:val="both"/>
                    <w:rPr>
                      <w:rFonts w:ascii="Arial" w:hAnsi="Arial" w:cs="Arial"/>
                      <w:b/>
                      <w:bCs/>
                    </w:rPr>
                  </w:pPr>
                  <w:r w:rsidRPr="009610AD">
                    <w:rPr>
                      <w:rFonts w:ascii="Arial" w:hAnsi="Arial"/>
                      <w:sz w:val="20"/>
                    </w:rPr>
                    <w:t>Punkt przyłączeniowy</w:t>
                  </w:r>
                </w:p>
              </w:tc>
            </w:tr>
            <w:tr w:rsidR="00DF17B7" w:rsidRPr="009610AD" w14:paraId="1A68DC3C" w14:textId="77777777" w:rsidTr="00A40009">
              <w:tc>
                <w:tcPr>
                  <w:tcW w:w="4663" w:type="dxa"/>
                </w:tcPr>
                <w:p w14:paraId="5EA98588" w14:textId="77777777" w:rsidR="00DF17B7" w:rsidRPr="009610AD" w:rsidRDefault="00DF17B7" w:rsidP="00DF17B7">
                  <w:pPr>
                    <w:jc w:val="both"/>
                    <w:rPr>
                      <w:rFonts w:ascii="Arial" w:hAnsi="Arial" w:cs="Arial"/>
                      <w:sz w:val="20"/>
                      <w:szCs w:val="20"/>
                    </w:rPr>
                  </w:pPr>
                  <w:r w:rsidRPr="009610AD">
                    <w:rPr>
                      <w:rFonts w:ascii="Arial" w:hAnsi="Arial"/>
                      <w:sz w:val="20"/>
                      <w:lang w:val="nl-BE"/>
                    </w:rPr>
                    <w:t>Câble souple mobile</w:t>
                  </w:r>
                </w:p>
              </w:tc>
              <w:tc>
                <w:tcPr>
                  <w:tcW w:w="4664" w:type="dxa"/>
                </w:tcPr>
                <w:p w14:paraId="28748D99" w14:textId="77777777" w:rsidR="00DF17B7" w:rsidRPr="009610AD" w:rsidRDefault="00DF17B7" w:rsidP="00DF17B7">
                  <w:pPr>
                    <w:jc w:val="both"/>
                    <w:rPr>
                      <w:rFonts w:ascii="Arial" w:hAnsi="Arial" w:cs="Arial"/>
                      <w:b/>
                      <w:bCs/>
                    </w:rPr>
                  </w:pPr>
                  <w:r w:rsidRPr="009610AD">
                    <w:rPr>
                      <w:rFonts w:ascii="Arial" w:hAnsi="Arial"/>
                      <w:sz w:val="20"/>
                    </w:rPr>
                    <w:t>Ruchomy elastyczny kabel</w:t>
                  </w:r>
                </w:p>
              </w:tc>
            </w:tr>
            <w:tr w:rsidR="00DF17B7" w:rsidRPr="009610AD" w14:paraId="12974BC7" w14:textId="77777777" w:rsidTr="00A40009">
              <w:tc>
                <w:tcPr>
                  <w:tcW w:w="4663" w:type="dxa"/>
                </w:tcPr>
                <w:p w14:paraId="43D59F5F" w14:textId="77777777" w:rsidR="00DF17B7" w:rsidRPr="009610AD" w:rsidRDefault="00DF17B7" w:rsidP="00DF17B7">
                  <w:pPr>
                    <w:jc w:val="both"/>
                    <w:rPr>
                      <w:rFonts w:ascii="Arial" w:hAnsi="Arial" w:cs="Arial"/>
                      <w:sz w:val="20"/>
                      <w:szCs w:val="20"/>
                    </w:rPr>
                  </w:pPr>
                  <w:r w:rsidRPr="009610AD">
                    <w:rPr>
                      <w:rFonts w:ascii="Arial" w:hAnsi="Arial"/>
                      <w:sz w:val="20"/>
                      <w:lang w:val="nl-BE"/>
                    </w:rPr>
                    <w:t>Alimentation</w:t>
                  </w:r>
                </w:p>
              </w:tc>
              <w:tc>
                <w:tcPr>
                  <w:tcW w:w="4664" w:type="dxa"/>
                </w:tcPr>
                <w:p w14:paraId="754FD47A" w14:textId="77777777" w:rsidR="00DF17B7" w:rsidRPr="009610AD" w:rsidRDefault="00DF17B7" w:rsidP="00DF17B7">
                  <w:pPr>
                    <w:jc w:val="both"/>
                    <w:rPr>
                      <w:rFonts w:ascii="Arial" w:hAnsi="Arial" w:cs="Arial"/>
                      <w:b/>
                      <w:bCs/>
                    </w:rPr>
                  </w:pPr>
                  <w:r w:rsidRPr="009610AD">
                    <w:rPr>
                      <w:rFonts w:ascii="Arial" w:hAnsi="Arial"/>
                      <w:sz w:val="20"/>
                    </w:rPr>
                    <w:t>Zasilanie</w:t>
                  </w:r>
                </w:p>
              </w:tc>
            </w:tr>
            <w:tr w:rsidR="00DF17B7" w:rsidRPr="009610AD" w14:paraId="0EA7B215" w14:textId="77777777" w:rsidTr="00A40009">
              <w:tc>
                <w:tcPr>
                  <w:tcW w:w="4663" w:type="dxa"/>
                </w:tcPr>
                <w:p w14:paraId="5142C3B8" w14:textId="77777777" w:rsidR="00DF17B7" w:rsidRPr="009610AD" w:rsidRDefault="00DF17B7" w:rsidP="00DF17B7">
                  <w:pPr>
                    <w:jc w:val="both"/>
                    <w:rPr>
                      <w:rFonts w:ascii="Arial" w:hAnsi="Arial" w:cs="Arial"/>
                      <w:sz w:val="20"/>
                      <w:szCs w:val="20"/>
                    </w:rPr>
                  </w:pPr>
                  <w:r w:rsidRPr="009610AD">
                    <w:rPr>
                      <w:rFonts w:ascii="Arial" w:hAnsi="Arial"/>
                      <w:sz w:val="20"/>
                      <w:lang w:val="nl-BE"/>
                    </w:rPr>
                    <w:t>Tableau de manœuvre et de répartition</w:t>
                  </w:r>
                </w:p>
              </w:tc>
              <w:tc>
                <w:tcPr>
                  <w:tcW w:w="4664" w:type="dxa"/>
                </w:tcPr>
                <w:p w14:paraId="095B4D0D" w14:textId="77777777" w:rsidR="00DF17B7" w:rsidRPr="009610AD" w:rsidRDefault="00DF17B7" w:rsidP="00DF17B7">
                  <w:pPr>
                    <w:jc w:val="both"/>
                    <w:rPr>
                      <w:rFonts w:ascii="Arial" w:hAnsi="Arial" w:cs="Arial"/>
                      <w:b/>
                      <w:bCs/>
                    </w:rPr>
                  </w:pPr>
                  <w:r w:rsidRPr="009610AD">
                    <w:rPr>
                      <w:rFonts w:ascii="Arial" w:hAnsi="Arial"/>
                      <w:sz w:val="20"/>
                    </w:rPr>
                    <w:t>Panel obsługi i dystrybucji</w:t>
                  </w:r>
                </w:p>
              </w:tc>
            </w:tr>
            <w:tr w:rsidR="00DF17B7" w:rsidRPr="009610AD" w14:paraId="6DFB22B1" w14:textId="77777777" w:rsidTr="00A40009">
              <w:tc>
                <w:tcPr>
                  <w:tcW w:w="4663" w:type="dxa"/>
                </w:tcPr>
                <w:p w14:paraId="5267989C" w14:textId="77777777" w:rsidR="00DF17B7" w:rsidRPr="009610AD" w:rsidRDefault="00DF17B7" w:rsidP="00DF17B7">
                  <w:pPr>
                    <w:jc w:val="both"/>
                    <w:rPr>
                      <w:rFonts w:ascii="Arial" w:hAnsi="Arial" w:cs="Arial"/>
                      <w:sz w:val="20"/>
                      <w:szCs w:val="20"/>
                    </w:rPr>
                  </w:pPr>
                  <w:r w:rsidRPr="009610AD">
                    <w:rPr>
                      <w:rFonts w:ascii="Arial" w:hAnsi="Arial"/>
                      <w:sz w:val="20"/>
                      <w:lang w:val="nl-BE"/>
                    </w:rPr>
                    <w:t>Borne de charge</w:t>
                  </w:r>
                </w:p>
              </w:tc>
              <w:tc>
                <w:tcPr>
                  <w:tcW w:w="4664" w:type="dxa"/>
                </w:tcPr>
                <w:p w14:paraId="6B566F5D" w14:textId="77777777" w:rsidR="00DF17B7" w:rsidRPr="009610AD" w:rsidRDefault="00DF17B7" w:rsidP="00DF17B7">
                  <w:pPr>
                    <w:jc w:val="both"/>
                    <w:rPr>
                      <w:rFonts w:ascii="Arial" w:hAnsi="Arial" w:cs="Arial"/>
                      <w:b/>
                      <w:bCs/>
                    </w:rPr>
                  </w:pPr>
                  <w:r w:rsidRPr="009610AD">
                    <w:rPr>
                      <w:rFonts w:ascii="Arial" w:hAnsi="Arial"/>
                      <w:sz w:val="20"/>
                    </w:rPr>
                    <w:t>Stacja ładowania</w:t>
                  </w:r>
                </w:p>
              </w:tc>
            </w:tr>
            <w:tr w:rsidR="00DF17B7" w:rsidRPr="009610AD" w14:paraId="4D7A0B05" w14:textId="77777777" w:rsidTr="00A40009">
              <w:tc>
                <w:tcPr>
                  <w:tcW w:w="4663" w:type="dxa"/>
                </w:tcPr>
                <w:p w14:paraId="566ECD52" w14:textId="77777777" w:rsidR="00DF17B7" w:rsidRPr="009610AD" w:rsidRDefault="00DF17B7" w:rsidP="00DF17B7">
                  <w:pPr>
                    <w:jc w:val="both"/>
                    <w:rPr>
                      <w:rFonts w:ascii="Arial" w:hAnsi="Arial" w:cs="Arial"/>
                      <w:sz w:val="20"/>
                      <w:szCs w:val="20"/>
                    </w:rPr>
                  </w:pPr>
                  <w:r w:rsidRPr="009610AD">
                    <w:rPr>
                      <w:rFonts w:ascii="Arial" w:hAnsi="Arial"/>
                      <w:sz w:val="20"/>
                      <w:lang w:val="nl-BE"/>
                    </w:rPr>
                    <w:t>Véhicule électrique</w:t>
                  </w:r>
                </w:p>
              </w:tc>
              <w:tc>
                <w:tcPr>
                  <w:tcW w:w="4664" w:type="dxa"/>
                </w:tcPr>
                <w:p w14:paraId="73C7A7B7" w14:textId="77777777" w:rsidR="00DF17B7" w:rsidRPr="009610AD" w:rsidRDefault="00DF17B7" w:rsidP="00DF17B7">
                  <w:pPr>
                    <w:jc w:val="both"/>
                    <w:rPr>
                      <w:rFonts w:ascii="Arial" w:hAnsi="Arial" w:cs="Arial"/>
                      <w:b/>
                      <w:bCs/>
                    </w:rPr>
                  </w:pPr>
                  <w:r w:rsidRPr="009610AD">
                    <w:rPr>
                      <w:rFonts w:ascii="Arial" w:hAnsi="Arial"/>
                      <w:sz w:val="20"/>
                    </w:rPr>
                    <w:t>Pojazd elektryczny</w:t>
                  </w:r>
                </w:p>
              </w:tc>
            </w:tr>
            <w:tr w:rsidR="00DF17B7" w:rsidRPr="009610AD" w14:paraId="24794B89" w14:textId="77777777" w:rsidTr="00A40009">
              <w:tc>
                <w:tcPr>
                  <w:tcW w:w="4663" w:type="dxa"/>
                </w:tcPr>
                <w:p w14:paraId="5E059C40" w14:textId="77777777" w:rsidR="00DF17B7" w:rsidRPr="009610AD" w:rsidRDefault="00DF17B7" w:rsidP="00DF17B7">
                  <w:pPr>
                    <w:jc w:val="both"/>
                    <w:rPr>
                      <w:rFonts w:ascii="Arial" w:hAnsi="Arial" w:cs="Arial"/>
                      <w:sz w:val="20"/>
                      <w:szCs w:val="20"/>
                    </w:rPr>
                  </w:pPr>
                  <w:r w:rsidRPr="009610AD">
                    <w:rPr>
                      <w:rFonts w:ascii="Arial" w:hAnsi="Arial"/>
                      <w:sz w:val="20"/>
                      <w:lang w:val="nl-BE"/>
                    </w:rPr>
                    <w:lastRenderedPageBreak/>
                    <w:t>Circuit dédié</w:t>
                  </w:r>
                </w:p>
              </w:tc>
              <w:tc>
                <w:tcPr>
                  <w:tcW w:w="4664" w:type="dxa"/>
                </w:tcPr>
                <w:p w14:paraId="18483080" w14:textId="77777777" w:rsidR="00DF17B7" w:rsidRPr="009610AD" w:rsidRDefault="00DF17B7" w:rsidP="00DF17B7">
                  <w:pPr>
                    <w:jc w:val="both"/>
                    <w:rPr>
                      <w:rFonts w:ascii="Arial" w:hAnsi="Arial" w:cs="Arial"/>
                      <w:b/>
                      <w:bCs/>
                    </w:rPr>
                  </w:pPr>
                  <w:r w:rsidRPr="009610AD">
                    <w:rPr>
                      <w:rFonts w:ascii="Arial" w:hAnsi="Arial"/>
                      <w:sz w:val="20"/>
                    </w:rPr>
                    <w:t>Obwód dedykowany</w:t>
                  </w:r>
                </w:p>
              </w:tc>
            </w:tr>
          </w:tbl>
          <w:p w14:paraId="5C214D44" w14:textId="77777777" w:rsidR="00BF274B" w:rsidRPr="009610AD" w:rsidRDefault="00BF274B" w:rsidP="00BF274B">
            <w:pPr>
              <w:jc w:val="both"/>
              <w:rPr>
                <w:rFonts w:ascii="Arial" w:hAnsi="Arial" w:cs="Arial"/>
                <w:b/>
                <w:bCs/>
                <w:lang w:val="nl-BE"/>
              </w:rPr>
            </w:pPr>
          </w:p>
          <w:p w14:paraId="049DFEFA" w14:textId="77777777" w:rsidR="00BF274B" w:rsidRPr="009610AD" w:rsidRDefault="00BF274B" w:rsidP="00BF274B">
            <w:pPr>
              <w:jc w:val="center"/>
              <w:rPr>
                <w:rFonts w:ascii="Arial" w:hAnsi="Arial" w:cs="Arial"/>
                <w:b/>
                <w:i/>
                <w:color w:val="000000" w:themeColor="text1"/>
                <w:sz w:val="16"/>
                <w:szCs w:val="16"/>
              </w:rPr>
            </w:pPr>
            <w:r w:rsidRPr="009610AD">
              <w:rPr>
                <w:rFonts w:ascii="Arial" w:hAnsi="Arial"/>
                <w:b/>
                <w:i/>
                <w:color w:val="000000" w:themeColor="text1"/>
                <w:sz w:val="16"/>
              </w:rPr>
              <w:t>Rys. 7.19. Stacja ładowania z dwoma „przenośnymi gniazdami samochodowymi” stanowiącymi część stacji ładowania (urządzenie zabezpieczające przed nadmiernym prądem dla obwodów dedykowanych zintegrowanych z panelem panelem obsługi i dystrybucji)</w:t>
            </w:r>
          </w:p>
          <w:p w14:paraId="3370B8AE" w14:textId="77777777" w:rsidR="00BF274B" w:rsidRPr="009610AD" w:rsidRDefault="00BF274B" w:rsidP="00BF274B">
            <w:pPr>
              <w:jc w:val="both"/>
              <w:rPr>
                <w:rFonts w:ascii="Arial" w:hAnsi="Arial" w:cs="Arial"/>
                <w:b/>
                <w:bCs/>
              </w:rPr>
            </w:pPr>
          </w:p>
          <w:p w14:paraId="0669C8F3" w14:textId="77777777" w:rsidR="00BF274B" w:rsidRPr="009610AD" w:rsidRDefault="00BF274B" w:rsidP="00BF274B">
            <w:pPr>
              <w:jc w:val="both"/>
              <w:rPr>
                <w:rFonts w:ascii="Arial" w:hAnsi="Arial" w:cs="Arial"/>
                <w:b/>
                <w:bCs/>
              </w:rPr>
            </w:pPr>
            <w:r w:rsidRPr="009610AD">
              <w:object w:dxaOrig="9735" w:dyaOrig="5280" w14:anchorId="5B20686B">
                <v:shape id="_x0000_i1028" type="#_x0000_t75" style="width:467.55pt;height:252pt" o:ole="">
                  <v:imagedata r:id="rId18" o:title=""/>
                </v:shape>
                <o:OLEObject Type="Embed" ProgID="PBrush" ShapeID="_x0000_i1028" DrawAspect="Content" ObjectID="_1728718711" r:id="rId19"/>
              </w:object>
            </w:r>
          </w:p>
          <w:tbl>
            <w:tblPr>
              <w:tblStyle w:val="TableGrid"/>
              <w:tblW w:w="9327" w:type="dxa"/>
              <w:tblLayout w:type="fixed"/>
              <w:tblLook w:val="04A0" w:firstRow="1" w:lastRow="0" w:firstColumn="1" w:lastColumn="0" w:noHBand="0" w:noVBand="1"/>
            </w:tblPr>
            <w:tblGrid>
              <w:gridCol w:w="4663"/>
              <w:gridCol w:w="4664"/>
            </w:tblGrid>
            <w:tr w:rsidR="00DF17B7" w:rsidRPr="009610AD" w14:paraId="1971F780" w14:textId="77777777" w:rsidTr="00A40009">
              <w:tc>
                <w:tcPr>
                  <w:tcW w:w="4663" w:type="dxa"/>
                </w:tcPr>
                <w:p w14:paraId="0202340D" w14:textId="77777777" w:rsidR="00DF17B7" w:rsidRPr="009610AD" w:rsidRDefault="00DF17B7" w:rsidP="00DF17B7">
                  <w:pPr>
                    <w:jc w:val="both"/>
                    <w:rPr>
                      <w:rFonts w:ascii="Arial" w:hAnsi="Arial" w:cs="Arial"/>
                    </w:rPr>
                  </w:pPr>
                  <w:r w:rsidRPr="009610AD">
                    <w:rPr>
                      <w:rFonts w:ascii="Arial" w:hAnsi="Arial"/>
                      <w:sz w:val="20"/>
                      <w:lang w:val="nl-BE"/>
                    </w:rPr>
                    <w:t>Point de connexion</w:t>
                  </w:r>
                </w:p>
              </w:tc>
              <w:tc>
                <w:tcPr>
                  <w:tcW w:w="4664" w:type="dxa"/>
                </w:tcPr>
                <w:p w14:paraId="29937811" w14:textId="77777777" w:rsidR="00DF17B7" w:rsidRPr="009610AD" w:rsidRDefault="00DF17B7" w:rsidP="00DF17B7">
                  <w:pPr>
                    <w:jc w:val="both"/>
                    <w:rPr>
                      <w:rFonts w:ascii="Arial" w:hAnsi="Arial" w:cs="Arial"/>
                      <w:b/>
                      <w:bCs/>
                    </w:rPr>
                  </w:pPr>
                  <w:r w:rsidRPr="009610AD">
                    <w:rPr>
                      <w:rFonts w:ascii="Arial" w:hAnsi="Arial"/>
                      <w:sz w:val="20"/>
                    </w:rPr>
                    <w:t>Punkt przyłączeniowy</w:t>
                  </w:r>
                </w:p>
              </w:tc>
            </w:tr>
            <w:tr w:rsidR="00DF17B7" w:rsidRPr="009610AD" w14:paraId="10A80C79" w14:textId="77777777" w:rsidTr="00A40009">
              <w:tc>
                <w:tcPr>
                  <w:tcW w:w="4663" w:type="dxa"/>
                </w:tcPr>
                <w:p w14:paraId="4430B361" w14:textId="77777777" w:rsidR="00DF17B7" w:rsidRPr="009610AD" w:rsidRDefault="00DF17B7" w:rsidP="00DF17B7">
                  <w:pPr>
                    <w:jc w:val="both"/>
                    <w:rPr>
                      <w:rFonts w:ascii="Arial" w:hAnsi="Arial" w:cs="Arial"/>
                      <w:sz w:val="20"/>
                      <w:szCs w:val="20"/>
                    </w:rPr>
                  </w:pPr>
                  <w:r w:rsidRPr="009610AD">
                    <w:rPr>
                      <w:rFonts w:ascii="Arial" w:hAnsi="Arial"/>
                      <w:sz w:val="20"/>
                      <w:lang w:val="nl-BE"/>
                    </w:rPr>
                    <w:t>Câble souple mobile</w:t>
                  </w:r>
                </w:p>
              </w:tc>
              <w:tc>
                <w:tcPr>
                  <w:tcW w:w="4664" w:type="dxa"/>
                </w:tcPr>
                <w:p w14:paraId="1B5E6DD4" w14:textId="77777777" w:rsidR="00DF17B7" w:rsidRPr="009610AD" w:rsidRDefault="00DF17B7" w:rsidP="00DF17B7">
                  <w:pPr>
                    <w:jc w:val="both"/>
                    <w:rPr>
                      <w:rFonts w:ascii="Arial" w:hAnsi="Arial" w:cs="Arial"/>
                      <w:b/>
                      <w:bCs/>
                    </w:rPr>
                  </w:pPr>
                  <w:r w:rsidRPr="009610AD">
                    <w:rPr>
                      <w:rFonts w:ascii="Arial" w:hAnsi="Arial"/>
                      <w:sz w:val="20"/>
                    </w:rPr>
                    <w:t>Ruchomy elastyczny kabel</w:t>
                  </w:r>
                </w:p>
              </w:tc>
            </w:tr>
            <w:tr w:rsidR="00DF17B7" w:rsidRPr="009610AD" w14:paraId="6D010579" w14:textId="77777777" w:rsidTr="00A40009">
              <w:tc>
                <w:tcPr>
                  <w:tcW w:w="4663" w:type="dxa"/>
                </w:tcPr>
                <w:p w14:paraId="19F3491D" w14:textId="77777777" w:rsidR="00DF17B7" w:rsidRPr="009610AD" w:rsidRDefault="00DF17B7" w:rsidP="00DF17B7">
                  <w:pPr>
                    <w:jc w:val="both"/>
                    <w:rPr>
                      <w:rFonts w:ascii="Arial" w:hAnsi="Arial" w:cs="Arial"/>
                      <w:sz w:val="20"/>
                      <w:szCs w:val="20"/>
                    </w:rPr>
                  </w:pPr>
                  <w:r w:rsidRPr="009610AD">
                    <w:rPr>
                      <w:rFonts w:ascii="Arial" w:hAnsi="Arial"/>
                      <w:sz w:val="20"/>
                      <w:lang w:val="nl-BE"/>
                    </w:rPr>
                    <w:t>Alimentation</w:t>
                  </w:r>
                </w:p>
              </w:tc>
              <w:tc>
                <w:tcPr>
                  <w:tcW w:w="4664" w:type="dxa"/>
                </w:tcPr>
                <w:p w14:paraId="25489822" w14:textId="77777777" w:rsidR="00DF17B7" w:rsidRPr="009610AD" w:rsidRDefault="00DF17B7" w:rsidP="00DF17B7">
                  <w:pPr>
                    <w:jc w:val="both"/>
                    <w:rPr>
                      <w:rFonts w:ascii="Arial" w:hAnsi="Arial" w:cs="Arial"/>
                      <w:b/>
                      <w:bCs/>
                    </w:rPr>
                  </w:pPr>
                  <w:r w:rsidRPr="009610AD">
                    <w:rPr>
                      <w:rFonts w:ascii="Arial" w:hAnsi="Arial"/>
                      <w:sz w:val="20"/>
                    </w:rPr>
                    <w:t>Zasilanie</w:t>
                  </w:r>
                </w:p>
              </w:tc>
            </w:tr>
            <w:tr w:rsidR="00DF17B7" w:rsidRPr="009610AD" w14:paraId="227AD334" w14:textId="77777777" w:rsidTr="00A40009">
              <w:tc>
                <w:tcPr>
                  <w:tcW w:w="4663" w:type="dxa"/>
                </w:tcPr>
                <w:p w14:paraId="5B3BEAD7" w14:textId="77777777" w:rsidR="00DF17B7" w:rsidRPr="009610AD" w:rsidRDefault="00DF17B7" w:rsidP="00DF17B7">
                  <w:pPr>
                    <w:jc w:val="both"/>
                    <w:rPr>
                      <w:rFonts w:ascii="Arial" w:hAnsi="Arial" w:cs="Arial"/>
                      <w:sz w:val="20"/>
                      <w:szCs w:val="20"/>
                    </w:rPr>
                  </w:pPr>
                  <w:r w:rsidRPr="009610AD">
                    <w:rPr>
                      <w:rFonts w:ascii="Arial" w:hAnsi="Arial"/>
                      <w:sz w:val="20"/>
                      <w:lang w:val="nl-BE"/>
                    </w:rPr>
                    <w:t>Tableau de manœuvre et de répartition</w:t>
                  </w:r>
                </w:p>
              </w:tc>
              <w:tc>
                <w:tcPr>
                  <w:tcW w:w="4664" w:type="dxa"/>
                </w:tcPr>
                <w:p w14:paraId="24AD2BEC" w14:textId="77777777" w:rsidR="00DF17B7" w:rsidRPr="009610AD" w:rsidRDefault="00DF17B7" w:rsidP="00DF17B7">
                  <w:pPr>
                    <w:jc w:val="both"/>
                    <w:rPr>
                      <w:rFonts w:ascii="Arial" w:hAnsi="Arial" w:cs="Arial"/>
                      <w:b/>
                      <w:bCs/>
                    </w:rPr>
                  </w:pPr>
                  <w:r w:rsidRPr="009610AD">
                    <w:rPr>
                      <w:rFonts w:ascii="Arial" w:hAnsi="Arial"/>
                      <w:sz w:val="20"/>
                    </w:rPr>
                    <w:t>Panel obsługi i dystrybucji</w:t>
                  </w:r>
                </w:p>
              </w:tc>
            </w:tr>
            <w:tr w:rsidR="00DF17B7" w:rsidRPr="009610AD" w14:paraId="24F52B59" w14:textId="77777777" w:rsidTr="00A40009">
              <w:tc>
                <w:tcPr>
                  <w:tcW w:w="4663" w:type="dxa"/>
                </w:tcPr>
                <w:p w14:paraId="5D053CE4" w14:textId="77777777" w:rsidR="00DF17B7" w:rsidRPr="009610AD" w:rsidRDefault="00DF17B7" w:rsidP="00DF17B7">
                  <w:pPr>
                    <w:jc w:val="both"/>
                    <w:rPr>
                      <w:rFonts w:ascii="Arial" w:hAnsi="Arial" w:cs="Arial"/>
                      <w:sz w:val="20"/>
                      <w:szCs w:val="20"/>
                    </w:rPr>
                  </w:pPr>
                  <w:r w:rsidRPr="009610AD">
                    <w:rPr>
                      <w:rFonts w:ascii="Arial" w:hAnsi="Arial"/>
                      <w:sz w:val="20"/>
                      <w:lang w:val="nl-BE"/>
                    </w:rPr>
                    <w:t>Borne de charge</w:t>
                  </w:r>
                </w:p>
              </w:tc>
              <w:tc>
                <w:tcPr>
                  <w:tcW w:w="4664" w:type="dxa"/>
                </w:tcPr>
                <w:p w14:paraId="2CFDF037" w14:textId="77777777" w:rsidR="00DF17B7" w:rsidRPr="009610AD" w:rsidRDefault="00DF17B7" w:rsidP="00DF17B7">
                  <w:pPr>
                    <w:jc w:val="both"/>
                    <w:rPr>
                      <w:rFonts w:ascii="Arial" w:hAnsi="Arial" w:cs="Arial"/>
                      <w:b/>
                      <w:bCs/>
                    </w:rPr>
                  </w:pPr>
                  <w:r w:rsidRPr="009610AD">
                    <w:rPr>
                      <w:rFonts w:ascii="Arial" w:hAnsi="Arial"/>
                      <w:sz w:val="20"/>
                    </w:rPr>
                    <w:t>Stacja ładowania</w:t>
                  </w:r>
                </w:p>
              </w:tc>
            </w:tr>
            <w:tr w:rsidR="00DF17B7" w:rsidRPr="009610AD" w14:paraId="53E2A5B9" w14:textId="77777777" w:rsidTr="00A40009">
              <w:tc>
                <w:tcPr>
                  <w:tcW w:w="4663" w:type="dxa"/>
                </w:tcPr>
                <w:p w14:paraId="6C8CC61A" w14:textId="77777777" w:rsidR="00DF17B7" w:rsidRPr="009610AD" w:rsidRDefault="00DF17B7" w:rsidP="00DF17B7">
                  <w:pPr>
                    <w:jc w:val="both"/>
                    <w:rPr>
                      <w:rFonts w:ascii="Arial" w:hAnsi="Arial" w:cs="Arial"/>
                      <w:sz w:val="20"/>
                      <w:szCs w:val="20"/>
                    </w:rPr>
                  </w:pPr>
                  <w:r w:rsidRPr="009610AD">
                    <w:rPr>
                      <w:rFonts w:ascii="Arial" w:hAnsi="Arial"/>
                      <w:sz w:val="20"/>
                      <w:lang w:val="nl-BE"/>
                    </w:rPr>
                    <w:t>Véhicule électrique</w:t>
                  </w:r>
                </w:p>
              </w:tc>
              <w:tc>
                <w:tcPr>
                  <w:tcW w:w="4664" w:type="dxa"/>
                </w:tcPr>
                <w:p w14:paraId="6F98CC4D" w14:textId="77777777" w:rsidR="00DF17B7" w:rsidRPr="009610AD" w:rsidRDefault="00DF17B7" w:rsidP="00DF17B7">
                  <w:pPr>
                    <w:jc w:val="both"/>
                    <w:rPr>
                      <w:rFonts w:ascii="Arial" w:hAnsi="Arial" w:cs="Arial"/>
                      <w:b/>
                      <w:bCs/>
                    </w:rPr>
                  </w:pPr>
                  <w:r w:rsidRPr="009610AD">
                    <w:rPr>
                      <w:rFonts w:ascii="Arial" w:hAnsi="Arial"/>
                      <w:sz w:val="20"/>
                    </w:rPr>
                    <w:t>Pojazd elektryczny</w:t>
                  </w:r>
                </w:p>
              </w:tc>
            </w:tr>
            <w:tr w:rsidR="00DF17B7" w:rsidRPr="009610AD" w14:paraId="79012B26" w14:textId="77777777" w:rsidTr="00A40009">
              <w:tc>
                <w:tcPr>
                  <w:tcW w:w="4663" w:type="dxa"/>
                </w:tcPr>
                <w:p w14:paraId="38FC9EDF" w14:textId="77777777" w:rsidR="00DF17B7" w:rsidRPr="009610AD" w:rsidRDefault="00DF17B7" w:rsidP="00DF17B7">
                  <w:pPr>
                    <w:jc w:val="both"/>
                    <w:rPr>
                      <w:rFonts w:ascii="Arial" w:hAnsi="Arial" w:cs="Arial"/>
                      <w:sz w:val="20"/>
                      <w:szCs w:val="20"/>
                    </w:rPr>
                  </w:pPr>
                  <w:r w:rsidRPr="009610AD">
                    <w:rPr>
                      <w:rFonts w:ascii="Arial" w:hAnsi="Arial"/>
                      <w:sz w:val="20"/>
                      <w:lang w:val="nl-BE"/>
                    </w:rPr>
                    <w:t>Circuit dédié</w:t>
                  </w:r>
                </w:p>
              </w:tc>
              <w:tc>
                <w:tcPr>
                  <w:tcW w:w="4664" w:type="dxa"/>
                </w:tcPr>
                <w:p w14:paraId="4E67A3BB" w14:textId="77777777" w:rsidR="00DF17B7" w:rsidRPr="009610AD" w:rsidRDefault="00DF17B7" w:rsidP="00DF17B7">
                  <w:pPr>
                    <w:jc w:val="both"/>
                    <w:rPr>
                      <w:rFonts w:ascii="Arial" w:hAnsi="Arial" w:cs="Arial"/>
                      <w:b/>
                      <w:bCs/>
                    </w:rPr>
                  </w:pPr>
                  <w:r w:rsidRPr="009610AD">
                    <w:rPr>
                      <w:rFonts w:ascii="Arial" w:hAnsi="Arial"/>
                      <w:sz w:val="20"/>
                    </w:rPr>
                    <w:t>Obwód dedykowany</w:t>
                  </w:r>
                </w:p>
              </w:tc>
            </w:tr>
          </w:tbl>
          <w:p w14:paraId="234ECEAC" w14:textId="5C53809D" w:rsidR="00BF274B" w:rsidRPr="009610AD" w:rsidRDefault="00BF274B" w:rsidP="00BF274B">
            <w:pPr>
              <w:jc w:val="center"/>
              <w:rPr>
                <w:rFonts w:ascii="Arial" w:hAnsi="Arial" w:cs="Arial"/>
                <w:b/>
                <w:i/>
                <w:color w:val="000000" w:themeColor="text1"/>
                <w:sz w:val="16"/>
                <w:szCs w:val="16"/>
              </w:rPr>
            </w:pPr>
            <w:r w:rsidRPr="009610AD">
              <w:rPr>
                <w:rFonts w:ascii="Arial" w:hAnsi="Arial"/>
                <w:b/>
                <w:i/>
                <w:color w:val="000000" w:themeColor="text1"/>
                <w:sz w:val="16"/>
              </w:rPr>
              <w:t>Rys. 7.20. Stacja ładowania z dwoma punktami przyłączeniowymi „przenośne gniazda na stacji ładowania” stanowiącymi część stacji ładowania (urządzenie zabezpieczające przed nadmiernym prądem dla obwodów dedykowanych zintegrowanych ze stacją ładowania)</w:t>
            </w:r>
          </w:p>
          <w:p w14:paraId="45E99D32" w14:textId="77777777" w:rsidR="00BF274B" w:rsidRPr="009610AD" w:rsidRDefault="00BF274B" w:rsidP="00EB6A7E">
            <w:pPr>
              <w:jc w:val="center"/>
              <w:rPr>
                <w:rFonts w:ascii="Arial" w:hAnsi="Arial" w:cs="Arial"/>
                <w:b/>
                <w:color w:val="000000" w:themeColor="text1"/>
              </w:rPr>
            </w:pPr>
          </w:p>
        </w:tc>
      </w:tr>
      <w:tr w:rsidR="00BF274B" w:rsidRPr="009610AD" w14:paraId="07A17E85" w14:textId="77777777" w:rsidTr="00EB6A7E">
        <w:tc>
          <w:tcPr>
            <w:tcW w:w="284" w:type="dxa"/>
          </w:tcPr>
          <w:p w14:paraId="5C842AC7" w14:textId="77777777" w:rsidR="00DD0AA6" w:rsidRPr="009610AD" w:rsidRDefault="00DD0AA6" w:rsidP="00DD0AA6">
            <w:pPr>
              <w:jc w:val="both"/>
              <w:rPr>
                <w:rFonts w:ascii="Arial" w:hAnsi="Arial" w:cs="Arial"/>
                <w:color w:val="000000" w:themeColor="text1"/>
              </w:rPr>
            </w:pPr>
          </w:p>
          <w:p w14:paraId="2B2E1F94" w14:textId="77777777" w:rsidR="00DD0AA6" w:rsidRPr="009610AD"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9610AD"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9610AD"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9610AD" w:rsidRDefault="00BF274B" w:rsidP="00BF274B">
            <w:pPr>
              <w:jc w:val="both"/>
              <w:rPr>
                <w:rFonts w:ascii="Arial" w:hAnsi="Arial" w:cs="Arial"/>
                <w:color w:val="000000" w:themeColor="text1"/>
              </w:rPr>
            </w:pPr>
            <w:r w:rsidRPr="009610AD">
              <w:rPr>
                <w:rFonts w:ascii="Arial" w:hAnsi="Arial"/>
                <w:color w:val="000000" w:themeColor="text1"/>
              </w:rPr>
              <w:t> </w:t>
            </w:r>
          </w:p>
          <w:p w14:paraId="71F4B759" w14:textId="371DEDEE" w:rsidR="00BF274B" w:rsidRPr="009610AD"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9610AD" w:rsidRDefault="00DD0AA6" w:rsidP="00DD0AA6">
            <w:pPr>
              <w:jc w:val="both"/>
              <w:rPr>
                <w:rFonts w:ascii="Arial" w:hAnsi="Arial" w:cs="Arial"/>
                <w:b/>
                <w:i/>
                <w:color w:val="000000" w:themeColor="text1"/>
              </w:rPr>
            </w:pPr>
            <w:r w:rsidRPr="009610AD">
              <w:rPr>
                <w:rFonts w:ascii="Arial" w:hAnsi="Arial"/>
                <w:b/>
                <w:i/>
                <w:color w:val="000000" w:themeColor="text1"/>
              </w:rPr>
              <w:t xml:space="preserve">Sekcja 7.22.4. Środki ochronne </w:t>
            </w:r>
          </w:p>
          <w:p w14:paraId="76A2F1C6" w14:textId="77777777" w:rsidR="00DD0AA6" w:rsidRPr="009610AD" w:rsidRDefault="00DD0AA6" w:rsidP="00DD0AA6">
            <w:pPr>
              <w:jc w:val="both"/>
              <w:rPr>
                <w:rFonts w:ascii="Arial" w:hAnsi="Arial" w:cs="Arial"/>
                <w:b/>
                <w:i/>
                <w:color w:val="000000" w:themeColor="text1"/>
              </w:rPr>
            </w:pPr>
          </w:p>
          <w:p w14:paraId="6422299F" w14:textId="77777777" w:rsidR="00DD0AA6" w:rsidRPr="009610AD" w:rsidRDefault="00DD0AA6" w:rsidP="00DD0AA6">
            <w:pPr>
              <w:jc w:val="both"/>
              <w:rPr>
                <w:rFonts w:ascii="Arial" w:hAnsi="Arial" w:cs="Arial"/>
                <w:b/>
                <w:color w:val="000000" w:themeColor="text1"/>
              </w:rPr>
            </w:pPr>
            <w:r w:rsidRPr="009610AD">
              <w:rPr>
                <w:rFonts w:ascii="Arial" w:hAnsi="Arial"/>
                <w:b/>
                <w:color w:val="000000" w:themeColor="text1"/>
              </w:rPr>
              <w:t>Podsekcja 7.22.4.1. Ochrona przed kontaktem pośrednim</w:t>
            </w:r>
          </w:p>
          <w:p w14:paraId="0DA399CC" w14:textId="77777777" w:rsidR="00DD0AA6" w:rsidRPr="009610AD" w:rsidRDefault="00DD0AA6" w:rsidP="00DD0AA6">
            <w:pPr>
              <w:jc w:val="both"/>
              <w:rPr>
                <w:rFonts w:ascii="Arial" w:hAnsi="Arial" w:cs="Arial"/>
                <w:color w:val="000000" w:themeColor="text1"/>
              </w:rPr>
            </w:pPr>
          </w:p>
          <w:p w14:paraId="584FE333" w14:textId="77777777" w:rsidR="00DD0AA6" w:rsidRPr="009610AD" w:rsidRDefault="00DD0AA6" w:rsidP="00DD0AA6">
            <w:pPr>
              <w:jc w:val="both"/>
              <w:rPr>
                <w:rFonts w:ascii="Arial" w:hAnsi="Arial" w:cs="Arial"/>
              </w:rPr>
            </w:pPr>
            <w:r w:rsidRPr="009610AD">
              <w:rPr>
                <w:rFonts w:ascii="Arial" w:hAnsi="Arial"/>
              </w:rPr>
              <w:t>Stosuje się co najmniej jeden z następujących środków ochronnych:</w:t>
            </w:r>
          </w:p>
          <w:p w14:paraId="0BCC0F4C" w14:textId="77777777" w:rsidR="00DD0AA6" w:rsidRPr="009610AD" w:rsidRDefault="00DD0AA6" w:rsidP="00DD0AA6">
            <w:pPr>
              <w:jc w:val="both"/>
              <w:rPr>
                <w:rFonts w:ascii="Arial" w:hAnsi="Arial" w:cs="Arial"/>
                <w:b/>
                <w:color w:val="000000" w:themeColor="text1"/>
              </w:rPr>
            </w:pPr>
          </w:p>
          <w:p w14:paraId="2E737C13" w14:textId="77777777" w:rsidR="00DD0AA6" w:rsidRPr="009610AD" w:rsidRDefault="00DD0AA6" w:rsidP="00DD0AA6">
            <w:pPr>
              <w:jc w:val="both"/>
              <w:rPr>
                <w:rFonts w:ascii="Arial" w:hAnsi="Arial" w:cs="Arial"/>
                <w:b/>
                <w:color w:val="000000" w:themeColor="text1"/>
              </w:rPr>
            </w:pPr>
            <w:r w:rsidRPr="009610AD">
              <w:rPr>
                <w:rFonts w:ascii="Arial" w:hAnsi="Arial"/>
                <w:b/>
                <w:color w:val="000000" w:themeColor="text1"/>
              </w:rPr>
              <w:t>a. Ochrona pasywna bez automatycznego odłączenia zasilania</w:t>
            </w:r>
          </w:p>
          <w:p w14:paraId="1F6BB7DA" w14:textId="77777777" w:rsidR="00DD0AA6" w:rsidRPr="009610AD" w:rsidRDefault="00DD0AA6" w:rsidP="00DD0AA6">
            <w:pPr>
              <w:rPr>
                <w:rFonts w:ascii="Arial" w:hAnsi="Arial" w:cs="Arial"/>
                <w:b/>
                <w:color w:val="000000" w:themeColor="text1"/>
              </w:rPr>
            </w:pPr>
          </w:p>
          <w:p w14:paraId="0278DC99"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Obwód dedykowany jest chroniony przez bezpieczną separację obwodów zgodnie z pkt C podpunktu 4.2.3.3 oraz za pomocą transformatora izolacyjnego.</w:t>
            </w:r>
          </w:p>
          <w:p w14:paraId="71B3881C" w14:textId="77777777" w:rsidR="00DD0AA6" w:rsidRPr="009610AD" w:rsidRDefault="00DD0AA6" w:rsidP="00DD0AA6">
            <w:pPr>
              <w:jc w:val="both"/>
              <w:rPr>
                <w:rFonts w:ascii="Arial" w:hAnsi="Arial" w:cs="Arial"/>
                <w:color w:val="000000" w:themeColor="text1"/>
              </w:rPr>
            </w:pPr>
          </w:p>
          <w:p w14:paraId="0F7992AA" w14:textId="1CB713CF" w:rsidR="00DD0AA6" w:rsidRPr="009610AD" w:rsidRDefault="009610AD" w:rsidP="00DD0AA6">
            <w:pPr>
              <w:jc w:val="both"/>
              <w:rPr>
                <w:rFonts w:ascii="Arial" w:hAnsi="Arial" w:cs="Arial"/>
                <w:b/>
                <w:color w:val="000000" w:themeColor="text1"/>
              </w:rPr>
            </w:pPr>
            <w:r>
              <w:rPr>
                <w:rFonts w:ascii="Arial" w:hAnsi="Arial"/>
                <w:b/>
                <w:color w:val="000000" w:themeColor="text1"/>
              </w:rPr>
              <w:t xml:space="preserve">b. </w:t>
            </w:r>
            <w:r w:rsidR="00DD0AA6" w:rsidRPr="009610AD">
              <w:rPr>
                <w:rFonts w:ascii="Arial" w:hAnsi="Arial"/>
                <w:b/>
                <w:color w:val="000000" w:themeColor="text1"/>
              </w:rPr>
              <w:t>Aktywna ochrona z automatycznym odłączeniem zasilania</w:t>
            </w:r>
          </w:p>
          <w:p w14:paraId="45FC2AF2" w14:textId="77777777" w:rsidR="00DD0AA6" w:rsidRPr="009610AD" w:rsidRDefault="00DD0AA6" w:rsidP="00DD0AA6">
            <w:pPr>
              <w:jc w:val="both"/>
              <w:rPr>
                <w:rFonts w:ascii="Arial" w:hAnsi="Arial" w:cs="Arial"/>
                <w:color w:val="000000" w:themeColor="text1"/>
              </w:rPr>
            </w:pPr>
          </w:p>
          <w:p w14:paraId="76085FAD"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Zakazane jest stosowanie systemu uziemiania TN-C w obwodzie dedykowanym.</w:t>
            </w:r>
          </w:p>
          <w:p w14:paraId="3A4B60EA" w14:textId="77777777" w:rsidR="00DD0AA6" w:rsidRPr="009610AD" w:rsidRDefault="00DD0AA6" w:rsidP="00DD0AA6">
            <w:pPr>
              <w:rPr>
                <w:rFonts w:ascii="Arial" w:hAnsi="Arial" w:cs="Arial"/>
                <w:color w:val="000000" w:themeColor="text1"/>
              </w:rPr>
            </w:pPr>
          </w:p>
          <w:p w14:paraId="78D1CE97" w14:textId="00254B9C" w:rsidR="00DD0AA6" w:rsidRPr="009610AD" w:rsidRDefault="00DD0AA6" w:rsidP="00DD0AA6">
            <w:pPr>
              <w:jc w:val="both"/>
              <w:rPr>
                <w:rFonts w:ascii="Arial" w:hAnsi="Arial" w:cs="Arial"/>
              </w:rPr>
            </w:pPr>
            <w:r w:rsidRPr="009610AD">
              <w:rPr>
                <w:rFonts w:ascii="Arial" w:hAnsi="Arial"/>
              </w:rPr>
              <w:t xml:space="preserve">Każdy dedykowany obwód prądu przemiennego jest indywidualnie chroniony przez urządzenie zabezpieczające różnicowoprądowe, o prądzie roboczym do 30 mA. </w:t>
            </w:r>
          </w:p>
          <w:p w14:paraId="33F6B4C9" w14:textId="77777777" w:rsidR="00DD0AA6" w:rsidRPr="009610AD" w:rsidRDefault="00DD0AA6" w:rsidP="00DD0AA6">
            <w:pPr>
              <w:jc w:val="both"/>
              <w:rPr>
                <w:rFonts w:ascii="Arial" w:hAnsi="Arial" w:cs="Arial"/>
              </w:rPr>
            </w:pPr>
            <w:r w:rsidRPr="009610AD">
              <w:rPr>
                <w:rFonts w:ascii="Arial" w:hAnsi="Arial"/>
              </w:rPr>
              <w:t>W związku z tym punkt przyłączenia jest chroniony:</w:t>
            </w:r>
          </w:p>
          <w:p w14:paraId="1A8263FB" w14:textId="77777777" w:rsidR="00DD0AA6" w:rsidRPr="009610AD" w:rsidRDefault="00DD0AA6" w:rsidP="00DD0AA6">
            <w:pPr>
              <w:jc w:val="both"/>
              <w:rPr>
                <w:rFonts w:ascii="Arial" w:hAnsi="Arial" w:cs="Arial"/>
              </w:rPr>
            </w:pPr>
          </w:p>
          <w:p w14:paraId="17424950" w14:textId="5BDDC1D5" w:rsidR="00DD0AA6" w:rsidRPr="009610AD" w:rsidRDefault="00DD0AA6" w:rsidP="00DD0AA6">
            <w:pPr>
              <w:jc w:val="both"/>
              <w:rPr>
                <w:rFonts w:ascii="Arial" w:hAnsi="Arial" w:cs="Arial"/>
              </w:rPr>
            </w:pPr>
            <w:r w:rsidRPr="009610AD">
              <w:rPr>
                <w:rFonts w:ascii="Arial" w:hAnsi="Arial"/>
              </w:rPr>
              <w:lastRenderedPageBreak/>
              <w:t>1</w:t>
            </w:r>
            <w:r w:rsidR="009610AD">
              <w:rPr>
                <w:rFonts w:ascii="Arial" w:hAnsi="Arial"/>
              </w:rPr>
              <w:t>.</w:t>
            </w:r>
            <w:r w:rsidRPr="009610AD">
              <w:rPr>
                <w:rFonts w:ascii="Arial" w:hAnsi="Arial"/>
              </w:rPr>
              <w:t xml:space="preserve"> za pomocą zabezpieczenia różnicowoprądowego, które jest skonstruowane w taki sposób, że jego działanie pozostaje zagwarantowane w przypadku wystąpienia błędu izolacji ze składową ciągłą powodującą zakłócenia; lub</w:t>
            </w:r>
          </w:p>
          <w:p w14:paraId="65032D38" w14:textId="77777777" w:rsidR="00DD0AA6" w:rsidRPr="009610AD" w:rsidRDefault="00DD0AA6" w:rsidP="00DD0AA6">
            <w:pPr>
              <w:jc w:val="both"/>
              <w:rPr>
                <w:rFonts w:ascii="Arial" w:hAnsi="Arial" w:cs="Arial"/>
              </w:rPr>
            </w:pPr>
          </w:p>
          <w:p w14:paraId="45EAAF29" w14:textId="7B0A43A7" w:rsidR="00DD0AA6" w:rsidRPr="009610AD" w:rsidRDefault="00DD0AA6" w:rsidP="00DD0AA6">
            <w:pPr>
              <w:jc w:val="both"/>
              <w:rPr>
                <w:rFonts w:ascii="Arial" w:hAnsi="Arial" w:cs="Arial"/>
              </w:rPr>
            </w:pPr>
            <w:r w:rsidRPr="009610AD">
              <w:rPr>
                <w:rFonts w:ascii="Arial" w:hAnsi="Arial"/>
              </w:rPr>
              <w:t>2</w:t>
            </w:r>
            <w:r w:rsidR="009610AD">
              <w:rPr>
                <w:rFonts w:ascii="Arial" w:hAnsi="Arial"/>
              </w:rPr>
              <w:t>.</w:t>
            </w:r>
            <w:r w:rsidRPr="009610AD">
              <w:rPr>
                <w:rFonts w:ascii="Arial" w:hAnsi="Arial"/>
              </w:rPr>
              <w:t xml:space="preserve"> za pomocą urządzenia ochronnego różnicowoprądowego, wspólnie i w koordynacji z ciągłym różnicowoprądowym urządzeniem wykrywającym, które odłącza stację ładowania w przypadku wystąpienia błędu izolacji ze składową ciągłą powodującą zakłócenia;</w:t>
            </w:r>
          </w:p>
          <w:p w14:paraId="574E8E5C" w14:textId="77777777" w:rsidR="00DD0AA6" w:rsidRPr="009610AD" w:rsidRDefault="00DD0AA6" w:rsidP="00DD0AA6">
            <w:pPr>
              <w:jc w:val="both"/>
              <w:rPr>
                <w:rFonts w:ascii="Arial" w:hAnsi="Arial" w:cs="Arial"/>
              </w:rPr>
            </w:pPr>
          </w:p>
          <w:p w14:paraId="7BB850C9" w14:textId="77777777" w:rsidR="00DD0AA6" w:rsidRPr="009610AD" w:rsidRDefault="00DD0AA6" w:rsidP="00DD0AA6">
            <w:pPr>
              <w:jc w:val="both"/>
              <w:rPr>
                <w:rFonts w:ascii="Arial" w:hAnsi="Arial" w:cs="Arial"/>
              </w:rPr>
            </w:pPr>
            <w:r w:rsidRPr="009610AD">
              <w:rPr>
                <w:rFonts w:ascii="Arial" w:hAnsi="Arial"/>
              </w:rPr>
              <w:t>Wymóg, o którym mowa w ustępach drugim i trzecim, musi być spełniony poprzez zastosowanie urządzeń ochronnych wymienionych powyżej albo w stałej instalacji elektrycznej przed ładowaniem lub w stacji ładowania (lub w połączeniu obu tych elementów).</w:t>
            </w:r>
          </w:p>
          <w:p w14:paraId="0B644B08" w14:textId="579DBB0C" w:rsidR="003C2DF7" w:rsidRPr="009610AD" w:rsidRDefault="003C2DF7" w:rsidP="00BF274B">
            <w:pPr>
              <w:jc w:val="both"/>
              <w:rPr>
                <w:rFonts w:ascii="Arial" w:hAnsi="Arial" w:cs="Arial"/>
              </w:rPr>
            </w:pPr>
          </w:p>
          <w:p w14:paraId="23AA1FAC" w14:textId="77777777" w:rsidR="00DD0AA6" w:rsidRPr="009610AD" w:rsidRDefault="00DD0AA6" w:rsidP="00844802">
            <w:pPr>
              <w:jc w:val="both"/>
              <w:rPr>
                <w:rFonts w:ascii="Arial" w:hAnsi="Arial" w:cs="Arial"/>
              </w:rPr>
            </w:pPr>
            <w:r w:rsidRPr="009610AD">
              <w:rPr>
                <w:rFonts w:ascii="Arial" w:hAnsi="Arial"/>
              </w:rPr>
              <w:t>W przypadku zastosowania uziemienia IT, dopuszcza się:</w:t>
            </w:r>
          </w:p>
          <w:p w14:paraId="508DCB7F" w14:textId="77777777" w:rsidR="00DD0AA6" w:rsidRPr="009610AD" w:rsidRDefault="00DD0AA6" w:rsidP="00DD0AA6">
            <w:pPr>
              <w:shd w:val="clear" w:color="auto" w:fill="FFFFFF" w:themeFill="background1"/>
              <w:jc w:val="both"/>
              <w:rPr>
                <w:rFonts w:ascii="Arial" w:hAnsi="Arial" w:cs="Arial"/>
              </w:rPr>
            </w:pPr>
          </w:p>
          <w:p w14:paraId="6AC4A1F3" w14:textId="00AB6B9C" w:rsidR="00DD0AA6" w:rsidRPr="009610AD" w:rsidRDefault="00DD0AA6" w:rsidP="00DD0AA6">
            <w:pPr>
              <w:shd w:val="clear" w:color="auto" w:fill="FFFFFF" w:themeFill="background1"/>
              <w:jc w:val="both"/>
              <w:rPr>
                <w:rFonts w:ascii="Arial" w:hAnsi="Arial" w:cs="Arial"/>
              </w:rPr>
            </w:pPr>
            <w:r w:rsidRPr="009610AD">
              <w:rPr>
                <w:rFonts w:ascii="Arial" w:hAnsi="Arial"/>
              </w:rPr>
              <w:t xml:space="preserve">1. pominięcie zabezpieczenia różnicowoprądowego, o którym mowa w ustępie drugim, pod warunkiem że każdy wydzielony obwód jest zasilany oddzielnie z indywidualnego źródła energii elektrycznej, na przykład z oddzielnego transformatora uzwojeniowego; </w:t>
            </w:r>
          </w:p>
          <w:p w14:paraId="6B28E3D0" w14:textId="77777777" w:rsidR="00DD0AA6" w:rsidRPr="009610AD" w:rsidRDefault="00DD0AA6" w:rsidP="00DD0AA6">
            <w:pPr>
              <w:shd w:val="clear" w:color="auto" w:fill="FFFFFF" w:themeFill="background1"/>
              <w:jc w:val="both"/>
              <w:rPr>
                <w:rFonts w:ascii="Arial" w:hAnsi="Arial" w:cs="Arial"/>
              </w:rPr>
            </w:pPr>
          </w:p>
          <w:p w14:paraId="1AB8A2FE" w14:textId="77777777" w:rsidR="00DD0AA6" w:rsidRPr="009610AD" w:rsidRDefault="00DD0AA6" w:rsidP="00DD0AA6">
            <w:pPr>
              <w:shd w:val="clear" w:color="auto" w:fill="FFFFFF" w:themeFill="background1"/>
              <w:jc w:val="both"/>
              <w:rPr>
                <w:rFonts w:ascii="Arial" w:hAnsi="Arial" w:cs="Arial"/>
              </w:rPr>
            </w:pPr>
            <w:r w:rsidRPr="009610AD">
              <w:rPr>
                <w:rFonts w:ascii="Arial" w:hAnsi="Arial"/>
              </w:rPr>
              <w:t xml:space="preserve">2. zapewnienie stałego monitora izolacji dla więcej niż jednego wydzielonego obwodu, jeżeli obwody te są zasilane z tego samego źródła energii elektrycznej, takiego jak np. transformator. Wymóg ten jest spełniony poprzez zastosowanie tego urządzenia w stałej instalacji elektrycznej przed ładowaniem lub w stacji ładowania. </w:t>
            </w:r>
            <w:r w:rsidRPr="009610AD">
              <w:rPr>
                <w:rFonts w:ascii="Arial" w:hAnsi="Arial"/>
                <w:color w:val="000000" w:themeColor="text1"/>
              </w:rPr>
              <w:t>Niezwłocznie po zgłoszeniu przez stały monitor izolacyjny pojedynczego błędu w uziemieniu, należy podjąć niezbędne kroki w celu zbadania i usunięcia tej usterki.</w:t>
            </w:r>
          </w:p>
          <w:p w14:paraId="69779B42" w14:textId="77777777" w:rsidR="0001776B" w:rsidRPr="009610AD" w:rsidRDefault="0001776B" w:rsidP="00DD0AA6">
            <w:pPr>
              <w:rPr>
                <w:rFonts w:ascii="Arial" w:hAnsi="Arial" w:cs="Arial"/>
                <w:color w:val="000000" w:themeColor="text1"/>
              </w:rPr>
            </w:pPr>
          </w:p>
          <w:p w14:paraId="58EF4DD1" w14:textId="77777777" w:rsidR="00DD0AA6" w:rsidRPr="009610AD" w:rsidRDefault="00DD0AA6" w:rsidP="00DD0AA6">
            <w:pPr>
              <w:jc w:val="both"/>
              <w:rPr>
                <w:rFonts w:ascii="Arial" w:hAnsi="Arial" w:cs="Arial"/>
                <w:b/>
                <w:color w:val="000000" w:themeColor="text1"/>
              </w:rPr>
            </w:pPr>
            <w:r w:rsidRPr="009610AD">
              <w:rPr>
                <w:rFonts w:ascii="Arial" w:hAnsi="Arial"/>
                <w:b/>
                <w:color w:val="000000" w:themeColor="text1"/>
              </w:rPr>
              <w:t>Podsekcja 7.22.4.2. Ochrona elektryczna przed przetężeniami</w:t>
            </w:r>
          </w:p>
          <w:p w14:paraId="6F893339" w14:textId="77777777" w:rsidR="00DD0AA6" w:rsidRPr="009610AD" w:rsidRDefault="00DD0AA6" w:rsidP="00DD0AA6">
            <w:pPr>
              <w:rPr>
                <w:rFonts w:ascii="Arial" w:hAnsi="Arial" w:cs="Arial"/>
                <w:color w:val="000000" w:themeColor="text1"/>
              </w:rPr>
            </w:pPr>
          </w:p>
          <w:p w14:paraId="7D7F0BE9"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Każdy dedykowany obwód jest indywidualnie chroniony przez odpowiednie nadprądowe urządzenie zabezpieczające.</w:t>
            </w:r>
          </w:p>
          <w:p w14:paraId="0DF8F3BE" w14:textId="77777777" w:rsidR="00DD0AA6" w:rsidRPr="009610AD" w:rsidRDefault="00DD0AA6" w:rsidP="00DD0AA6">
            <w:pPr>
              <w:jc w:val="both"/>
              <w:rPr>
                <w:rFonts w:ascii="Arial" w:hAnsi="Arial" w:cs="Arial"/>
                <w:color w:val="000000" w:themeColor="text1"/>
              </w:rPr>
            </w:pPr>
          </w:p>
          <w:p w14:paraId="22AB6A83" w14:textId="77777777" w:rsidR="00DD0AA6" w:rsidRPr="009610AD" w:rsidRDefault="00DD0AA6" w:rsidP="00DD0AA6">
            <w:pPr>
              <w:jc w:val="both"/>
              <w:rPr>
                <w:rFonts w:ascii="Arial" w:hAnsi="Arial" w:cs="Arial"/>
              </w:rPr>
            </w:pPr>
            <w:r w:rsidRPr="009610AD">
              <w:rPr>
                <w:rFonts w:ascii="Arial" w:hAnsi="Arial"/>
              </w:rPr>
              <w:t>Odbywa się to odpowiednio poprzez wdrożenie odpowiedniego nadprądowego urządzenia zabezpieczającego spełniającego wymogi rozdziału 4.4. i umieszczonego w stałej instalacji elektrycznej przed ładowaniem lub w stacji ładowania (lub w kombinacji obu tych elementów).</w:t>
            </w:r>
          </w:p>
          <w:p w14:paraId="1E36197F" w14:textId="77777777" w:rsidR="00DD0AA6" w:rsidRPr="009610AD" w:rsidRDefault="00DD0AA6" w:rsidP="00DD0AA6">
            <w:pPr>
              <w:jc w:val="both"/>
              <w:rPr>
                <w:rFonts w:ascii="Arial" w:hAnsi="Arial" w:cs="Arial"/>
                <w:color w:val="000000" w:themeColor="text1"/>
              </w:rPr>
            </w:pPr>
          </w:p>
          <w:p w14:paraId="233D58AF" w14:textId="1C7CE4C5" w:rsidR="003C2DF7" w:rsidRPr="009610AD" w:rsidRDefault="00DD0AA6" w:rsidP="00DD0AA6">
            <w:pPr>
              <w:jc w:val="both"/>
              <w:rPr>
                <w:rFonts w:ascii="Arial" w:hAnsi="Arial" w:cs="Arial"/>
                <w:b/>
                <w:i/>
                <w:color w:val="000000" w:themeColor="text1"/>
              </w:rPr>
            </w:pPr>
            <w:r w:rsidRPr="009610AD">
              <w:rPr>
                <w:rFonts w:ascii="Arial" w:hAnsi="Arial"/>
              </w:rPr>
              <w:t>W drodze wyjątku od akapitu pierwszego, jeżeli stacja ładowania ma kilka punktów przyłączeniowych, które nie są używane jednocześnie, zezwala się, aby te ostatnie miały wspólne urządzenia zabezpieczające przed przetężeniami, pod warunkiem że takie urządzenia zapewniają ochronę wymaganą dla każdego z punktów przyłączeniowych (na przykład gdy prąd znamionowy wspólnego urządzenia zabezpieczającego nie jest wyższy niż najniższy prąd znamionowy punktów przyłączeniowych).</w:t>
            </w:r>
          </w:p>
          <w:p w14:paraId="6E648943" w14:textId="77777777" w:rsidR="00BF274B" w:rsidRPr="009610AD" w:rsidRDefault="00BF274B" w:rsidP="00BF274B">
            <w:pPr>
              <w:rPr>
                <w:rFonts w:ascii="Arial" w:hAnsi="Arial" w:cs="Arial"/>
                <w:color w:val="000000" w:themeColor="text1"/>
              </w:rPr>
            </w:pPr>
          </w:p>
          <w:p w14:paraId="1CFDF9D9" w14:textId="77777777" w:rsidR="00DD0AA6" w:rsidRPr="009610AD" w:rsidRDefault="00DD0AA6" w:rsidP="00DD0AA6">
            <w:pPr>
              <w:jc w:val="both"/>
              <w:rPr>
                <w:rFonts w:ascii="Arial" w:hAnsi="Arial" w:cs="Arial"/>
                <w:i/>
                <w:color w:val="000000" w:themeColor="text1"/>
              </w:rPr>
            </w:pPr>
            <w:r w:rsidRPr="009610AD">
              <w:rPr>
                <w:rFonts w:ascii="Arial" w:hAnsi="Arial"/>
                <w:b/>
                <w:i/>
                <w:color w:val="000000" w:themeColor="text1"/>
              </w:rPr>
              <w:t>Sekcja 7.22.5. Wybór i realizacja wyposażenia elektrycznego</w:t>
            </w:r>
          </w:p>
          <w:p w14:paraId="5666AD9B" w14:textId="77777777" w:rsidR="00DD0AA6" w:rsidRPr="009610AD" w:rsidRDefault="00DD0AA6" w:rsidP="00DD0AA6">
            <w:pPr>
              <w:rPr>
                <w:rFonts w:ascii="Arial" w:hAnsi="Arial" w:cs="Arial"/>
                <w:color w:val="000000" w:themeColor="text1"/>
              </w:rPr>
            </w:pPr>
          </w:p>
          <w:p w14:paraId="3C1F00DB" w14:textId="77777777" w:rsidR="00DD0AA6" w:rsidRPr="009610AD" w:rsidRDefault="00DD0AA6" w:rsidP="00DD0AA6">
            <w:pPr>
              <w:jc w:val="both"/>
              <w:rPr>
                <w:rFonts w:ascii="Arial" w:hAnsi="Arial" w:cs="Arial"/>
                <w:b/>
                <w:color w:val="000000" w:themeColor="text1"/>
              </w:rPr>
            </w:pPr>
            <w:r w:rsidRPr="009610AD">
              <w:rPr>
                <w:rFonts w:ascii="Arial" w:hAnsi="Arial"/>
                <w:b/>
                <w:color w:val="000000" w:themeColor="text1"/>
              </w:rPr>
              <w:t xml:space="preserve">Podsekcja 7.22.5.1. Wpływy zewnętrzne </w:t>
            </w:r>
          </w:p>
          <w:p w14:paraId="56E296F4" w14:textId="77777777" w:rsidR="00DD0AA6" w:rsidRPr="009610AD" w:rsidRDefault="00DD0AA6" w:rsidP="00DD0AA6">
            <w:pPr>
              <w:rPr>
                <w:rFonts w:ascii="Arial" w:hAnsi="Arial" w:cs="Arial"/>
                <w:color w:val="000000" w:themeColor="text1"/>
                <w:lang w:eastAsia="nl-NL"/>
              </w:rPr>
            </w:pPr>
          </w:p>
          <w:p w14:paraId="4DC5F2AB"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Stacja ładująca jest zabezpieczona przed przewidywalnymi wpływami zewnętrznymi miejsca, w którym jest zainstalowana.</w:t>
            </w:r>
          </w:p>
          <w:p w14:paraId="3DFB76C4" w14:textId="77777777" w:rsidR="00DD0AA6" w:rsidRPr="009610AD" w:rsidRDefault="00DD0AA6" w:rsidP="00DD0AA6">
            <w:pPr>
              <w:jc w:val="both"/>
              <w:rPr>
                <w:rFonts w:ascii="Arial" w:hAnsi="Arial" w:cs="Arial"/>
                <w:color w:val="000000" w:themeColor="text1"/>
              </w:rPr>
            </w:pPr>
          </w:p>
          <w:p w14:paraId="73082593" w14:textId="77777777" w:rsidR="00DD0AA6" w:rsidRPr="009610AD" w:rsidRDefault="00DD0AA6" w:rsidP="00DD0AA6">
            <w:pPr>
              <w:jc w:val="both"/>
              <w:rPr>
                <w:rFonts w:ascii="Arial" w:hAnsi="Arial" w:cs="Arial"/>
              </w:rPr>
            </w:pPr>
            <w:r w:rsidRPr="009610AD">
              <w:rPr>
                <w:rFonts w:ascii="Arial" w:hAnsi="Arial"/>
                <w:color w:val="000000" w:themeColor="text1"/>
              </w:rPr>
              <w:t>Jeżeli stacja ładująca jest zainstalowana na zewnątrz, osprzęt posiada stopień ochrony co najmniej IP44.</w:t>
            </w:r>
          </w:p>
          <w:p w14:paraId="1A967995" w14:textId="77777777" w:rsidR="00DD0AA6" w:rsidRPr="009610AD" w:rsidRDefault="00DD0AA6" w:rsidP="00DD0AA6">
            <w:pPr>
              <w:jc w:val="both"/>
              <w:rPr>
                <w:rFonts w:ascii="Arial" w:hAnsi="Arial" w:cs="Arial"/>
                <w:color w:val="000000" w:themeColor="text1"/>
              </w:rPr>
            </w:pPr>
          </w:p>
          <w:p w14:paraId="19C3024D"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Oprócz środków zapobiegających przewidywalnym wpływom zewnętrznym podejmuje się dodatkowe środki w celu ochrony przed naprężeniami mechanicznymi wynikającymi z wszelkich racjonalnie przewidywalnych kolizji.</w:t>
            </w:r>
          </w:p>
          <w:p w14:paraId="7CC6D648" w14:textId="77777777" w:rsidR="00DD0AA6" w:rsidRPr="009610AD" w:rsidRDefault="00DD0AA6" w:rsidP="00BF274B">
            <w:pPr>
              <w:jc w:val="both"/>
              <w:rPr>
                <w:rFonts w:ascii="Arial" w:hAnsi="Arial" w:cs="Arial"/>
                <w:b/>
                <w:bCs/>
                <w:color w:val="000000" w:themeColor="text1"/>
              </w:rPr>
            </w:pPr>
          </w:p>
          <w:p w14:paraId="1D0C4A33" w14:textId="77777777" w:rsidR="00DD0AA6" w:rsidRPr="009610AD" w:rsidRDefault="00DD0AA6" w:rsidP="00DD0AA6">
            <w:pPr>
              <w:jc w:val="both"/>
              <w:rPr>
                <w:rFonts w:ascii="Arial" w:hAnsi="Arial" w:cs="Arial"/>
                <w:b/>
                <w:bCs/>
                <w:color w:val="000000" w:themeColor="text1"/>
              </w:rPr>
            </w:pPr>
            <w:r w:rsidRPr="009610AD">
              <w:rPr>
                <w:rFonts w:ascii="Arial" w:hAnsi="Arial"/>
                <w:b/>
                <w:color w:val="000000" w:themeColor="text1"/>
              </w:rPr>
              <w:lastRenderedPageBreak/>
              <w:t>Podsekcja 7.22.5.2. Awaryjne wyłączenie zasilania</w:t>
            </w:r>
          </w:p>
          <w:p w14:paraId="7B874CCF" w14:textId="77777777" w:rsidR="00DD0AA6" w:rsidRPr="009610AD" w:rsidRDefault="00DD0AA6" w:rsidP="00DD0AA6">
            <w:pPr>
              <w:jc w:val="both"/>
              <w:rPr>
                <w:rFonts w:ascii="Arial" w:hAnsi="Arial" w:cs="Arial"/>
                <w:b/>
                <w:bCs/>
                <w:i/>
                <w:color w:val="000000" w:themeColor="text1"/>
              </w:rPr>
            </w:pPr>
          </w:p>
          <w:p w14:paraId="109A8994"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Stacje ładowania zainstalowane w budynku należy wyposażyć w awaryjne odcięcie zasilania zgodnie z punktem C podpunktu 5.3.3.1. Każda jednostka sterująca awaryjnego odcięcia zasilania jest wyraźnie i odpowiednio oznakowana, jak również łatwo dostępna i gotowa do obsługi. Będą one dostępne przy każdym dostępnym dla pojazdów wjeździe do wspólnego miejsca parkingowego, chyba że wykonawca przed zaprojektowaniem i wykonaniem instalacji wyznaczy inne miejsce po uzgodnieniu ze strażą pożarną. Zawiadomienie straży pożarnej jest archiwizowane w aktach instalacji elektrycznej i przechowywane na miejscu do dyspozycji wszystkich osób odpowiedzialnych za instalację, konserwację, nadzór i kontrolę.</w:t>
            </w:r>
          </w:p>
          <w:p w14:paraId="139CA74B" w14:textId="77777777" w:rsidR="00DD0AA6" w:rsidRPr="009610AD" w:rsidRDefault="00DD0AA6" w:rsidP="00DD0AA6">
            <w:pPr>
              <w:jc w:val="both"/>
              <w:rPr>
                <w:rFonts w:ascii="Arial" w:hAnsi="Arial" w:cs="Arial"/>
                <w:color w:val="000000" w:themeColor="text1"/>
              </w:rPr>
            </w:pPr>
          </w:p>
          <w:p w14:paraId="7BCAA862"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Awaryjne wyłączenie zasilania zapewnia funkcję odłączenia obciążenia.</w:t>
            </w:r>
          </w:p>
          <w:p w14:paraId="28AAA406" w14:textId="77777777" w:rsidR="00DD0AA6" w:rsidRPr="009610AD" w:rsidRDefault="00DD0AA6" w:rsidP="00DD0AA6">
            <w:pPr>
              <w:jc w:val="both"/>
              <w:rPr>
                <w:rFonts w:ascii="Arial" w:hAnsi="Arial" w:cs="Arial"/>
                <w:color w:val="000000" w:themeColor="text1"/>
              </w:rPr>
            </w:pPr>
          </w:p>
          <w:p w14:paraId="35634DBA" w14:textId="77777777" w:rsidR="00DD0AA6" w:rsidRPr="009610AD" w:rsidRDefault="00DD0AA6" w:rsidP="00DD0AA6">
            <w:pPr>
              <w:jc w:val="both"/>
              <w:rPr>
                <w:rFonts w:ascii="Arial" w:hAnsi="Arial" w:cs="Arial"/>
                <w:bCs/>
                <w:color w:val="000000" w:themeColor="text1"/>
              </w:rPr>
            </w:pPr>
            <w:r w:rsidRPr="009610AD">
              <w:rPr>
                <w:rFonts w:ascii="Arial" w:hAnsi="Arial"/>
                <w:color w:val="000000" w:themeColor="text1"/>
              </w:rPr>
              <w:t>Niniejszy podpunkt nie ma zastosowania do stacji ładowania, które są częścią instalacji elektrycznej w lokalu mieszkalnym.</w:t>
            </w:r>
          </w:p>
          <w:p w14:paraId="1E5E4EFE" w14:textId="6D9DE91F" w:rsidR="00BF274B" w:rsidRPr="009610AD" w:rsidRDefault="00BF274B" w:rsidP="00BF274B">
            <w:pPr>
              <w:jc w:val="both"/>
              <w:rPr>
                <w:rFonts w:ascii="Arial" w:hAnsi="Arial" w:cs="Arial"/>
                <w:iCs/>
              </w:rPr>
            </w:pPr>
          </w:p>
          <w:p w14:paraId="1DC202B1" w14:textId="77777777" w:rsidR="00DD0AA6" w:rsidRPr="009610AD" w:rsidRDefault="00DD0AA6" w:rsidP="00DD0AA6">
            <w:pPr>
              <w:shd w:val="clear" w:color="auto" w:fill="FFFFFF" w:themeFill="background1"/>
              <w:jc w:val="both"/>
              <w:rPr>
                <w:rFonts w:ascii="Arial" w:hAnsi="Arial" w:cs="Arial"/>
                <w:b/>
                <w:bCs/>
                <w:color w:val="000000" w:themeColor="text1"/>
              </w:rPr>
            </w:pPr>
            <w:r w:rsidRPr="009610AD">
              <w:rPr>
                <w:rFonts w:ascii="Arial" w:hAnsi="Arial"/>
                <w:b/>
                <w:color w:val="000000" w:themeColor="text1"/>
              </w:rPr>
              <w:t xml:space="preserve">Podsekcja 7.22.5.3. Punkt przyłączeniowy </w:t>
            </w:r>
          </w:p>
          <w:p w14:paraId="36EE132C" w14:textId="77777777" w:rsidR="00DD0AA6" w:rsidRPr="009610AD" w:rsidRDefault="00DD0AA6" w:rsidP="00DD0AA6">
            <w:pPr>
              <w:rPr>
                <w:rFonts w:ascii="Arial" w:hAnsi="Arial" w:cs="Arial"/>
                <w:bCs/>
                <w:color w:val="000000" w:themeColor="text1"/>
              </w:rPr>
            </w:pPr>
          </w:p>
          <w:p w14:paraId="666254C6"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Punkt przyłączeniowy znajduje się jak najbliżej miejsca postojowego przeznaczonego do ładowania pojazdów elektrycznych.</w:t>
            </w:r>
          </w:p>
          <w:p w14:paraId="655B2F4E" w14:textId="77777777" w:rsidR="00DD0AA6" w:rsidRPr="009610AD" w:rsidRDefault="00DD0AA6" w:rsidP="00DD0AA6">
            <w:pPr>
              <w:jc w:val="both"/>
              <w:rPr>
                <w:rFonts w:ascii="Arial" w:hAnsi="Arial" w:cs="Arial"/>
                <w:color w:val="000000" w:themeColor="text1"/>
              </w:rPr>
            </w:pPr>
          </w:p>
          <w:p w14:paraId="7632BB71"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Do każdego punktu przyłączeniowego może być podłączony elektrycznie tylko jeden pojazd elektryczny w tym samym czasie.</w:t>
            </w:r>
          </w:p>
          <w:p w14:paraId="134DE4C6" w14:textId="77777777" w:rsidR="00DD0AA6" w:rsidRPr="009610AD" w:rsidRDefault="00DD0AA6" w:rsidP="00DD0AA6">
            <w:pPr>
              <w:jc w:val="both"/>
              <w:rPr>
                <w:rFonts w:ascii="Arial" w:hAnsi="Arial" w:cs="Arial"/>
                <w:color w:val="000000" w:themeColor="text1"/>
              </w:rPr>
            </w:pPr>
          </w:p>
          <w:p w14:paraId="2E4E4A2F" w14:textId="77777777" w:rsidR="00DD0AA6" w:rsidRPr="009610AD" w:rsidRDefault="00DD0AA6" w:rsidP="00DD0AA6">
            <w:pPr>
              <w:jc w:val="both"/>
              <w:rPr>
                <w:rFonts w:ascii="Arial" w:hAnsi="Arial" w:cs="Arial"/>
                <w:b/>
                <w:bCs/>
                <w:color w:val="000000" w:themeColor="text1"/>
              </w:rPr>
            </w:pPr>
            <w:r w:rsidRPr="009610AD">
              <w:rPr>
                <w:rFonts w:ascii="Arial" w:hAnsi="Arial"/>
                <w:b/>
                <w:color w:val="000000" w:themeColor="text1"/>
              </w:rPr>
              <w:t>Podsekcja 7.22.5.4. Zdecentralizowane jednostki produkcyjne niskiego napięcia</w:t>
            </w:r>
          </w:p>
          <w:p w14:paraId="0C80C724" w14:textId="77777777" w:rsidR="00DD0AA6" w:rsidRPr="009610AD" w:rsidRDefault="00DD0AA6" w:rsidP="00DD0AA6">
            <w:pPr>
              <w:jc w:val="both"/>
              <w:rPr>
                <w:rFonts w:ascii="Arial" w:hAnsi="Arial" w:cs="Arial"/>
                <w:b/>
                <w:bCs/>
                <w:color w:val="000000" w:themeColor="text1"/>
              </w:rPr>
            </w:pPr>
          </w:p>
          <w:p w14:paraId="4364704B" w14:textId="77777777" w:rsidR="00DD0AA6" w:rsidRPr="009610AD" w:rsidRDefault="00DD0AA6" w:rsidP="00DD0AA6">
            <w:pPr>
              <w:jc w:val="both"/>
              <w:rPr>
                <w:rFonts w:ascii="Arial" w:hAnsi="Arial" w:cs="Arial"/>
                <w:color w:val="000000" w:themeColor="text1"/>
              </w:rPr>
            </w:pPr>
            <w:r w:rsidRPr="009610AD">
              <w:rPr>
                <w:rFonts w:ascii="Arial" w:hAnsi="Arial"/>
                <w:color w:val="000000" w:themeColor="text1"/>
              </w:rPr>
              <w:t>W przypadku, gdy stacja ładowania umożliwia ponowne wprowadzenie energii elektrycznej do stałej instalacji elektrycznej znajdującej się powyżej:</w:t>
            </w:r>
          </w:p>
          <w:p w14:paraId="7F34BA45" w14:textId="77777777" w:rsidR="00DD0AA6" w:rsidRPr="009610AD" w:rsidRDefault="00DD0AA6" w:rsidP="00DD0AA6">
            <w:pPr>
              <w:jc w:val="both"/>
              <w:rPr>
                <w:rFonts w:ascii="Arial" w:hAnsi="Arial" w:cs="Arial"/>
                <w:color w:val="000000" w:themeColor="text1"/>
              </w:rPr>
            </w:pPr>
          </w:p>
          <w:p w14:paraId="24DADEC8" w14:textId="03CA53F7" w:rsidR="00DD0AA6" w:rsidRPr="009610AD" w:rsidRDefault="00DD0AA6" w:rsidP="00DD0AA6">
            <w:pPr>
              <w:jc w:val="both"/>
              <w:rPr>
                <w:rFonts w:ascii="Arial" w:hAnsi="Arial" w:cs="Arial"/>
              </w:rPr>
            </w:pPr>
            <w:r w:rsidRPr="009610AD">
              <w:rPr>
                <w:rFonts w:ascii="Arial" w:hAnsi="Arial"/>
                <w:color w:val="000000" w:themeColor="text1"/>
              </w:rPr>
              <w:t>1.</w:t>
            </w:r>
            <w:r w:rsidRPr="009610AD">
              <w:rPr>
                <w:rFonts w:ascii="Arial" w:hAnsi="Arial"/>
                <w:color w:val="000000" w:themeColor="text1"/>
              </w:rPr>
              <w:tab/>
              <w:t>powinny zostać spełnione wymagania dla zdecentralizowanych jednostek wytwórczych, w szczególności</w:t>
            </w:r>
            <w:r w:rsidRPr="009610AD">
              <w:rPr>
                <w:rFonts w:ascii="Arial" w:hAnsi="Arial"/>
              </w:rPr>
              <w:t xml:space="preserve"> w zakresie ochrony przed porażeniem prądem elektrycznym, ochrony przed prądem przetężeniowym oraz wyłączników bezpieczeństwa;</w:t>
            </w:r>
          </w:p>
          <w:p w14:paraId="30C2E303" w14:textId="77777777" w:rsidR="00DD0AA6" w:rsidRPr="009610AD" w:rsidRDefault="00DD0AA6" w:rsidP="00DD0AA6">
            <w:pPr>
              <w:jc w:val="both"/>
              <w:rPr>
                <w:rFonts w:ascii="Arial" w:hAnsi="Arial" w:cs="Arial"/>
                <w:color w:val="000000" w:themeColor="text1"/>
              </w:rPr>
            </w:pPr>
          </w:p>
          <w:p w14:paraId="78E99C39" w14:textId="4939DC3E" w:rsidR="00DD0AA6" w:rsidRPr="009610AD" w:rsidRDefault="00DD0AA6" w:rsidP="00DD0AA6">
            <w:pPr>
              <w:jc w:val="both"/>
              <w:rPr>
                <w:rFonts w:ascii="Arial" w:hAnsi="Arial" w:cs="Arial"/>
              </w:rPr>
            </w:pPr>
            <w:r w:rsidRPr="009610AD">
              <w:rPr>
                <w:rFonts w:ascii="Arial" w:hAnsi="Arial"/>
                <w:color w:val="000000" w:themeColor="text1"/>
              </w:rPr>
              <w:t>2.</w:t>
            </w:r>
            <w:r w:rsidRPr="009610AD">
              <w:rPr>
                <w:rFonts w:ascii="Arial" w:hAnsi="Arial"/>
                <w:color w:val="000000" w:themeColor="text1"/>
              </w:rPr>
              <w:tab/>
              <w:t>ostrzeżenie: „Przestroga: możliwe ponowne wprowadzenie energii elektrycznej do instalacji" dotyczy</w:t>
            </w:r>
            <w:r w:rsidRPr="009610AD">
              <w:rPr>
                <w:rFonts w:ascii="Arial" w:hAnsi="Arial"/>
              </w:rPr>
              <w:t xml:space="preserve"> stacji ładującej (stacji ładujących) oraz zasilanego przez nią (przez nie) panelu obsługi i dystrybucji (paneli operacyjnych).</w:t>
            </w:r>
          </w:p>
          <w:p w14:paraId="5BE1BE55" w14:textId="77777777" w:rsidR="00C118D6" w:rsidRPr="009610AD" w:rsidRDefault="00C118D6" w:rsidP="00DD0AA6">
            <w:pPr>
              <w:jc w:val="both"/>
              <w:rPr>
                <w:rFonts w:ascii="Arial" w:hAnsi="Arial" w:cs="Arial"/>
              </w:rPr>
            </w:pPr>
          </w:p>
          <w:p w14:paraId="7163CB63" w14:textId="77777777" w:rsidR="00DD0AA6" w:rsidRPr="009610AD" w:rsidRDefault="00DD0AA6" w:rsidP="00DD0AA6">
            <w:pPr>
              <w:jc w:val="both"/>
              <w:rPr>
                <w:rFonts w:ascii="Arial" w:hAnsi="Arial" w:cs="Arial"/>
                <w:b/>
                <w:color w:val="000000" w:themeColor="text1"/>
              </w:rPr>
            </w:pPr>
            <w:r w:rsidRPr="009610AD">
              <w:rPr>
                <w:rFonts w:ascii="Arial" w:hAnsi="Arial"/>
                <w:b/>
                <w:color w:val="000000" w:themeColor="text1"/>
              </w:rPr>
              <w:t>Podsekcja 7.22.5.5. Lokalizacja stacji ładowania i przyległych do nich miejsc parkingowych</w:t>
            </w:r>
          </w:p>
          <w:p w14:paraId="1C7E8A01" w14:textId="77777777" w:rsidR="00DD0AA6" w:rsidRPr="009610AD" w:rsidRDefault="00DD0AA6" w:rsidP="00DD0AA6">
            <w:pPr>
              <w:jc w:val="both"/>
              <w:rPr>
                <w:rFonts w:ascii="Arial" w:hAnsi="Arial" w:cs="Arial"/>
                <w:b/>
                <w:color w:val="000000" w:themeColor="text1"/>
                <w:lang w:eastAsia="nl-NL"/>
              </w:rPr>
            </w:pPr>
          </w:p>
          <w:p w14:paraId="7F11120A" w14:textId="3D8117B6" w:rsidR="00BF274B" w:rsidRPr="009610AD" w:rsidRDefault="00DD0AA6" w:rsidP="00DD0AA6">
            <w:pPr>
              <w:jc w:val="both"/>
              <w:rPr>
                <w:rFonts w:ascii="Arial" w:hAnsi="Arial" w:cs="Arial"/>
              </w:rPr>
            </w:pPr>
            <w:r w:rsidRPr="009610AD">
              <w:rPr>
                <w:rFonts w:ascii="Arial" w:hAnsi="Arial"/>
                <w:color w:val="000000" w:themeColor="text1"/>
              </w:rPr>
              <w:t>Stacje ładowania i przylegające do nich miejsca parkingowe są zlokalizowane w miejscach nienarażonych na wpływy zewnętrzne BE3.</w:t>
            </w:r>
          </w:p>
          <w:p w14:paraId="5AE45711" w14:textId="3F8BAA3B" w:rsidR="003C2DF7" w:rsidRPr="009610AD" w:rsidRDefault="003C2DF7" w:rsidP="00BF274B">
            <w:pPr>
              <w:jc w:val="both"/>
              <w:rPr>
                <w:rFonts w:ascii="Arial" w:hAnsi="Arial" w:cs="Arial"/>
              </w:rPr>
            </w:pPr>
          </w:p>
          <w:p w14:paraId="21D46C32" w14:textId="162F27C3" w:rsidR="00DD0AA6" w:rsidRPr="009610AD" w:rsidRDefault="00DD0AA6" w:rsidP="00BF274B">
            <w:pPr>
              <w:jc w:val="both"/>
              <w:rPr>
                <w:rFonts w:ascii="Arial" w:hAnsi="Arial" w:cs="Arial"/>
              </w:rPr>
            </w:pPr>
            <w:r w:rsidRPr="009610AD">
              <w:rPr>
                <w:rFonts w:ascii="Arial" w:hAnsi="Arial"/>
              </w:rPr>
              <w:t>Załącznik do dekretu z dnia 10 lipca 2022 r.  wprowadzającego rozdział 7.22 Księgi 1 oraz zmieniającego niektóre części Ksiąg 1 i 3, wprowadzone dekretem królewskim z dnia 8 września 2019 r. ustanawiającym Księgę 1 w sprawie instalacji elektrycznych niskiego i bardzo niskiego napięcia, Księgę 2 w sprawie instalacji elektrycznych wysokiego napięcia oraz Księgę 3 w sprawie instalacji do przesyłania i dystrybucji energii elektrycznej.</w:t>
            </w:r>
          </w:p>
          <w:p w14:paraId="69850FE5" w14:textId="30BFA094" w:rsidR="00DD0AA6" w:rsidRPr="009610AD" w:rsidRDefault="00DD0AA6" w:rsidP="00BF274B">
            <w:pPr>
              <w:jc w:val="both"/>
              <w:rPr>
                <w:rFonts w:ascii="Arial" w:hAnsi="Arial" w:cs="Arial"/>
              </w:rPr>
            </w:pPr>
          </w:p>
          <w:p w14:paraId="4280262E" w14:textId="49459970" w:rsidR="00DD0AA6" w:rsidRPr="009610AD" w:rsidRDefault="00DD0AA6" w:rsidP="00BF274B">
            <w:pPr>
              <w:jc w:val="both"/>
              <w:rPr>
                <w:rFonts w:ascii="Arial" w:hAnsi="Arial" w:cs="Arial"/>
              </w:rPr>
            </w:pPr>
          </w:p>
          <w:p w14:paraId="45D4053B" w14:textId="77777777" w:rsidR="00DD0AA6" w:rsidRPr="009610AD" w:rsidRDefault="00DD0AA6" w:rsidP="00BF274B">
            <w:pPr>
              <w:jc w:val="both"/>
              <w:rPr>
                <w:rFonts w:ascii="Arial" w:hAnsi="Arial" w:cs="Arial"/>
              </w:rPr>
            </w:pPr>
          </w:p>
          <w:p w14:paraId="433369E2" w14:textId="33220116" w:rsidR="00DD0AA6" w:rsidRPr="009610AD" w:rsidRDefault="003C2DF7" w:rsidP="00BF274B">
            <w:pPr>
              <w:jc w:val="both"/>
              <w:rPr>
                <w:rFonts w:ascii="Arial" w:hAnsi="Arial" w:cs="Arial"/>
              </w:rPr>
            </w:pPr>
            <w:r w:rsidRPr="009610AD">
              <w:rPr>
                <w:rFonts w:ascii="Arial" w:hAnsi="Arial"/>
              </w:rPr>
              <w:br/>
            </w:r>
            <w:r w:rsidRPr="009610AD">
              <w:rPr>
                <w:rFonts w:ascii="Arial" w:hAnsi="Arial"/>
              </w:rPr>
              <w:br/>
            </w:r>
            <w:r w:rsidRPr="009610AD">
              <w:rPr>
                <w:rFonts w:ascii="Arial" w:hAnsi="Arial"/>
              </w:rPr>
              <w:br/>
            </w:r>
            <w:r w:rsidRPr="009610AD">
              <w:rPr>
                <w:rFonts w:ascii="Arial" w:hAnsi="Arial"/>
              </w:rPr>
              <w:br/>
            </w:r>
            <w:r w:rsidRPr="009610AD">
              <w:rPr>
                <w:rFonts w:ascii="Arial" w:hAnsi="Arial"/>
              </w:rPr>
              <w:lastRenderedPageBreak/>
              <w:br/>
            </w:r>
          </w:p>
          <w:p w14:paraId="542AC3AC" w14:textId="13190DCF" w:rsidR="00DD0AA6" w:rsidRPr="009610AD" w:rsidRDefault="00DD0AA6" w:rsidP="00BF274B">
            <w:pPr>
              <w:jc w:val="both"/>
              <w:rPr>
                <w:rFonts w:ascii="Arial" w:hAnsi="Arial" w:cs="Arial"/>
                <w:b/>
                <w:color w:val="000000" w:themeColor="text1"/>
              </w:rPr>
            </w:pPr>
          </w:p>
        </w:tc>
      </w:tr>
      <w:tr w:rsidR="00BF274B" w:rsidRPr="009610AD" w14:paraId="2D1208C7" w14:textId="77777777" w:rsidTr="00EB6A7E">
        <w:tc>
          <w:tcPr>
            <w:tcW w:w="4774" w:type="dxa"/>
            <w:gridSpan w:val="2"/>
          </w:tcPr>
          <w:p w14:paraId="40062ED1" w14:textId="214A65B1" w:rsidR="00BF274B" w:rsidRPr="009610AD"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9610AD" w:rsidRDefault="00DD0AA6" w:rsidP="00106BDC">
            <w:pPr>
              <w:jc w:val="center"/>
              <w:rPr>
                <w:rFonts w:ascii="Arial" w:hAnsi="Arial" w:cs="Arial"/>
                <w:b/>
                <w:i/>
                <w:color w:val="000000" w:themeColor="text1"/>
              </w:rPr>
            </w:pPr>
            <w:r w:rsidRPr="009610AD">
              <w:rPr>
                <w:rFonts w:ascii="Arial" w:hAnsi="Arial"/>
              </w:rPr>
              <w:t>W imieniu Króla:</w:t>
            </w:r>
          </w:p>
        </w:tc>
      </w:tr>
      <w:tr w:rsidR="00BF274B" w:rsidRPr="009610AD" w14:paraId="38F1489E" w14:textId="77777777" w:rsidTr="00106BDC">
        <w:tc>
          <w:tcPr>
            <w:tcW w:w="4774" w:type="dxa"/>
            <w:gridSpan w:val="2"/>
          </w:tcPr>
          <w:p w14:paraId="6E3C46E3" w14:textId="6BD815E8" w:rsidR="00BF274B" w:rsidRPr="009610AD" w:rsidRDefault="00BF274B" w:rsidP="003E3226">
            <w:pPr>
              <w:jc w:val="center"/>
              <w:rPr>
                <w:rFonts w:ascii="Arial" w:hAnsi="Arial" w:cs="Arial"/>
              </w:rPr>
            </w:pPr>
          </w:p>
        </w:tc>
        <w:tc>
          <w:tcPr>
            <w:tcW w:w="4779" w:type="dxa"/>
            <w:gridSpan w:val="2"/>
          </w:tcPr>
          <w:p w14:paraId="5E166DF0" w14:textId="5BCD6089" w:rsidR="00106BDC" w:rsidRPr="009610AD" w:rsidRDefault="00DD0AA6" w:rsidP="003E3226">
            <w:pPr>
              <w:jc w:val="center"/>
              <w:rPr>
                <w:rFonts w:ascii="Arial" w:hAnsi="Arial" w:cs="Arial"/>
                <w:spacing w:val="-3"/>
              </w:rPr>
            </w:pPr>
            <w:r w:rsidRPr="009610AD">
              <w:rPr>
                <w:rFonts w:ascii="Arial" w:hAnsi="Arial"/>
              </w:rPr>
              <w:t>Minister ds. pracy,</w:t>
            </w:r>
          </w:p>
          <w:p w14:paraId="6C540621" w14:textId="77777777" w:rsidR="00106BDC" w:rsidRPr="009610AD" w:rsidRDefault="00106BDC" w:rsidP="003E3226">
            <w:pPr>
              <w:jc w:val="center"/>
              <w:rPr>
                <w:rFonts w:ascii="Arial" w:hAnsi="Arial" w:cs="Arial"/>
                <w:spacing w:val="-3"/>
              </w:rPr>
            </w:pPr>
          </w:p>
          <w:p w14:paraId="2A5C1004" w14:textId="77777777" w:rsidR="00106BDC" w:rsidRPr="009610AD" w:rsidRDefault="00106BDC" w:rsidP="003E3226">
            <w:pPr>
              <w:jc w:val="center"/>
              <w:rPr>
                <w:rFonts w:ascii="Arial" w:hAnsi="Arial" w:cs="Arial"/>
                <w:spacing w:val="-3"/>
              </w:rPr>
            </w:pPr>
          </w:p>
          <w:p w14:paraId="1584C42F" w14:textId="77777777" w:rsidR="00106BDC" w:rsidRPr="009610AD" w:rsidRDefault="00106BDC" w:rsidP="003E3226">
            <w:pPr>
              <w:jc w:val="center"/>
              <w:rPr>
                <w:rFonts w:ascii="Arial" w:hAnsi="Arial" w:cs="Arial"/>
                <w:spacing w:val="-3"/>
              </w:rPr>
            </w:pPr>
          </w:p>
          <w:p w14:paraId="062BD49F" w14:textId="31BD28C1" w:rsidR="00106BDC" w:rsidRPr="009610AD" w:rsidRDefault="00106BDC" w:rsidP="003E3226">
            <w:pPr>
              <w:jc w:val="center"/>
              <w:rPr>
                <w:rFonts w:ascii="Arial" w:hAnsi="Arial" w:cs="Arial"/>
                <w:spacing w:val="-3"/>
              </w:rPr>
            </w:pPr>
          </w:p>
          <w:p w14:paraId="40D14A35" w14:textId="5B00055D" w:rsidR="00406053" w:rsidRPr="009610AD" w:rsidRDefault="00406053" w:rsidP="003E3226">
            <w:pPr>
              <w:jc w:val="center"/>
              <w:rPr>
                <w:rFonts w:ascii="Arial" w:hAnsi="Arial" w:cs="Arial"/>
                <w:spacing w:val="-3"/>
              </w:rPr>
            </w:pPr>
          </w:p>
          <w:p w14:paraId="2ADA9AA0" w14:textId="77777777" w:rsidR="003E3226" w:rsidRPr="009610AD" w:rsidRDefault="003E3226" w:rsidP="003E3226">
            <w:pPr>
              <w:jc w:val="center"/>
              <w:rPr>
                <w:rFonts w:ascii="Arial" w:hAnsi="Arial" w:cs="Arial"/>
                <w:spacing w:val="-3"/>
              </w:rPr>
            </w:pPr>
          </w:p>
          <w:p w14:paraId="197858BF" w14:textId="2166F759" w:rsidR="00106BDC" w:rsidRPr="009610AD" w:rsidRDefault="00106BDC" w:rsidP="003E3226">
            <w:pPr>
              <w:jc w:val="center"/>
              <w:rPr>
                <w:rFonts w:ascii="Arial" w:hAnsi="Arial" w:cs="Arial"/>
              </w:rPr>
            </w:pPr>
          </w:p>
        </w:tc>
      </w:tr>
      <w:tr w:rsidR="00BF274B" w:rsidRPr="009610AD" w14:paraId="1B498759" w14:textId="77777777" w:rsidTr="00106BDC">
        <w:tc>
          <w:tcPr>
            <w:tcW w:w="9553" w:type="dxa"/>
            <w:gridSpan w:val="4"/>
          </w:tcPr>
          <w:p w14:paraId="381BDACD" w14:textId="77777777" w:rsidR="00BF274B" w:rsidRPr="009610AD" w:rsidRDefault="00BF274B" w:rsidP="00BF274B">
            <w:pPr>
              <w:jc w:val="center"/>
              <w:rPr>
                <w:rFonts w:ascii="Arial" w:hAnsi="Arial" w:cs="Arial"/>
                <w:spacing w:val="-3"/>
              </w:rPr>
            </w:pPr>
            <w:r w:rsidRPr="009610AD">
              <w:rPr>
                <w:rStyle w:val="acopre1"/>
                <w:rFonts w:ascii="Arial" w:hAnsi="Arial"/>
              </w:rPr>
              <w:t>Pierre-Yves Dermagne</w:t>
            </w:r>
            <w:r w:rsidRPr="009610AD">
              <w:rPr>
                <w:rFonts w:ascii="Arial" w:hAnsi="Arial"/>
              </w:rPr>
              <w:t xml:space="preserve"> </w:t>
            </w:r>
          </w:p>
          <w:p w14:paraId="36454A8B" w14:textId="77777777" w:rsidR="00BF274B" w:rsidRPr="009610AD" w:rsidRDefault="00BF274B" w:rsidP="00BF274B">
            <w:pPr>
              <w:jc w:val="both"/>
              <w:rPr>
                <w:rFonts w:ascii="Arial" w:hAnsi="Arial" w:cs="Arial"/>
                <w:spacing w:val="-3"/>
                <w:lang w:val="nl-BE"/>
              </w:rPr>
            </w:pPr>
          </w:p>
        </w:tc>
      </w:tr>
      <w:tr w:rsidR="00106BDC" w:rsidRPr="009610AD" w14:paraId="1540C9BE" w14:textId="77777777" w:rsidTr="00106BDC">
        <w:tc>
          <w:tcPr>
            <w:tcW w:w="4774" w:type="dxa"/>
            <w:gridSpan w:val="2"/>
          </w:tcPr>
          <w:p w14:paraId="4A7CA506" w14:textId="3E2C0B5F" w:rsidR="00106BDC" w:rsidRPr="009610AD" w:rsidRDefault="00106BDC" w:rsidP="003E3226">
            <w:pPr>
              <w:jc w:val="center"/>
              <w:rPr>
                <w:rFonts w:ascii="Arial" w:hAnsi="Arial" w:cs="Arial"/>
                <w:lang w:val="nl-NL"/>
              </w:rPr>
            </w:pPr>
          </w:p>
        </w:tc>
        <w:tc>
          <w:tcPr>
            <w:tcW w:w="4779" w:type="dxa"/>
            <w:gridSpan w:val="2"/>
          </w:tcPr>
          <w:p w14:paraId="43F92D55" w14:textId="337C69EB" w:rsidR="00106BDC" w:rsidRPr="009610AD" w:rsidRDefault="00DD0AA6" w:rsidP="003E3226">
            <w:pPr>
              <w:jc w:val="center"/>
              <w:rPr>
                <w:rFonts w:ascii="Arial" w:hAnsi="Arial" w:cs="Arial"/>
              </w:rPr>
            </w:pPr>
            <w:r w:rsidRPr="009610AD">
              <w:rPr>
                <w:rFonts w:ascii="Arial" w:hAnsi="Arial"/>
              </w:rPr>
              <w:t>Minister ds. energii,</w:t>
            </w:r>
          </w:p>
          <w:p w14:paraId="7F8D760D" w14:textId="77777777" w:rsidR="00106BDC" w:rsidRPr="009610AD" w:rsidRDefault="00106BDC" w:rsidP="00106BDC">
            <w:pPr>
              <w:jc w:val="both"/>
              <w:rPr>
                <w:rFonts w:ascii="Arial" w:hAnsi="Arial" w:cs="Arial"/>
                <w:lang w:val="nl-BE"/>
              </w:rPr>
            </w:pPr>
          </w:p>
          <w:p w14:paraId="2630C78E" w14:textId="77777777" w:rsidR="00106BDC" w:rsidRPr="009610AD" w:rsidRDefault="00106BDC" w:rsidP="00106BDC">
            <w:pPr>
              <w:jc w:val="both"/>
              <w:rPr>
                <w:rFonts w:ascii="Arial" w:hAnsi="Arial" w:cs="Arial"/>
                <w:lang w:val="nl-BE"/>
              </w:rPr>
            </w:pPr>
          </w:p>
          <w:p w14:paraId="7BA6D10C" w14:textId="77777777" w:rsidR="00106BDC" w:rsidRPr="009610AD" w:rsidRDefault="00106BDC" w:rsidP="00106BDC">
            <w:pPr>
              <w:jc w:val="both"/>
              <w:rPr>
                <w:rFonts w:ascii="Arial" w:hAnsi="Arial" w:cs="Arial"/>
                <w:lang w:val="nl-BE"/>
              </w:rPr>
            </w:pPr>
          </w:p>
          <w:p w14:paraId="4F289A06" w14:textId="77777777" w:rsidR="00106BDC" w:rsidRPr="009610AD" w:rsidRDefault="00106BDC" w:rsidP="00106BDC">
            <w:pPr>
              <w:jc w:val="both"/>
              <w:rPr>
                <w:rFonts w:ascii="Arial" w:hAnsi="Arial" w:cs="Arial"/>
                <w:lang w:val="nl-BE"/>
              </w:rPr>
            </w:pPr>
          </w:p>
          <w:p w14:paraId="01E846EE" w14:textId="77777777" w:rsidR="00106BDC" w:rsidRPr="009610AD" w:rsidRDefault="00106BDC" w:rsidP="00106BDC">
            <w:pPr>
              <w:jc w:val="both"/>
              <w:rPr>
                <w:rFonts w:ascii="Arial" w:hAnsi="Arial" w:cs="Arial"/>
                <w:lang w:val="nl-BE"/>
              </w:rPr>
            </w:pPr>
          </w:p>
          <w:p w14:paraId="5D00147F" w14:textId="77777777" w:rsidR="00106BDC" w:rsidRPr="009610AD" w:rsidRDefault="00106BDC" w:rsidP="00106BDC">
            <w:pPr>
              <w:jc w:val="both"/>
              <w:rPr>
                <w:rFonts w:ascii="Arial" w:hAnsi="Arial" w:cs="Arial"/>
                <w:spacing w:val="-3"/>
                <w:lang w:val="nl-BE"/>
              </w:rPr>
            </w:pPr>
          </w:p>
          <w:p w14:paraId="2AD3AA80" w14:textId="472E922C" w:rsidR="003C2DF7" w:rsidRPr="009610AD" w:rsidRDefault="003C2DF7" w:rsidP="00106BDC">
            <w:pPr>
              <w:jc w:val="both"/>
              <w:rPr>
                <w:rFonts w:ascii="Arial" w:hAnsi="Arial" w:cs="Arial"/>
                <w:spacing w:val="-3"/>
                <w:lang w:val="nl-BE"/>
              </w:rPr>
            </w:pPr>
          </w:p>
        </w:tc>
      </w:tr>
      <w:tr w:rsidR="00106BDC" w:rsidRPr="009610AD" w14:paraId="68257E2F" w14:textId="77777777" w:rsidTr="00106BDC">
        <w:tc>
          <w:tcPr>
            <w:tcW w:w="9553" w:type="dxa"/>
            <w:gridSpan w:val="4"/>
          </w:tcPr>
          <w:p w14:paraId="74FEA5A4" w14:textId="1D68146F" w:rsidR="00106BDC" w:rsidRPr="009610AD" w:rsidRDefault="00106BDC" w:rsidP="00844802">
            <w:pPr>
              <w:jc w:val="center"/>
              <w:rPr>
                <w:rFonts w:ascii="Arial" w:hAnsi="Arial" w:cs="Arial"/>
                <w:spacing w:val="-3"/>
              </w:rPr>
            </w:pPr>
            <w:r w:rsidRPr="009610AD">
              <w:rPr>
                <w:rFonts w:ascii="Arial" w:hAnsi="Arial"/>
              </w:rPr>
              <w:t>Tinne Van der Straeten</w:t>
            </w:r>
          </w:p>
        </w:tc>
      </w:tr>
      <w:bookmarkEnd w:id="0"/>
    </w:tbl>
    <w:p w14:paraId="57A461D4" w14:textId="77777777" w:rsidR="00996E0F" w:rsidRPr="009610AD" w:rsidRDefault="00996E0F" w:rsidP="00996E0F">
      <w:pPr>
        <w:jc w:val="both"/>
        <w:rPr>
          <w:lang w:val="nl-NL"/>
        </w:rPr>
      </w:pPr>
    </w:p>
    <w:sectPr w:rsidR="00996E0F" w:rsidRPr="009610AD">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CB77D" w14:textId="77777777" w:rsidR="00B12F6F" w:rsidRDefault="00B12F6F" w:rsidP="00CD031E">
      <w:pPr>
        <w:spacing w:after="0" w:line="240" w:lineRule="auto"/>
      </w:pPr>
      <w:r>
        <w:separator/>
      </w:r>
    </w:p>
  </w:endnote>
  <w:endnote w:type="continuationSeparator" w:id="0">
    <w:p w14:paraId="1C16E2E2" w14:textId="77777777" w:rsidR="00B12F6F" w:rsidRDefault="00B12F6F"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ABCA" w14:textId="77777777" w:rsidR="00B12F6F" w:rsidRDefault="00B12F6F" w:rsidP="00CD031E">
      <w:pPr>
        <w:spacing w:after="0" w:line="240" w:lineRule="auto"/>
      </w:pPr>
      <w:r>
        <w:separator/>
      </w:r>
    </w:p>
  </w:footnote>
  <w:footnote w:type="continuationSeparator" w:id="0">
    <w:p w14:paraId="734BFA3B" w14:textId="77777777" w:rsidR="00B12F6F" w:rsidRDefault="00B12F6F"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60BC"/>
    <w:rsid w:val="00932147"/>
    <w:rsid w:val="009337E2"/>
    <w:rsid w:val="0093718C"/>
    <w:rsid w:val="00937997"/>
    <w:rsid w:val="00944288"/>
    <w:rsid w:val="00944B04"/>
    <w:rsid w:val="0094591A"/>
    <w:rsid w:val="00955C50"/>
    <w:rsid w:val="009610AD"/>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8557E"/>
    <w:rsid w:val="00A95816"/>
    <w:rsid w:val="00AA226D"/>
    <w:rsid w:val="00AA390B"/>
    <w:rsid w:val="00AA6780"/>
    <w:rsid w:val="00AA7607"/>
    <w:rsid w:val="00AB1152"/>
    <w:rsid w:val="00AB172E"/>
    <w:rsid w:val="00AB7A97"/>
    <w:rsid w:val="00AC72EC"/>
    <w:rsid w:val="00AD1E02"/>
    <w:rsid w:val="00AF3D82"/>
    <w:rsid w:val="00B0784B"/>
    <w:rsid w:val="00B12F6F"/>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customXml/itemProps2.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3.xml><?xml version="1.0" encoding="utf-8"?>
<ds:datastoreItem xmlns:ds="http://schemas.openxmlformats.org/officeDocument/2006/customXml" ds:itemID="{B24CAB95-316B-4D8D-A2B9-9C5174850C29}">
  <ds:schemaRefs>
    <ds:schemaRef ds:uri="http://schemas.microsoft.com/sharepoint/events"/>
  </ds:schemaRefs>
</ds:datastoreItem>
</file>

<file path=customXml/itemProps4.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5.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2461</Words>
  <Characters>16760</Characters>
  <Application>Microsoft Office Word</Application>
  <DocSecurity>0</DocSecurity>
  <Lines>577</Lines>
  <Paragraphs>167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class='Internal'</cp:keywords>
  <dc:description/>
  <cp:lastModifiedBy>Ines Varvodic</cp:lastModifiedBy>
  <cp:revision>2</cp:revision>
  <cp:lastPrinted>2022-06-07T09:17:00Z</cp:lastPrinted>
  <dcterms:created xsi:type="dcterms:W3CDTF">2022-10-31T09:50:00Z</dcterms:created>
  <dcterms:modified xsi:type="dcterms:W3CDTF">2022-10-31T09:50:00Z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