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0900F3" w14:paraId="58F7213C" w14:textId="77777777" w:rsidTr="00A857F7">
        <w:trPr>
          <w:cantSplit/>
        </w:trPr>
        <w:tc>
          <w:tcPr>
            <w:tcW w:w="4338" w:type="dxa"/>
            <w:gridSpan w:val="3"/>
            <w:shd w:val="clear" w:color="auto" w:fill="FFFFFF"/>
            <w:hideMark/>
          </w:tcPr>
          <w:p w14:paraId="091A81ED" w14:textId="77777777" w:rsidR="00A857F7" w:rsidRPr="000900F3" w:rsidRDefault="00A857F7" w:rsidP="00A857F7">
            <w:pPr>
              <w:suppressAutoHyphens w:val="0"/>
              <w:spacing w:line="276" w:lineRule="auto"/>
              <w:jc w:val="center"/>
              <w:rPr>
                <w:b/>
                <w:bCs/>
                <w:color w:val="auto"/>
                <w:szCs w:val="20"/>
              </w:rPr>
            </w:pPr>
            <w:r w:rsidRPr="000900F3">
              <w:rPr>
                <w:b/>
                <w:color w:val="auto"/>
              </w:rPr>
              <w:t>FRANCOSKA REPUBLIKA</w:t>
            </w:r>
          </w:p>
        </w:tc>
      </w:tr>
      <w:tr w:rsidR="00A857F7" w:rsidRPr="000900F3" w14:paraId="2F616D12" w14:textId="77777777" w:rsidTr="00A857F7">
        <w:trPr>
          <w:cantSplit/>
          <w:trHeight w:hRule="exact" w:val="113"/>
        </w:trPr>
        <w:tc>
          <w:tcPr>
            <w:tcW w:w="1526" w:type="dxa"/>
            <w:shd w:val="clear" w:color="auto" w:fill="FFFFFF"/>
          </w:tcPr>
          <w:p w14:paraId="1BC2E738"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0900F3" w14:paraId="643970B4" w14:textId="77777777" w:rsidTr="00A857F7">
        <w:trPr>
          <w:cantSplit/>
        </w:trPr>
        <w:tc>
          <w:tcPr>
            <w:tcW w:w="4338" w:type="dxa"/>
            <w:gridSpan w:val="3"/>
            <w:shd w:val="clear" w:color="auto" w:fill="FFFFFF"/>
            <w:hideMark/>
          </w:tcPr>
          <w:p w14:paraId="47A22048" w14:textId="77777777" w:rsidR="00A857F7" w:rsidRPr="000900F3" w:rsidRDefault="00A857F7" w:rsidP="00A857F7">
            <w:pPr>
              <w:widowControl w:val="0"/>
              <w:snapToGrid w:val="0"/>
              <w:spacing w:before="120" w:line="276" w:lineRule="auto"/>
              <w:ind w:hanging="57"/>
              <w:jc w:val="center"/>
              <w:rPr>
                <w:rFonts w:eastAsia="Lucida Sans Unicode"/>
                <w:color w:val="auto"/>
              </w:rPr>
            </w:pPr>
            <w:r w:rsidRPr="000900F3">
              <w:rPr>
                <w:color w:val="auto"/>
              </w:rPr>
              <w:t>Ministrstvo za ekološki prehod</w:t>
            </w:r>
          </w:p>
          <w:p w14:paraId="47676278" w14:textId="08532887" w:rsidR="00A857F7" w:rsidRPr="000900F3" w:rsidRDefault="00A857F7" w:rsidP="00972079">
            <w:pPr>
              <w:widowControl w:val="0"/>
              <w:snapToGrid w:val="0"/>
              <w:spacing w:before="120" w:line="276" w:lineRule="auto"/>
              <w:ind w:hanging="57"/>
              <w:jc w:val="center"/>
              <w:rPr>
                <w:rFonts w:eastAsia="Lucida Sans Unicode"/>
                <w:color w:val="auto"/>
              </w:rPr>
            </w:pPr>
            <w:r w:rsidRPr="000900F3">
              <w:rPr>
                <w:color w:val="auto"/>
              </w:rPr>
              <w:t>Ministrstvo za solidarnost in zdravje</w:t>
            </w:r>
          </w:p>
        </w:tc>
      </w:tr>
      <w:tr w:rsidR="00A857F7" w:rsidRPr="000900F3" w14:paraId="0D1C3E98" w14:textId="77777777" w:rsidTr="00A857F7">
        <w:trPr>
          <w:cantSplit/>
          <w:trHeight w:hRule="exact" w:val="227"/>
        </w:trPr>
        <w:tc>
          <w:tcPr>
            <w:tcW w:w="1526" w:type="dxa"/>
            <w:shd w:val="clear" w:color="auto" w:fill="FFFFFF"/>
          </w:tcPr>
          <w:p w14:paraId="0AA5A4CD"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0900F3" w14:paraId="38F1C3CC" w14:textId="77777777" w:rsidTr="00A857F7">
        <w:trPr>
          <w:cantSplit/>
          <w:trHeight w:hRule="exact" w:val="227"/>
        </w:trPr>
        <w:tc>
          <w:tcPr>
            <w:tcW w:w="1526" w:type="dxa"/>
            <w:shd w:val="clear" w:color="auto" w:fill="FFFFFF"/>
          </w:tcPr>
          <w:p w14:paraId="0F9A142E"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0900F3"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0900F3" w:rsidRDefault="006D6666">
      <w:pPr>
        <w:pStyle w:val="SNNature"/>
      </w:pPr>
      <w:r w:rsidRPr="000900F3">
        <w:t xml:space="preserve">Osnutek odredbe </w:t>
      </w:r>
      <w:r w:rsidRPr="000900F3">
        <w:rPr>
          <w:rStyle w:val="SNDateSignature"/>
        </w:rPr>
        <w:t>z dne</w:t>
      </w:r>
      <w:r w:rsidRPr="000900F3">
        <w:t xml:space="preserve"> [...]</w:t>
      </w:r>
      <w:r w:rsidRPr="000900F3">
        <w:rPr>
          <w:rStyle w:val="SNDateSignature"/>
        </w:rPr>
        <w:t xml:space="preserve"> </w:t>
      </w:r>
    </w:p>
    <w:p w14:paraId="1EB51F43" w14:textId="190FE6AE" w:rsidR="008347CD" w:rsidRPr="000900F3" w:rsidRDefault="00A857F7">
      <w:pPr>
        <w:pStyle w:val="SNObjet"/>
        <w:jc w:val="center"/>
      </w:pPr>
      <w:r w:rsidRPr="000900F3">
        <w:t>o določitvi seznama snovi z lastnostmi endokrinih motilcev iz oddelkov I in II člena L. 5232–5 Zakonika o javnem zdravju in kategorij proizvodov, ki predstavljajo posebno tveganje izpostavljenosti iz oddelka II člena L. 5232–5 Zakonika o javnem zdravju</w:t>
      </w:r>
    </w:p>
    <w:p w14:paraId="478A9991" w14:textId="77777777" w:rsidR="00A857F7" w:rsidRPr="000900F3" w:rsidRDefault="00A857F7">
      <w:pPr>
        <w:pStyle w:val="SNObjet"/>
        <w:jc w:val="center"/>
        <w:rPr>
          <w:b w:val="0"/>
        </w:rPr>
      </w:pPr>
    </w:p>
    <w:p w14:paraId="4B5AF825" w14:textId="694CEF70" w:rsidR="008347CD" w:rsidRPr="000900F3" w:rsidRDefault="00C46B5B">
      <w:pPr>
        <w:pStyle w:val="SNObjet"/>
        <w:jc w:val="center"/>
      </w:pPr>
      <w:r w:rsidRPr="000900F3">
        <w:rPr>
          <w:b w:val="0"/>
        </w:rPr>
        <w:t xml:space="preserve">REF. ŠT. </w:t>
      </w:r>
    </w:p>
    <w:p w14:paraId="7BEE793B" w14:textId="1BACFF04" w:rsidR="008347CD" w:rsidRPr="000900F3" w:rsidRDefault="00C46B5B">
      <w:pPr>
        <w:spacing w:before="720" w:after="120"/>
        <w:jc w:val="both"/>
      </w:pPr>
      <w:r w:rsidRPr="000900F3">
        <w:rPr>
          <w:b/>
          <w:i/>
        </w:rPr>
        <w:t>Zadevna javnost:</w:t>
      </w:r>
      <w:r w:rsidRPr="000900F3">
        <w:rPr>
          <w:i/>
        </w:rPr>
        <w:t xml:space="preserve"> Vsaka oseba, ki daje na trg proizvode, namenjene potrošnikom, ki ob koncu njihove proizvodnje vsebujejo snovi, ki jih Agencija za hrano, okolje ter zdravje in varnost pri delu (ANSES) uvršča med snovi z dokazanimi ali domnevnimi lastnostmi endokrinih motilcev ali pri katerih obstaja sum na lastnosti endokrinih motilcev.</w:t>
      </w:r>
    </w:p>
    <w:p w14:paraId="63145422" w14:textId="56CADA03" w:rsidR="00026E60" w:rsidRPr="000900F3" w:rsidRDefault="00C46B5B" w:rsidP="003A3003">
      <w:pPr>
        <w:spacing w:before="120" w:after="200"/>
        <w:jc w:val="both"/>
        <w:rPr>
          <w:bCs/>
          <w:i/>
          <w:iCs/>
        </w:rPr>
      </w:pPr>
      <w:r w:rsidRPr="000900F3">
        <w:rPr>
          <w:b/>
          <w:i/>
        </w:rPr>
        <w:t>Namen:</w:t>
      </w:r>
      <w:r w:rsidRPr="000900F3">
        <w:rPr>
          <w:i/>
        </w:rPr>
        <w:t xml:space="preserve"> Ta odredba opredeljuje:</w:t>
      </w:r>
    </w:p>
    <w:p w14:paraId="72CB79D9" w14:textId="554B37C4" w:rsidR="00026E60" w:rsidRPr="000900F3" w:rsidRDefault="00026E60" w:rsidP="00026E60">
      <w:pPr>
        <w:pStyle w:val="ListParagraph"/>
        <w:numPr>
          <w:ilvl w:val="0"/>
          <w:numId w:val="4"/>
        </w:numPr>
        <w:spacing w:before="120" w:after="200"/>
        <w:jc w:val="both"/>
        <w:rPr>
          <w:i/>
        </w:rPr>
      </w:pPr>
      <w:r w:rsidRPr="000900F3">
        <w:rPr>
          <w:i/>
        </w:rPr>
        <w:t>snovi z dokazanimi ali domnevnimi lastnostmi endokrinih motilcev iz člena L. 5232–5 Zakonika o javnem zdravju, vključno z informacijami o prisotnosti v proizvodih iz člena R. 5232–19 Zakonika o javnem zdravju, morajo biti na voljo javnosti s strani oseb, ki jih dajejo na trg;</w:t>
      </w:r>
    </w:p>
    <w:p w14:paraId="1EEAFD30" w14:textId="650B2653" w:rsidR="00026E60" w:rsidRPr="000900F3" w:rsidRDefault="00026E60" w:rsidP="00026E60">
      <w:pPr>
        <w:pStyle w:val="ListParagraph"/>
        <w:numPr>
          <w:ilvl w:val="0"/>
          <w:numId w:val="4"/>
        </w:numPr>
        <w:jc w:val="both"/>
        <w:rPr>
          <w:bCs/>
          <w:i/>
          <w:iCs/>
        </w:rPr>
      </w:pPr>
      <w:r w:rsidRPr="000900F3">
        <w:rPr>
          <w:i/>
        </w:rPr>
        <w:t>snovi z lastnostmi endokrinih motilcev, ki so razvrščene kot snovi, pri katerih obstaja sum, iz člena L. 5232–5 II Zakonika o javnem zdravju;</w:t>
      </w:r>
    </w:p>
    <w:p w14:paraId="6E3CD793" w14:textId="6D0420B6" w:rsidR="00026E60" w:rsidRPr="000900F3" w:rsidRDefault="00026E60" w:rsidP="00026E60">
      <w:pPr>
        <w:pStyle w:val="ListParagraph"/>
        <w:numPr>
          <w:ilvl w:val="0"/>
          <w:numId w:val="4"/>
        </w:numPr>
        <w:jc w:val="both"/>
        <w:rPr>
          <w:bCs/>
          <w:i/>
          <w:iCs/>
        </w:rPr>
      </w:pPr>
      <w:r w:rsidRPr="000900F3">
        <w:rPr>
          <w:i/>
        </w:rPr>
        <w:t>kategorije proizvodov s posebnim tveganjem izpostavljenosti, za katere velja obveznost zagotavljanja informacij o prisotnosti snovi, ki povzročajo endokrine motnje in so razvrščene kot sumljive.</w:t>
      </w:r>
      <w:bookmarkStart w:id="0" w:name="move773304541"/>
      <w:bookmarkEnd w:id="0"/>
    </w:p>
    <w:p w14:paraId="5470BC4F" w14:textId="72315F6A" w:rsidR="008347CD" w:rsidRPr="000900F3" w:rsidRDefault="00C46B5B">
      <w:pPr>
        <w:spacing w:before="120" w:after="120"/>
        <w:jc w:val="both"/>
      </w:pPr>
      <w:r w:rsidRPr="000900F3">
        <w:rPr>
          <w:b/>
          <w:i/>
        </w:rPr>
        <w:t>Začetek veljavnosti:</w:t>
      </w:r>
      <w:r w:rsidRPr="000900F3">
        <w:rPr>
          <w:i/>
        </w:rPr>
        <w:t xml:space="preserve"> Besedilo začne veljati 1. januarja 2022.</w:t>
      </w:r>
    </w:p>
    <w:p w14:paraId="733E13B9" w14:textId="7E2678C1" w:rsidR="005C023A" w:rsidRPr="000900F3" w:rsidRDefault="00C46B5B" w:rsidP="009934B3">
      <w:pPr>
        <w:spacing w:after="120"/>
        <w:jc w:val="both"/>
        <w:rPr>
          <w:i/>
          <w:iCs/>
        </w:rPr>
      </w:pPr>
      <w:r w:rsidRPr="000900F3">
        <w:rPr>
          <w:b/>
          <w:i/>
        </w:rPr>
        <w:t>Obvestilo:</w:t>
      </w:r>
      <w:r w:rsidRPr="000900F3">
        <w:rPr>
          <w:i/>
        </w:rPr>
        <w:t xml:space="preserve"> Člen 13-II Zakona št. 2020–105 z dne 10. februarja 2020 o preprečevanju odpadkov in spodbujanju krožnega gospodarstva (zakon AGEC) določa, da mora vsaka oseba, ki daje na trg proizvode, namenjene potrošnikom, ki vsebujejo snovi, ki jih Agencija za hrano, okolje ter zdravje in varnost pri delu (ANSES) uvršča med snovi z dokazanimi ali domnevnimi lastnostmi endokrinih motilcev, „javnosti zagotoviti informacije v elektronski obliki v odprtem formatu, ki se lahko enostavno ponovno uporabi ali je združljiv s sistemom avtomatizirane obdelave, za vsak zadevni proizvod, ki omogočajo ugotavljanje prisotnosti takšnih snovi v teh proizvodih“. Ta obveznost velja tudi za nekatere kategorije proizvodov s posebnim tveganjem izpostavljenosti za snovi, ki jih ANSES uvršča med snovi, pri katerih obstaja sum na lastnosti endokrinih motilcev.</w:t>
      </w:r>
    </w:p>
    <w:p w14:paraId="5B62B7D5" w14:textId="4A3BF621" w:rsidR="005C023A" w:rsidRPr="000900F3" w:rsidRDefault="005C023A" w:rsidP="005C023A">
      <w:pPr>
        <w:spacing w:after="120"/>
        <w:jc w:val="both"/>
        <w:rPr>
          <w:i/>
          <w:iCs/>
        </w:rPr>
      </w:pPr>
      <w:r w:rsidRPr="000900F3">
        <w:rPr>
          <w:i/>
        </w:rPr>
        <w:t xml:space="preserve">Ta obveznost je v skladu s cilji druge nacionalne strategije o endokrinih motilcih (SNPE2). Namen strategije je državljanom zagotoviti pregledne informacije o prisotnosti snovi z lastnostmi endokrinih motilcev v proizvodih v smislu snovi, zmesi, proizvodov in živil. </w:t>
      </w:r>
    </w:p>
    <w:p w14:paraId="4B8A6D79" w14:textId="26B4F5AE" w:rsidR="003A3003" w:rsidRPr="000900F3" w:rsidRDefault="00844E8D" w:rsidP="009934B3">
      <w:pPr>
        <w:spacing w:after="120"/>
        <w:jc w:val="both"/>
        <w:rPr>
          <w:bCs/>
          <w:i/>
          <w:iCs/>
        </w:rPr>
      </w:pPr>
      <w:r w:rsidRPr="000900F3">
        <w:rPr>
          <w:i/>
        </w:rPr>
        <w:t>Podrobna pravila za uporabo te zakonske določbe so določena v členih R. 5232–19 do R. 5232–22 Zakonika o javnem zdravju. Člen R. 5232–19 določa, da se s skupno odredbo ministrov, pristojnih za zdravje in okolje, na predlog ANSES določi:</w:t>
      </w:r>
    </w:p>
    <w:p w14:paraId="0EF9AEBF" w14:textId="6805D919" w:rsidR="00844E8D" w:rsidRPr="000900F3" w:rsidRDefault="005C023A" w:rsidP="003A3003">
      <w:pPr>
        <w:pStyle w:val="ListParagraph"/>
        <w:numPr>
          <w:ilvl w:val="0"/>
          <w:numId w:val="4"/>
        </w:numPr>
        <w:spacing w:after="120"/>
        <w:jc w:val="both"/>
        <w:rPr>
          <w:bCs/>
          <w:i/>
          <w:iCs/>
        </w:rPr>
      </w:pPr>
      <w:r w:rsidRPr="000900F3">
        <w:rPr>
          <w:i/>
        </w:rPr>
        <w:lastRenderedPageBreak/>
        <w:t>seznam snovi z lastnostmi endokrinih motilcev iz oddelka I člena L. 5232–5, razdeljenih v dve kategoriji, dokazane in domnevne, glede na raven znanstvenih dokazov;</w:t>
      </w:r>
    </w:p>
    <w:p w14:paraId="1DD34A14" w14:textId="0439FE39" w:rsidR="003A3003" w:rsidRPr="000900F3" w:rsidRDefault="00840BD7" w:rsidP="003A3003">
      <w:pPr>
        <w:pStyle w:val="ListParagraph"/>
        <w:numPr>
          <w:ilvl w:val="0"/>
          <w:numId w:val="4"/>
        </w:numPr>
        <w:autoSpaceDN w:val="0"/>
        <w:jc w:val="both"/>
        <w:textAlignment w:val="baseline"/>
        <w:rPr>
          <w:bCs/>
          <w:i/>
          <w:iCs/>
        </w:rPr>
      </w:pPr>
      <w:r w:rsidRPr="000900F3">
        <w:rPr>
          <w:i/>
        </w:rPr>
        <w:t xml:space="preserve">seznam snovi, pri katerih obstaja sum na endokrine motilce iz oddelka II člena L. 5232–5; </w:t>
      </w:r>
    </w:p>
    <w:p w14:paraId="62A7D081" w14:textId="4DFAECBB" w:rsidR="003A3003" w:rsidRPr="000900F3" w:rsidRDefault="00840BD7" w:rsidP="003A3003">
      <w:pPr>
        <w:pStyle w:val="ListParagraph"/>
        <w:numPr>
          <w:ilvl w:val="0"/>
          <w:numId w:val="4"/>
        </w:numPr>
        <w:autoSpaceDN w:val="0"/>
        <w:jc w:val="both"/>
        <w:textAlignment w:val="baseline"/>
        <w:rPr>
          <w:bCs/>
          <w:i/>
          <w:iCs/>
        </w:rPr>
      </w:pPr>
      <w:r w:rsidRPr="000900F3">
        <w:rPr>
          <w:i/>
        </w:rPr>
        <w:t>kategorije proizvodov, ki predstavljajo posebno tveganje izpostavljenosti, iz oddelka II člena L. 5232–5, v zvezi z izpostavljenimi populacijami, pogoji za uporabo in odstranjevanje navedenih proizvodov ter drugimi ustreznimi merili.</w:t>
      </w:r>
    </w:p>
    <w:p w14:paraId="46CC9886" w14:textId="77777777" w:rsidR="00844E8D" w:rsidRPr="000900F3" w:rsidRDefault="00844E8D">
      <w:pPr>
        <w:spacing w:after="120"/>
        <w:jc w:val="both"/>
        <w:rPr>
          <w:i/>
          <w:iCs/>
        </w:rPr>
      </w:pPr>
    </w:p>
    <w:p w14:paraId="6983208D" w14:textId="6432FC6E" w:rsidR="008347CD" w:rsidRPr="000900F3" w:rsidRDefault="00C46B5B">
      <w:pPr>
        <w:spacing w:after="120"/>
        <w:jc w:val="both"/>
      </w:pPr>
      <w:r w:rsidRPr="000900F3">
        <w:rPr>
          <w:b/>
          <w:i/>
        </w:rPr>
        <w:t>Sklicevanja:</w:t>
      </w:r>
      <w:r w:rsidRPr="000900F3">
        <w:rPr>
          <w:i/>
        </w:rPr>
        <w:t xml:space="preserve"> besedilo je na voljo na spletnem mestu Légifrance (http://legifrance.gouv.fr).</w:t>
      </w:r>
    </w:p>
    <w:p w14:paraId="6684B3B6" w14:textId="77777777" w:rsidR="008347CD" w:rsidRPr="000900F3" w:rsidRDefault="008347CD">
      <w:pPr>
        <w:pStyle w:val="SNObjet"/>
        <w:rPr>
          <w:b w:val="0"/>
        </w:rPr>
      </w:pPr>
    </w:p>
    <w:p w14:paraId="0BEF3BF1" w14:textId="026CEB60" w:rsidR="008347CD" w:rsidRPr="000900F3" w:rsidRDefault="00C46B5B">
      <w:pPr>
        <w:pStyle w:val="SNObjet"/>
      </w:pPr>
      <w:r w:rsidRPr="000900F3">
        <w:t>Ministrica za ekološki prehod in minister za solidarnost in zdravje</w:t>
      </w:r>
    </w:p>
    <w:p w14:paraId="73DB3276" w14:textId="475B4219" w:rsidR="007F7405" w:rsidRPr="000900F3" w:rsidRDefault="00C46B5B" w:rsidP="00A42F37">
      <w:pPr>
        <w:pStyle w:val="SNVisa"/>
        <w:ind w:firstLine="708"/>
      </w:pPr>
      <w:r w:rsidRPr="000900F3">
        <w:t>ob upoštevanju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3B2BD5A0" w14:textId="130383A4" w:rsidR="00A14477" w:rsidRPr="000900F3" w:rsidRDefault="00A14477" w:rsidP="00A42F37">
      <w:pPr>
        <w:pStyle w:val="SNVisa"/>
        <w:ind w:firstLine="708"/>
      </w:pPr>
      <w:r w:rsidRPr="000900F3">
        <w:t>ob upoštevanju Uredbe (ES) št. 1107/2009 Evropskega parlamenta in Sveta z dne 21. oktobra 2009 o dajanju fitofarmacevtskih sredstev v promet in razveljavitvi direktiv Sveta 79/117/EGS in 91/414/EGS;</w:t>
      </w:r>
    </w:p>
    <w:p w14:paraId="1BAF1F3D" w14:textId="08DDD3CB" w:rsidR="008347CD" w:rsidRPr="000900F3" w:rsidRDefault="007F7405" w:rsidP="00A42F37">
      <w:pPr>
        <w:pStyle w:val="SNVisa"/>
        <w:ind w:firstLine="708"/>
      </w:pPr>
      <w:r w:rsidRPr="000900F3">
        <w:t>ob upoštevanju Uredbe (EU) št. 528/2012 Evropskega parlamenta in Sveta z dne 22. maja 2012 o dostopnosti na trgu in uporabi biocidnih proizvodov, kakor je bila spremenjena;</w:t>
      </w:r>
    </w:p>
    <w:p w14:paraId="284E1EE9" w14:textId="12EEA247" w:rsidR="008347CD" w:rsidRPr="000900F3" w:rsidRDefault="00C46B5B" w:rsidP="00A42F37">
      <w:pPr>
        <w:pStyle w:val="SNVisa"/>
        <w:ind w:firstLine="708"/>
      </w:pPr>
      <w:r w:rsidRPr="000900F3">
        <w:t xml:space="preserve">ob upoštevanju </w:t>
      </w:r>
      <w:bookmarkStart w:id="1" w:name="__DdeLink__11050_299813634"/>
      <w:r w:rsidRPr="000900F3">
        <w:t>Zakonika o javnem zdravju, zlasti člena L. 5</w:t>
      </w:r>
      <w:bookmarkEnd w:id="1"/>
      <w:r w:rsidRPr="000900F3">
        <w:t>232–5 v besedilu, ki izhaja iz člena 13 Zakona št. 2020–105 z dne 10. februarja 2020 o preprečevanju odpadkov in spodbujanju krožnega gospodarstva, in člena R. 5232–19;</w:t>
      </w:r>
    </w:p>
    <w:p w14:paraId="58048984" w14:textId="5480FE12" w:rsidR="008347CD" w:rsidRPr="000900F3" w:rsidRDefault="00414610" w:rsidP="00A42F37">
      <w:pPr>
        <w:pStyle w:val="SNVisa"/>
        <w:ind w:firstLine="708"/>
      </w:pPr>
      <w:r w:rsidRPr="000900F3">
        <w:t>ob upoštevanju mnenja Agencija za hrano, okolje ter zdravje in varnost pri delu z dne […],</w:t>
      </w:r>
    </w:p>
    <w:p w14:paraId="411C619F" w14:textId="77777777" w:rsidR="008347CD" w:rsidRPr="000900F3" w:rsidRDefault="00C46B5B">
      <w:pPr>
        <w:pStyle w:val="SNActe"/>
      </w:pPr>
      <w:r w:rsidRPr="000900F3">
        <w:t>odrejata:</w:t>
      </w:r>
    </w:p>
    <w:p w14:paraId="78D9F457" w14:textId="77777777" w:rsidR="008347CD" w:rsidRPr="000900F3" w:rsidRDefault="008347CD">
      <w:pPr>
        <w:pStyle w:val="SNArticle"/>
      </w:pPr>
    </w:p>
    <w:p w14:paraId="5C7F96CE" w14:textId="77777777" w:rsidR="008347CD" w:rsidRPr="000900F3" w:rsidRDefault="00C46B5B">
      <w:pPr>
        <w:pStyle w:val="SNArticle"/>
      </w:pPr>
      <w:r w:rsidRPr="000900F3">
        <w:t>Člen 1</w:t>
      </w:r>
    </w:p>
    <w:p w14:paraId="25C93793" w14:textId="77777777" w:rsidR="00A42F37" w:rsidRPr="000900F3" w:rsidRDefault="00A42F37">
      <w:pPr>
        <w:jc w:val="both"/>
      </w:pPr>
    </w:p>
    <w:p w14:paraId="658E2A64" w14:textId="1473D7BA" w:rsidR="00A42F37" w:rsidRPr="000900F3" w:rsidRDefault="00A42F37" w:rsidP="00F92FDA">
      <w:pPr>
        <w:jc w:val="both"/>
      </w:pPr>
      <w:r w:rsidRPr="000900F3">
        <w:t>Snovi s preverjenimi in domnevnimi lastnostmi endokrinih motilcev iz oddelka I člena L. 5232–5 Zakonika o javnem zdravju so navedene v preglednici A Priloge I k tej odredbi.</w:t>
      </w:r>
    </w:p>
    <w:p w14:paraId="3D3E5718" w14:textId="2E589BC6" w:rsidR="003A3003" w:rsidRPr="000900F3" w:rsidRDefault="003A3003">
      <w:pPr>
        <w:jc w:val="both"/>
      </w:pPr>
    </w:p>
    <w:p w14:paraId="185CCC9B" w14:textId="77777777" w:rsidR="00840BD7" w:rsidRPr="000900F3" w:rsidRDefault="00840BD7">
      <w:pPr>
        <w:jc w:val="both"/>
      </w:pPr>
    </w:p>
    <w:p w14:paraId="1CB2A07C" w14:textId="61E452D4" w:rsidR="00220182" w:rsidRPr="000900F3" w:rsidRDefault="00220182" w:rsidP="00220182">
      <w:pPr>
        <w:pStyle w:val="SNArticle"/>
      </w:pPr>
      <w:r w:rsidRPr="000900F3">
        <w:t>Člen 2</w:t>
      </w:r>
    </w:p>
    <w:p w14:paraId="0BC38752" w14:textId="77777777" w:rsidR="00220182" w:rsidRPr="000900F3" w:rsidRDefault="00220182" w:rsidP="00220182">
      <w:pPr>
        <w:jc w:val="both"/>
      </w:pPr>
    </w:p>
    <w:p w14:paraId="29D79603" w14:textId="7710243A" w:rsidR="00220182" w:rsidRPr="000900F3" w:rsidRDefault="00220182" w:rsidP="00220182">
      <w:pPr>
        <w:jc w:val="both"/>
      </w:pPr>
      <w:r w:rsidRPr="000900F3">
        <w:t>Snovi, pri katerih obstaja sum na lastnosti endokrinih motilcev iz oddelka II člena L. 5232–5 Zakonika o javnem zdravju, so navedene v preglednici B Priloge I k tej odredbi.</w:t>
      </w:r>
    </w:p>
    <w:p w14:paraId="414AAF65" w14:textId="77777777" w:rsidR="00840BD7" w:rsidRPr="000900F3" w:rsidRDefault="00840BD7" w:rsidP="00220182">
      <w:pPr>
        <w:jc w:val="both"/>
      </w:pPr>
    </w:p>
    <w:p w14:paraId="414FCA1E" w14:textId="71ABDFE8" w:rsidR="00220182" w:rsidRPr="000900F3" w:rsidRDefault="00220182" w:rsidP="00220182">
      <w:pPr>
        <w:pStyle w:val="SNArticle"/>
      </w:pPr>
      <w:r w:rsidRPr="000900F3">
        <w:t>Člen 3</w:t>
      </w:r>
    </w:p>
    <w:p w14:paraId="2D09A589" w14:textId="77777777" w:rsidR="00220182" w:rsidRPr="000900F3" w:rsidRDefault="00220182" w:rsidP="00220182">
      <w:pPr>
        <w:jc w:val="both"/>
      </w:pPr>
    </w:p>
    <w:p w14:paraId="19C5E591" w14:textId="14F23B7A" w:rsidR="00220182" w:rsidRPr="000900F3" w:rsidRDefault="00220182" w:rsidP="00220182">
      <w:pPr>
        <w:jc w:val="both"/>
      </w:pPr>
      <w:r w:rsidRPr="000900F3">
        <w:t>Kategorije proizvodov, ki predstavljajo posebno tveganje izpostavljenosti iz oddelka II člena L. 5232–5 Zakonika o javnem zdravju, so navedene v Prilogi II k tej odredbi.</w:t>
      </w:r>
    </w:p>
    <w:p w14:paraId="1FF4DAAD" w14:textId="21F9B44B" w:rsidR="00220182" w:rsidRPr="000900F3" w:rsidRDefault="00220182" w:rsidP="00220182">
      <w:pPr>
        <w:jc w:val="both"/>
      </w:pPr>
    </w:p>
    <w:p w14:paraId="1137E4CD" w14:textId="3090F12E" w:rsidR="008347CD" w:rsidRPr="000900F3" w:rsidRDefault="00C46B5B">
      <w:pPr>
        <w:pStyle w:val="SNArticle"/>
      </w:pPr>
      <w:r w:rsidRPr="000900F3">
        <w:t>Člen 4</w:t>
      </w:r>
    </w:p>
    <w:p w14:paraId="285154DB" w14:textId="77777777" w:rsidR="008347CD" w:rsidRPr="000900F3" w:rsidRDefault="00C46B5B">
      <w:pPr>
        <w:pStyle w:val="SNArticle"/>
        <w:jc w:val="left"/>
        <w:rPr>
          <w:b w:val="0"/>
        </w:rPr>
      </w:pPr>
      <w:r w:rsidRPr="000900F3">
        <w:rPr>
          <w:b w:val="0"/>
        </w:rPr>
        <w:t xml:space="preserve">Določbe te odredbe začnejo veljati 1. januarja 2022. </w:t>
      </w:r>
    </w:p>
    <w:p w14:paraId="716A6006" w14:textId="77777777" w:rsidR="009F20C4" w:rsidRPr="000900F3" w:rsidRDefault="009F20C4">
      <w:pPr>
        <w:pStyle w:val="SNArticle"/>
      </w:pPr>
    </w:p>
    <w:p w14:paraId="1DE0912A" w14:textId="43814AF3" w:rsidR="008347CD" w:rsidRPr="000900F3" w:rsidRDefault="00C46B5B">
      <w:pPr>
        <w:pStyle w:val="SNArticle"/>
      </w:pPr>
      <w:r w:rsidRPr="000900F3">
        <w:t>Člen 5</w:t>
      </w:r>
    </w:p>
    <w:p w14:paraId="4B2DBBEB" w14:textId="77777777" w:rsidR="008347CD" w:rsidRPr="000900F3" w:rsidRDefault="00C46B5B">
      <w:pPr>
        <w:pStyle w:val="BodyText"/>
        <w:jc w:val="both"/>
      </w:pPr>
      <w:r w:rsidRPr="000900F3">
        <w:t>Ta odredba se objavi v Uradnem listu Francoske republike.</w:t>
      </w:r>
    </w:p>
    <w:p w14:paraId="348F0109" w14:textId="121A36A3" w:rsidR="008347CD" w:rsidRPr="000900F3" w:rsidRDefault="008347CD" w:rsidP="0005179D">
      <w:pPr>
        <w:tabs>
          <w:tab w:val="left" w:pos="5685"/>
        </w:tabs>
      </w:pPr>
    </w:p>
    <w:p w14:paraId="6D2787DD" w14:textId="77777777" w:rsidR="008347CD" w:rsidRPr="000900F3" w:rsidRDefault="008347CD"/>
    <w:p w14:paraId="20942212" w14:textId="77777777" w:rsidR="008347CD" w:rsidRPr="000900F3" w:rsidRDefault="00C46B5B">
      <w:pPr>
        <w:ind w:firstLine="540"/>
      </w:pPr>
      <w:r w:rsidRPr="000900F3">
        <w:t xml:space="preserve">Izdelano dne [datum] </w:t>
      </w:r>
    </w:p>
    <w:p w14:paraId="6DEBDEE2" w14:textId="77777777" w:rsidR="008347CD" w:rsidRPr="000900F3" w:rsidRDefault="008347CD">
      <w:pPr>
        <w:ind w:left="539"/>
      </w:pPr>
    </w:p>
    <w:p w14:paraId="0CD275D9" w14:textId="77777777" w:rsidR="008347CD" w:rsidRPr="000900F3" w:rsidRDefault="008347CD">
      <w:pPr>
        <w:pStyle w:val="SNSignatureGauche"/>
        <w:ind w:left="539"/>
      </w:pPr>
    </w:p>
    <w:p w14:paraId="00FFAF1F" w14:textId="77777777" w:rsidR="008347CD" w:rsidRPr="000900F3" w:rsidRDefault="008347CD">
      <w:pPr>
        <w:pStyle w:val="SNSignatureGauche"/>
        <w:ind w:left="539"/>
      </w:pPr>
    </w:p>
    <w:p w14:paraId="6BEDEEF5" w14:textId="25330FB5" w:rsidR="008347CD" w:rsidRPr="000900F3" w:rsidRDefault="00C46B5B">
      <w:pPr>
        <w:pStyle w:val="SNSignatureGauche"/>
        <w:ind w:left="539"/>
      </w:pPr>
      <w:r w:rsidRPr="000900F3">
        <w:t>Ministrica za ekološki prehod,</w:t>
      </w:r>
    </w:p>
    <w:p w14:paraId="21F51DC6" w14:textId="77777777" w:rsidR="008347CD" w:rsidRPr="000900F3" w:rsidRDefault="00C46B5B">
      <w:pPr>
        <w:pStyle w:val="SNSignatureDroite"/>
        <w:ind w:left="539" w:firstLine="0"/>
      </w:pPr>
      <w:r w:rsidRPr="000900F3">
        <w:t>Za ministrico in po njenem pooblastilu:</w:t>
      </w:r>
    </w:p>
    <w:p w14:paraId="5384022E" w14:textId="77777777" w:rsidR="008347CD" w:rsidRPr="000900F3" w:rsidRDefault="00C46B5B">
      <w:pPr>
        <w:pStyle w:val="SNSignatureDroite"/>
        <w:ind w:left="539" w:firstLine="0"/>
      </w:pPr>
      <w:r w:rsidRPr="000900F3">
        <w:t>Generalni direktor za preprečevanje tveganja,</w:t>
      </w:r>
    </w:p>
    <w:p w14:paraId="0A5482F8" w14:textId="77777777" w:rsidR="008347CD" w:rsidRPr="000900F3" w:rsidRDefault="008347CD">
      <w:pPr>
        <w:pStyle w:val="SNSignatureGauche"/>
        <w:ind w:left="539"/>
      </w:pPr>
    </w:p>
    <w:p w14:paraId="673118EB" w14:textId="77777777" w:rsidR="008347CD" w:rsidRPr="000900F3" w:rsidRDefault="008347CD">
      <w:pPr>
        <w:pStyle w:val="SNSignatureDroite"/>
        <w:ind w:left="539" w:firstLine="0"/>
      </w:pPr>
    </w:p>
    <w:p w14:paraId="6195CB62" w14:textId="77777777" w:rsidR="008347CD" w:rsidRPr="000900F3" w:rsidRDefault="008347CD">
      <w:pPr>
        <w:pStyle w:val="SNSignatureGauche"/>
        <w:ind w:left="539"/>
      </w:pPr>
    </w:p>
    <w:p w14:paraId="4AA84A8A" w14:textId="77777777" w:rsidR="008347CD" w:rsidRPr="000900F3" w:rsidRDefault="00C46B5B">
      <w:pPr>
        <w:pStyle w:val="SNSignatureDroite"/>
        <w:ind w:left="539" w:firstLine="0"/>
      </w:pPr>
      <w:r w:rsidRPr="000900F3">
        <w:t>Cédric BOURILLET</w:t>
      </w:r>
    </w:p>
    <w:p w14:paraId="3540651A" w14:textId="77777777" w:rsidR="008347CD" w:rsidRPr="000900F3" w:rsidRDefault="008347CD">
      <w:pPr>
        <w:ind w:left="539"/>
      </w:pPr>
    </w:p>
    <w:p w14:paraId="02736F8A" w14:textId="77777777" w:rsidR="008347CD" w:rsidRPr="000900F3" w:rsidRDefault="008347CD">
      <w:pPr>
        <w:ind w:left="539"/>
      </w:pPr>
    </w:p>
    <w:p w14:paraId="218AB37D" w14:textId="77777777" w:rsidR="008347CD" w:rsidRPr="000900F3" w:rsidRDefault="008347CD">
      <w:pPr>
        <w:ind w:left="539"/>
      </w:pPr>
    </w:p>
    <w:p w14:paraId="61147849" w14:textId="32EE603B" w:rsidR="008347CD" w:rsidRPr="000900F3" w:rsidRDefault="00305F8C" w:rsidP="009934B3">
      <w:pPr>
        <w:ind w:left="539"/>
      </w:pPr>
      <w:r w:rsidRPr="000900F3">
        <w:t>Minister za solidarnost in zdravje,</w:t>
      </w:r>
    </w:p>
    <w:p w14:paraId="69576A00" w14:textId="7DEE8A3A" w:rsidR="008347CD" w:rsidRPr="000900F3" w:rsidRDefault="00C46B5B" w:rsidP="009934B3">
      <w:pPr>
        <w:ind w:left="539"/>
      </w:pPr>
      <w:r w:rsidRPr="000900F3">
        <w:t>Za ministra in po njegovem pooblastilu:</w:t>
      </w:r>
    </w:p>
    <w:p w14:paraId="598A67E7" w14:textId="77777777" w:rsidR="008347CD" w:rsidRPr="000900F3" w:rsidRDefault="00C46B5B" w:rsidP="009934B3">
      <w:pPr>
        <w:ind w:left="539"/>
      </w:pPr>
      <w:r w:rsidRPr="000900F3">
        <w:t>Generalni direktor za zdravje,</w:t>
      </w:r>
    </w:p>
    <w:p w14:paraId="2DC0E3F5" w14:textId="77777777" w:rsidR="008347CD" w:rsidRPr="000900F3" w:rsidRDefault="008347CD" w:rsidP="009934B3">
      <w:pPr>
        <w:ind w:left="539"/>
      </w:pPr>
    </w:p>
    <w:p w14:paraId="5BF5FC14" w14:textId="77777777" w:rsidR="008347CD" w:rsidRPr="000900F3" w:rsidRDefault="008347CD" w:rsidP="009934B3">
      <w:pPr>
        <w:ind w:left="539"/>
      </w:pPr>
    </w:p>
    <w:p w14:paraId="06D46F73" w14:textId="77777777" w:rsidR="008347CD" w:rsidRPr="000900F3" w:rsidRDefault="008347CD" w:rsidP="009934B3">
      <w:pPr>
        <w:ind w:left="539"/>
      </w:pPr>
    </w:p>
    <w:p w14:paraId="1EC43CA3" w14:textId="26DC16E0" w:rsidR="008347CD" w:rsidRPr="000900F3" w:rsidRDefault="00C46B5B" w:rsidP="009934B3">
      <w:pPr>
        <w:ind w:left="539"/>
      </w:pPr>
      <w:r w:rsidRPr="000900F3">
        <w:t>Jérôme SALOMON</w:t>
      </w:r>
    </w:p>
    <w:p w14:paraId="646663AB" w14:textId="470A7E39" w:rsidR="0091346D" w:rsidRPr="000900F3" w:rsidRDefault="0091346D" w:rsidP="009934B3">
      <w:pPr>
        <w:ind w:left="539"/>
      </w:pPr>
    </w:p>
    <w:p w14:paraId="78992825" w14:textId="26A612AC" w:rsidR="0091346D" w:rsidRPr="000900F3" w:rsidRDefault="0091346D" w:rsidP="009934B3">
      <w:pPr>
        <w:ind w:left="539"/>
      </w:pPr>
    </w:p>
    <w:p w14:paraId="4C271472" w14:textId="12482997" w:rsidR="0091346D" w:rsidRPr="000900F3" w:rsidRDefault="0091346D" w:rsidP="009934B3">
      <w:pPr>
        <w:ind w:left="539"/>
      </w:pPr>
    </w:p>
    <w:p w14:paraId="757046F7" w14:textId="6F5F6C03" w:rsidR="0091346D" w:rsidRPr="000900F3" w:rsidRDefault="0091346D" w:rsidP="009934B3">
      <w:pPr>
        <w:ind w:left="539"/>
      </w:pPr>
    </w:p>
    <w:p w14:paraId="30CBFC27" w14:textId="77777777" w:rsidR="009F20C4" w:rsidRPr="000900F3" w:rsidRDefault="009F20C4" w:rsidP="009934B3">
      <w:pPr>
        <w:ind w:left="539"/>
      </w:pPr>
    </w:p>
    <w:p w14:paraId="203CF528" w14:textId="77777777" w:rsidR="009F20C4" w:rsidRPr="000900F3" w:rsidRDefault="009F20C4" w:rsidP="009934B3">
      <w:pPr>
        <w:ind w:left="539"/>
      </w:pPr>
    </w:p>
    <w:p w14:paraId="55CCE532" w14:textId="77777777" w:rsidR="009F20C4" w:rsidRPr="000900F3" w:rsidRDefault="009F20C4" w:rsidP="009934B3">
      <w:pPr>
        <w:ind w:left="539"/>
      </w:pPr>
    </w:p>
    <w:p w14:paraId="75D34D20" w14:textId="77777777" w:rsidR="009F20C4" w:rsidRPr="000900F3" w:rsidRDefault="009F20C4" w:rsidP="009934B3">
      <w:pPr>
        <w:ind w:left="539"/>
      </w:pPr>
    </w:p>
    <w:p w14:paraId="093B3990" w14:textId="77777777" w:rsidR="009F20C4" w:rsidRPr="000900F3" w:rsidRDefault="009F20C4" w:rsidP="009934B3">
      <w:pPr>
        <w:ind w:left="539"/>
      </w:pPr>
    </w:p>
    <w:p w14:paraId="0EB4AC6D" w14:textId="77777777" w:rsidR="009F20C4" w:rsidRPr="000900F3" w:rsidRDefault="009F20C4" w:rsidP="009934B3">
      <w:pPr>
        <w:ind w:left="539"/>
      </w:pPr>
    </w:p>
    <w:p w14:paraId="07DFCF09" w14:textId="77777777" w:rsidR="009F20C4" w:rsidRPr="000900F3" w:rsidRDefault="009F20C4" w:rsidP="009934B3">
      <w:pPr>
        <w:ind w:left="539"/>
      </w:pPr>
    </w:p>
    <w:p w14:paraId="1E7D03FB" w14:textId="77777777" w:rsidR="00F4110C" w:rsidRPr="000900F3" w:rsidRDefault="00F4110C">
      <w:pPr>
        <w:suppressAutoHyphens w:val="0"/>
      </w:pPr>
      <w:r w:rsidRPr="000900F3">
        <w:br w:type="page"/>
      </w:r>
    </w:p>
    <w:p w14:paraId="7290D6B3" w14:textId="0CC5E208" w:rsidR="0091346D" w:rsidRPr="000900F3" w:rsidRDefault="00F9491E" w:rsidP="009934B3">
      <w:pPr>
        <w:ind w:left="539"/>
      </w:pPr>
      <w:r w:rsidRPr="000900F3">
        <w:lastRenderedPageBreak/>
        <w:t xml:space="preserve">Priloge </w:t>
      </w:r>
    </w:p>
    <w:p w14:paraId="6EA669F8" w14:textId="77777777" w:rsidR="0091346D" w:rsidRPr="000900F3" w:rsidRDefault="0091346D" w:rsidP="009934B3">
      <w:pPr>
        <w:ind w:left="539"/>
      </w:pPr>
    </w:p>
    <w:p w14:paraId="7CD2C0F1" w14:textId="77777777" w:rsidR="0091346D" w:rsidRPr="000900F3" w:rsidRDefault="0091346D" w:rsidP="009934B3">
      <w:pPr>
        <w:ind w:left="539"/>
      </w:pPr>
    </w:p>
    <w:p w14:paraId="3ABF99B7" w14:textId="4BA3CD32" w:rsidR="0091346D" w:rsidRPr="000900F3" w:rsidRDefault="0091346D" w:rsidP="00F92FDA">
      <w:pPr>
        <w:ind w:left="539"/>
        <w:jc w:val="both"/>
      </w:pPr>
      <w:r w:rsidRPr="000900F3">
        <w:t>Priloga I: Seznam snovi z lastnostmi endokrinih motilcev iz oddelkov I in II člena L. 5232–5 Zakonika o javnem zdravju</w:t>
      </w:r>
    </w:p>
    <w:p w14:paraId="225B512E" w14:textId="24460C4F" w:rsidR="0091346D" w:rsidRPr="000900F3" w:rsidRDefault="0091346D" w:rsidP="00F92FDA">
      <w:pPr>
        <w:ind w:left="539"/>
        <w:jc w:val="both"/>
      </w:pPr>
    </w:p>
    <w:p w14:paraId="2E52E7D3" w14:textId="52D8F88D" w:rsidR="0091346D" w:rsidRPr="000900F3" w:rsidRDefault="0091346D" w:rsidP="00F92FDA">
      <w:pPr>
        <w:ind w:left="539"/>
        <w:jc w:val="both"/>
      </w:pPr>
      <w:r w:rsidRPr="000900F3">
        <w:t>PREGLEDNICA A: Seznam snovi z dokazanimi in domnevnimi lastnostmi endokrinih motilcev iz oddelka I člena L. 5232–5 Zakonika o javnem zdravju</w:t>
      </w:r>
    </w:p>
    <w:p w14:paraId="07AAC79F" w14:textId="3DB8C2F4" w:rsidR="0091346D" w:rsidRPr="000900F3"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0900F3" w14:paraId="4DF6403F" w14:textId="602410DF" w:rsidTr="00A95817">
        <w:tc>
          <w:tcPr>
            <w:tcW w:w="3449" w:type="dxa"/>
          </w:tcPr>
          <w:p w14:paraId="36C34FAB" w14:textId="20DA6C2C" w:rsidR="00F92FDA" w:rsidRPr="000900F3" w:rsidRDefault="00F92FDA" w:rsidP="00840BD7">
            <w:pPr>
              <w:jc w:val="center"/>
              <w:rPr>
                <w:b/>
                <w:sz w:val="20"/>
                <w:szCs w:val="20"/>
              </w:rPr>
            </w:pPr>
            <w:r w:rsidRPr="000900F3">
              <w:rPr>
                <w:b/>
                <w:sz w:val="20"/>
              </w:rPr>
              <w:t>Ime snovi</w:t>
            </w:r>
          </w:p>
        </w:tc>
        <w:tc>
          <w:tcPr>
            <w:tcW w:w="2680" w:type="dxa"/>
          </w:tcPr>
          <w:p w14:paraId="133DF615" w14:textId="6C64F141" w:rsidR="00F92FDA" w:rsidRPr="000900F3" w:rsidRDefault="00F92FDA" w:rsidP="00840BD7">
            <w:pPr>
              <w:jc w:val="center"/>
              <w:rPr>
                <w:b/>
                <w:sz w:val="20"/>
                <w:szCs w:val="20"/>
              </w:rPr>
            </w:pPr>
            <w:r w:rsidRPr="000900F3">
              <w:rPr>
                <w:b/>
                <w:sz w:val="20"/>
              </w:rPr>
              <w:t>Številka CAS</w:t>
            </w:r>
          </w:p>
        </w:tc>
        <w:tc>
          <w:tcPr>
            <w:tcW w:w="2676" w:type="dxa"/>
          </w:tcPr>
          <w:p w14:paraId="62A8287B" w14:textId="4A5E46C1" w:rsidR="00F92FDA" w:rsidRPr="000900F3" w:rsidRDefault="00E93CF9" w:rsidP="00840BD7">
            <w:pPr>
              <w:jc w:val="center"/>
              <w:rPr>
                <w:b/>
                <w:sz w:val="20"/>
                <w:szCs w:val="20"/>
              </w:rPr>
            </w:pPr>
            <w:r w:rsidRPr="000900F3">
              <w:rPr>
                <w:b/>
                <w:sz w:val="20"/>
              </w:rPr>
              <w:t>Številka CE</w:t>
            </w:r>
          </w:p>
        </w:tc>
      </w:tr>
      <w:tr w:rsidR="00E93CF9" w:rsidRPr="000900F3" w14:paraId="56F53086" w14:textId="77777777" w:rsidTr="00A95817">
        <w:tc>
          <w:tcPr>
            <w:tcW w:w="3449" w:type="dxa"/>
          </w:tcPr>
          <w:p w14:paraId="2C5938A8" w14:textId="047E872C" w:rsidR="00E93CF9" w:rsidRPr="000900F3" w:rsidRDefault="00E93CF9" w:rsidP="00E93CF9">
            <w:pPr>
              <w:rPr>
                <w:sz w:val="20"/>
                <w:szCs w:val="20"/>
              </w:rPr>
            </w:pPr>
            <w:r w:rsidRPr="000900F3">
              <w:rPr>
                <w:sz w:val="20"/>
              </w:rPr>
              <w:t>4,4-(1-metilpropiliden)bisfenol</w:t>
            </w:r>
          </w:p>
        </w:tc>
        <w:tc>
          <w:tcPr>
            <w:tcW w:w="2680" w:type="dxa"/>
          </w:tcPr>
          <w:p w14:paraId="75DF6097" w14:textId="4C4B61B0" w:rsidR="00E93CF9" w:rsidRPr="000900F3" w:rsidRDefault="00E93CF9" w:rsidP="00E93CF9">
            <w:pPr>
              <w:jc w:val="center"/>
              <w:rPr>
                <w:color w:val="auto"/>
                <w:sz w:val="20"/>
                <w:szCs w:val="20"/>
              </w:rPr>
            </w:pPr>
            <w:r w:rsidRPr="000900F3">
              <w:rPr>
                <w:color w:val="auto"/>
                <w:sz w:val="20"/>
              </w:rPr>
              <w:t>77-40-7</w:t>
            </w:r>
          </w:p>
        </w:tc>
        <w:tc>
          <w:tcPr>
            <w:tcW w:w="2676" w:type="dxa"/>
          </w:tcPr>
          <w:p w14:paraId="15897FB6" w14:textId="02EF7847" w:rsidR="00E93CF9" w:rsidRPr="000900F3" w:rsidRDefault="00E93CF9" w:rsidP="00E93CF9">
            <w:pPr>
              <w:jc w:val="center"/>
              <w:rPr>
                <w:color w:val="auto"/>
                <w:sz w:val="20"/>
                <w:szCs w:val="20"/>
              </w:rPr>
            </w:pPr>
            <w:r w:rsidRPr="000900F3">
              <w:rPr>
                <w:color w:val="auto"/>
                <w:sz w:val="20"/>
              </w:rPr>
              <w:t>201-025-1</w:t>
            </w:r>
          </w:p>
        </w:tc>
      </w:tr>
      <w:tr w:rsidR="00E93CF9" w:rsidRPr="000900F3" w14:paraId="7FE6D8F2" w14:textId="6825DEFB" w:rsidTr="00A95817">
        <w:tc>
          <w:tcPr>
            <w:tcW w:w="3449" w:type="dxa"/>
          </w:tcPr>
          <w:p w14:paraId="680D6D7E" w14:textId="77777777" w:rsidR="00E93CF9" w:rsidRPr="000900F3" w:rsidRDefault="00E93CF9" w:rsidP="00E93CF9">
            <w:pPr>
              <w:rPr>
                <w:sz w:val="20"/>
                <w:szCs w:val="20"/>
              </w:rPr>
            </w:pPr>
            <w:r w:rsidRPr="000900F3">
              <w:rPr>
                <w:sz w:val="20"/>
              </w:rPr>
              <w:t>Tris(4-nonilfenil, razvejan in linearen) fosfit (TNPP) z najmanj 0,1 % m/m 4-nonilfenola, razvejanega in linearnega (4-NP)</w:t>
            </w:r>
          </w:p>
          <w:p w14:paraId="662E5CB4" w14:textId="77777777" w:rsidR="00E93CF9" w:rsidRPr="000900F3" w:rsidRDefault="00E93CF9" w:rsidP="00E93CF9">
            <w:pPr>
              <w:pStyle w:val="ListParagraph"/>
              <w:numPr>
                <w:ilvl w:val="0"/>
                <w:numId w:val="3"/>
              </w:numPr>
              <w:rPr>
                <w:sz w:val="20"/>
                <w:szCs w:val="20"/>
              </w:rPr>
            </w:pPr>
            <w:r w:rsidRPr="000900F3">
              <w:rPr>
                <w:sz w:val="20"/>
              </w:rPr>
              <w:t>Tris(4-nonilfenil, razvejan) fosfit</w:t>
            </w:r>
          </w:p>
          <w:p w14:paraId="6F2A5ECF" w14:textId="77777777" w:rsidR="00E93CF9" w:rsidRPr="000900F3" w:rsidRDefault="00E93CF9" w:rsidP="00E93CF9">
            <w:pPr>
              <w:pStyle w:val="ListParagraph"/>
              <w:numPr>
                <w:ilvl w:val="0"/>
                <w:numId w:val="3"/>
              </w:numPr>
              <w:rPr>
                <w:sz w:val="20"/>
                <w:szCs w:val="20"/>
              </w:rPr>
            </w:pPr>
            <w:r w:rsidRPr="000900F3">
              <w:rPr>
                <w:sz w:val="20"/>
              </w:rPr>
              <w:t>Fenol, 4-nonil-, fosfit (3:1)</w:t>
            </w:r>
          </w:p>
          <w:p w14:paraId="7B0BA21A" w14:textId="3AAF38FF" w:rsidR="00E93CF9" w:rsidRPr="000900F3" w:rsidRDefault="00E93CF9" w:rsidP="00E93CF9">
            <w:pPr>
              <w:pStyle w:val="ListParagraph"/>
              <w:numPr>
                <w:ilvl w:val="0"/>
                <w:numId w:val="3"/>
              </w:numPr>
              <w:rPr>
                <w:sz w:val="20"/>
                <w:szCs w:val="20"/>
              </w:rPr>
            </w:pPr>
            <w:r w:rsidRPr="000900F3">
              <w:rPr>
                <w:sz w:val="20"/>
              </w:rPr>
              <w:t>Tris(nonilfenil) fosfit</w:t>
            </w:r>
          </w:p>
        </w:tc>
        <w:tc>
          <w:tcPr>
            <w:tcW w:w="2680" w:type="dxa"/>
          </w:tcPr>
          <w:p w14:paraId="162D69BA" w14:textId="77777777" w:rsidR="00E93CF9" w:rsidRPr="000900F3" w:rsidRDefault="00E93CF9" w:rsidP="00E93CF9">
            <w:pPr>
              <w:jc w:val="center"/>
              <w:rPr>
                <w:sz w:val="20"/>
                <w:szCs w:val="20"/>
              </w:rPr>
            </w:pPr>
          </w:p>
          <w:p w14:paraId="673DD03F" w14:textId="77777777" w:rsidR="00E93CF9" w:rsidRPr="000900F3" w:rsidRDefault="00E93CF9" w:rsidP="00E93CF9">
            <w:pPr>
              <w:jc w:val="center"/>
              <w:rPr>
                <w:sz w:val="20"/>
                <w:szCs w:val="20"/>
              </w:rPr>
            </w:pPr>
          </w:p>
          <w:p w14:paraId="496AEC42" w14:textId="77777777" w:rsidR="00E93CF9" w:rsidRPr="000900F3" w:rsidRDefault="00E93CF9" w:rsidP="00E93CF9">
            <w:pPr>
              <w:jc w:val="center"/>
              <w:rPr>
                <w:sz w:val="20"/>
                <w:szCs w:val="20"/>
              </w:rPr>
            </w:pPr>
          </w:p>
          <w:p w14:paraId="1689416E" w14:textId="77777777" w:rsidR="00E93CF9" w:rsidRPr="000900F3" w:rsidRDefault="00E93CF9" w:rsidP="00E93CF9">
            <w:pPr>
              <w:jc w:val="center"/>
              <w:rPr>
                <w:sz w:val="20"/>
                <w:szCs w:val="20"/>
              </w:rPr>
            </w:pPr>
          </w:p>
          <w:p w14:paraId="504A4CA9" w14:textId="77777777" w:rsidR="00E93CF9" w:rsidRPr="000900F3" w:rsidRDefault="00E93CF9" w:rsidP="00E93CF9">
            <w:pPr>
              <w:jc w:val="center"/>
              <w:rPr>
                <w:sz w:val="20"/>
                <w:szCs w:val="20"/>
              </w:rPr>
            </w:pPr>
          </w:p>
          <w:p w14:paraId="25F684FB" w14:textId="2A9FD20F" w:rsidR="00E93CF9" w:rsidRPr="000900F3" w:rsidRDefault="00E93CF9" w:rsidP="00E93CF9">
            <w:pPr>
              <w:jc w:val="center"/>
              <w:rPr>
                <w:sz w:val="20"/>
                <w:szCs w:val="20"/>
              </w:rPr>
            </w:pPr>
            <w:r w:rsidRPr="000900F3">
              <w:rPr>
                <w:sz w:val="20"/>
              </w:rPr>
              <w:t>-</w:t>
            </w:r>
          </w:p>
          <w:p w14:paraId="6C8F3D54" w14:textId="77777777" w:rsidR="00E93CF9" w:rsidRPr="000900F3" w:rsidRDefault="00E93CF9" w:rsidP="00E93CF9">
            <w:pPr>
              <w:jc w:val="center"/>
              <w:rPr>
                <w:sz w:val="20"/>
                <w:szCs w:val="20"/>
              </w:rPr>
            </w:pPr>
          </w:p>
          <w:p w14:paraId="7D586553" w14:textId="4EBD0BB2" w:rsidR="00E93CF9" w:rsidRPr="000900F3" w:rsidRDefault="00E93CF9" w:rsidP="00E93CF9">
            <w:pPr>
              <w:jc w:val="center"/>
              <w:rPr>
                <w:sz w:val="20"/>
                <w:szCs w:val="20"/>
              </w:rPr>
            </w:pPr>
            <w:r w:rsidRPr="000900F3">
              <w:rPr>
                <w:sz w:val="20"/>
              </w:rPr>
              <w:t>3050-88-2</w:t>
            </w:r>
          </w:p>
          <w:p w14:paraId="7C685F9A" w14:textId="77777777" w:rsidR="00E93CF9" w:rsidRPr="000900F3" w:rsidRDefault="00E93CF9" w:rsidP="00E93CF9">
            <w:pPr>
              <w:jc w:val="center"/>
              <w:rPr>
                <w:sz w:val="20"/>
                <w:szCs w:val="20"/>
              </w:rPr>
            </w:pPr>
          </w:p>
          <w:p w14:paraId="2E8935C4" w14:textId="433420AE" w:rsidR="00E93CF9" w:rsidRPr="000900F3" w:rsidRDefault="00E93CF9" w:rsidP="00E93CF9">
            <w:pPr>
              <w:jc w:val="center"/>
              <w:rPr>
                <w:sz w:val="20"/>
                <w:szCs w:val="20"/>
              </w:rPr>
            </w:pPr>
            <w:r w:rsidRPr="000900F3">
              <w:rPr>
                <w:sz w:val="20"/>
              </w:rPr>
              <w:t>26523-78-4</w:t>
            </w:r>
          </w:p>
        </w:tc>
        <w:tc>
          <w:tcPr>
            <w:tcW w:w="2676" w:type="dxa"/>
          </w:tcPr>
          <w:p w14:paraId="5FD3F30C" w14:textId="77777777" w:rsidR="00E93CF9" w:rsidRPr="000900F3" w:rsidRDefault="00E93CF9" w:rsidP="00E93CF9">
            <w:pPr>
              <w:jc w:val="center"/>
              <w:rPr>
                <w:color w:val="384A53"/>
                <w:sz w:val="20"/>
                <w:szCs w:val="20"/>
              </w:rPr>
            </w:pPr>
          </w:p>
          <w:p w14:paraId="611FFC55" w14:textId="77777777" w:rsidR="00E93CF9" w:rsidRPr="000900F3" w:rsidRDefault="00E93CF9" w:rsidP="00E93CF9">
            <w:pPr>
              <w:jc w:val="center"/>
              <w:rPr>
                <w:color w:val="384A53"/>
                <w:sz w:val="20"/>
                <w:szCs w:val="20"/>
              </w:rPr>
            </w:pPr>
          </w:p>
          <w:p w14:paraId="23203514" w14:textId="77777777" w:rsidR="00E93CF9" w:rsidRPr="000900F3" w:rsidRDefault="00E93CF9" w:rsidP="00E93CF9">
            <w:pPr>
              <w:jc w:val="center"/>
              <w:rPr>
                <w:color w:val="384A53"/>
                <w:sz w:val="20"/>
                <w:szCs w:val="20"/>
              </w:rPr>
            </w:pPr>
          </w:p>
          <w:p w14:paraId="3DB3B8FA" w14:textId="77777777" w:rsidR="00E93CF9" w:rsidRPr="000900F3" w:rsidRDefault="00E93CF9" w:rsidP="00E93CF9">
            <w:pPr>
              <w:jc w:val="center"/>
              <w:rPr>
                <w:sz w:val="20"/>
                <w:szCs w:val="20"/>
              </w:rPr>
            </w:pPr>
          </w:p>
          <w:p w14:paraId="5A526ED2" w14:textId="77777777" w:rsidR="00E93CF9" w:rsidRPr="000900F3" w:rsidRDefault="00E93CF9" w:rsidP="00E93CF9">
            <w:pPr>
              <w:jc w:val="center"/>
              <w:rPr>
                <w:sz w:val="20"/>
                <w:szCs w:val="20"/>
              </w:rPr>
            </w:pPr>
          </w:p>
          <w:p w14:paraId="25A0FED5" w14:textId="5271686F" w:rsidR="00E93CF9" w:rsidRPr="000900F3" w:rsidRDefault="00E93CF9" w:rsidP="00E93CF9">
            <w:pPr>
              <w:jc w:val="center"/>
              <w:rPr>
                <w:sz w:val="20"/>
                <w:szCs w:val="20"/>
              </w:rPr>
            </w:pPr>
            <w:r w:rsidRPr="000900F3">
              <w:rPr>
                <w:sz w:val="20"/>
              </w:rPr>
              <w:t>701-028-2</w:t>
            </w:r>
          </w:p>
          <w:p w14:paraId="63C05D56" w14:textId="77777777" w:rsidR="00E93CF9" w:rsidRPr="000900F3" w:rsidRDefault="00E93CF9" w:rsidP="00E93CF9">
            <w:pPr>
              <w:jc w:val="center"/>
              <w:rPr>
                <w:sz w:val="20"/>
                <w:szCs w:val="20"/>
              </w:rPr>
            </w:pPr>
          </w:p>
          <w:p w14:paraId="2C5CFE8E" w14:textId="65C9A579" w:rsidR="00E93CF9" w:rsidRPr="000900F3" w:rsidRDefault="00E93CF9" w:rsidP="00E93CF9">
            <w:pPr>
              <w:jc w:val="center"/>
              <w:rPr>
                <w:sz w:val="20"/>
                <w:szCs w:val="20"/>
              </w:rPr>
            </w:pPr>
            <w:r w:rsidRPr="000900F3">
              <w:rPr>
                <w:sz w:val="20"/>
              </w:rPr>
              <w:t>608-492-4</w:t>
            </w:r>
          </w:p>
          <w:p w14:paraId="03DE0F1E" w14:textId="77777777" w:rsidR="00E93CF9" w:rsidRPr="000900F3" w:rsidRDefault="00E93CF9" w:rsidP="00E93CF9">
            <w:pPr>
              <w:jc w:val="center"/>
              <w:rPr>
                <w:sz w:val="20"/>
                <w:szCs w:val="20"/>
              </w:rPr>
            </w:pPr>
          </w:p>
          <w:p w14:paraId="0FE83D65" w14:textId="069E6AE0" w:rsidR="00E93CF9" w:rsidRPr="000900F3" w:rsidRDefault="00E93CF9" w:rsidP="00E93CF9">
            <w:pPr>
              <w:jc w:val="center"/>
              <w:rPr>
                <w:sz w:val="20"/>
                <w:szCs w:val="20"/>
              </w:rPr>
            </w:pPr>
            <w:r w:rsidRPr="000900F3">
              <w:rPr>
                <w:sz w:val="20"/>
              </w:rPr>
              <w:t>247-759-6</w:t>
            </w:r>
          </w:p>
        </w:tc>
      </w:tr>
      <w:tr w:rsidR="00E93CF9" w:rsidRPr="000900F3" w14:paraId="0897E629" w14:textId="5B8808FB" w:rsidTr="00EB2FDE">
        <w:tc>
          <w:tcPr>
            <w:tcW w:w="3449" w:type="dxa"/>
          </w:tcPr>
          <w:p w14:paraId="2952BEDB" w14:textId="77777777" w:rsidR="00E93CF9" w:rsidRPr="000900F3" w:rsidRDefault="00E93CF9" w:rsidP="00E93CF9">
            <w:pPr>
              <w:rPr>
                <w:sz w:val="20"/>
                <w:szCs w:val="20"/>
              </w:rPr>
            </w:pPr>
            <w:r w:rsidRPr="000900F3">
              <w:rPr>
                <w:sz w:val="20"/>
              </w:rPr>
              <w:t xml:space="preserve">Reakcijski produkti 1,3,4-tiadiazolidina-2,5-ditiona, formaldehida in 4-heptilfenola, razvejani in linearni (RP-HP) </w:t>
            </w:r>
          </w:p>
          <w:p w14:paraId="561DC03D" w14:textId="66709812" w:rsidR="00E93CF9" w:rsidRPr="000900F3" w:rsidRDefault="00E93CF9" w:rsidP="00E93CF9">
            <w:pPr>
              <w:rPr>
                <w:sz w:val="20"/>
                <w:szCs w:val="20"/>
              </w:rPr>
            </w:pPr>
            <w:r w:rsidRPr="000900F3">
              <w:rPr>
                <w:sz w:val="20"/>
              </w:rPr>
              <w:t>[z ≥ 0,1 % m/m 4-heptilfenola, razvejanega in linearnega]</w:t>
            </w:r>
          </w:p>
        </w:tc>
        <w:tc>
          <w:tcPr>
            <w:tcW w:w="2680" w:type="dxa"/>
            <w:vAlign w:val="center"/>
          </w:tcPr>
          <w:p w14:paraId="1D2CFB63" w14:textId="3B133BDB" w:rsidR="00E93CF9" w:rsidRPr="000900F3" w:rsidRDefault="00E93CF9" w:rsidP="00E93CF9">
            <w:pPr>
              <w:pStyle w:val="ListParagraph"/>
              <w:ind w:hanging="845"/>
              <w:jc w:val="center"/>
              <w:rPr>
                <w:sz w:val="20"/>
                <w:szCs w:val="20"/>
              </w:rPr>
            </w:pPr>
            <w:r w:rsidRPr="000900F3">
              <w:rPr>
                <w:sz w:val="20"/>
              </w:rPr>
              <w:t>-</w:t>
            </w:r>
          </w:p>
        </w:tc>
        <w:tc>
          <w:tcPr>
            <w:tcW w:w="2676" w:type="dxa"/>
            <w:vAlign w:val="center"/>
          </w:tcPr>
          <w:p w14:paraId="0CCD755B" w14:textId="5C672518" w:rsidR="00E93CF9" w:rsidRPr="000900F3" w:rsidRDefault="00E93CF9" w:rsidP="00E93CF9">
            <w:pPr>
              <w:pStyle w:val="ListParagraph"/>
              <w:ind w:hanging="720"/>
              <w:jc w:val="center"/>
              <w:rPr>
                <w:sz w:val="20"/>
                <w:szCs w:val="20"/>
              </w:rPr>
            </w:pPr>
            <w:r w:rsidRPr="000900F3">
              <w:rPr>
                <w:sz w:val="20"/>
              </w:rPr>
              <w:t>-</w:t>
            </w:r>
          </w:p>
        </w:tc>
      </w:tr>
      <w:tr w:rsidR="00E93CF9" w:rsidRPr="000900F3" w14:paraId="02A73360" w14:textId="411BD450" w:rsidTr="00A95817">
        <w:tc>
          <w:tcPr>
            <w:tcW w:w="3449" w:type="dxa"/>
          </w:tcPr>
          <w:p w14:paraId="4665671F" w14:textId="15FFA47B" w:rsidR="00E93CF9" w:rsidRPr="000900F3" w:rsidRDefault="00E93CF9" w:rsidP="00E93CF9">
            <w:pPr>
              <w:rPr>
                <w:sz w:val="20"/>
                <w:szCs w:val="20"/>
              </w:rPr>
            </w:pPr>
            <w:r w:rsidRPr="000900F3">
              <w:rPr>
                <w:sz w:val="20"/>
              </w:rPr>
              <w:t>4-terc-pentilfenol (PTAP)</w:t>
            </w:r>
          </w:p>
        </w:tc>
        <w:tc>
          <w:tcPr>
            <w:tcW w:w="2680" w:type="dxa"/>
            <w:vAlign w:val="center"/>
          </w:tcPr>
          <w:p w14:paraId="71224A09" w14:textId="7C06FC95" w:rsidR="00E93CF9" w:rsidRPr="000900F3" w:rsidRDefault="00E93CF9" w:rsidP="00E93CF9">
            <w:pPr>
              <w:jc w:val="center"/>
              <w:rPr>
                <w:sz w:val="20"/>
                <w:szCs w:val="20"/>
              </w:rPr>
            </w:pPr>
            <w:r w:rsidRPr="000900F3">
              <w:rPr>
                <w:sz w:val="20"/>
              </w:rPr>
              <w:t>80-46-6</w:t>
            </w:r>
          </w:p>
        </w:tc>
        <w:tc>
          <w:tcPr>
            <w:tcW w:w="2676" w:type="dxa"/>
            <w:vAlign w:val="center"/>
          </w:tcPr>
          <w:p w14:paraId="63ACDA00" w14:textId="3314CB6D" w:rsidR="00E93CF9" w:rsidRPr="000900F3" w:rsidRDefault="00E93CF9" w:rsidP="00E93CF9">
            <w:pPr>
              <w:jc w:val="center"/>
              <w:rPr>
                <w:sz w:val="20"/>
                <w:szCs w:val="20"/>
              </w:rPr>
            </w:pPr>
            <w:r w:rsidRPr="000900F3">
              <w:rPr>
                <w:sz w:val="20"/>
              </w:rPr>
              <w:t>201-280-9</w:t>
            </w:r>
          </w:p>
        </w:tc>
      </w:tr>
      <w:tr w:rsidR="00E93CF9" w:rsidRPr="000900F3" w14:paraId="07FA3306" w14:textId="79342323" w:rsidTr="00A95817">
        <w:tc>
          <w:tcPr>
            <w:tcW w:w="3449" w:type="dxa"/>
            <w:vAlign w:val="center"/>
          </w:tcPr>
          <w:p w14:paraId="636A957B" w14:textId="0F92096D" w:rsidR="00E93CF9" w:rsidRPr="000900F3" w:rsidRDefault="00E93CF9" w:rsidP="00E93CF9">
            <w:pPr>
              <w:rPr>
                <w:sz w:val="20"/>
                <w:szCs w:val="20"/>
              </w:rPr>
            </w:pPr>
            <w:r w:rsidRPr="000900F3">
              <w:rPr>
                <w:sz w:val="20"/>
              </w:rPr>
              <w:t>Diizobutil ftalat (DIBP)</w:t>
            </w:r>
          </w:p>
        </w:tc>
        <w:tc>
          <w:tcPr>
            <w:tcW w:w="2680" w:type="dxa"/>
            <w:vAlign w:val="center"/>
          </w:tcPr>
          <w:p w14:paraId="668D3727" w14:textId="3FCCF2A2" w:rsidR="00E93CF9" w:rsidRPr="000900F3" w:rsidRDefault="00E93CF9" w:rsidP="00E93CF9">
            <w:pPr>
              <w:jc w:val="center"/>
              <w:rPr>
                <w:sz w:val="20"/>
                <w:szCs w:val="20"/>
              </w:rPr>
            </w:pPr>
            <w:r w:rsidRPr="000900F3">
              <w:rPr>
                <w:sz w:val="20"/>
              </w:rPr>
              <w:t>84-69-5</w:t>
            </w:r>
          </w:p>
        </w:tc>
        <w:tc>
          <w:tcPr>
            <w:tcW w:w="2676" w:type="dxa"/>
            <w:vAlign w:val="center"/>
          </w:tcPr>
          <w:p w14:paraId="6035008E" w14:textId="5AA54357" w:rsidR="00E93CF9" w:rsidRPr="000900F3" w:rsidRDefault="00E93CF9" w:rsidP="00E93CF9">
            <w:pPr>
              <w:jc w:val="center"/>
              <w:rPr>
                <w:sz w:val="20"/>
                <w:szCs w:val="20"/>
              </w:rPr>
            </w:pPr>
            <w:r w:rsidRPr="000900F3">
              <w:rPr>
                <w:sz w:val="20"/>
              </w:rPr>
              <w:t>201-553-2</w:t>
            </w:r>
          </w:p>
        </w:tc>
      </w:tr>
      <w:tr w:rsidR="00E93CF9" w:rsidRPr="000900F3" w14:paraId="425C7666" w14:textId="6C6337C0" w:rsidTr="00A95817">
        <w:tc>
          <w:tcPr>
            <w:tcW w:w="3449" w:type="dxa"/>
            <w:vAlign w:val="center"/>
          </w:tcPr>
          <w:p w14:paraId="2484315E" w14:textId="39C8F1D1" w:rsidR="00E93CF9" w:rsidRPr="000900F3" w:rsidRDefault="00E93CF9" w:rsidP="00E93CF9">
            <w:pPr>
              <w:rPr>
                <w:sz w:val="20"/>
                <w:szCs w:val="20"/>
              </w:rPr>
            </w:pPr>
            <w:r w:rsidRPr="000900F3">
              <w:rPr>
                <w:sz w:val="20"/>
              </w:rPr>
              <w:t>Dicikloheksil ftalat (DCHP)</w:t>
            </w:r>
          </w:p>
        </w:tc>
        <w:tc>
          <w:tcPr>
            <w:tcW w:w="2680" w:type="dxa"/>
            <w:vAlign w:val="center"/>
          </w:tcPr>
          <w:p w14:paraId="0BACDEA1" w14:textId="3485091E" w:rsidR="00E93CF9" w:rsidRPr="000900F3" w:rsidRDefault="00E93CF9" w:rsidP="00E93CF9">
            <w:pPr>
              <w:jc w:val="center"/>
              <w:rPr>
                <w:sz w:val="20"/>
                <w:szCs w:val="20"/>
              </w:rPr>
            </w:pPr>
            <w:r w:rsidRPr="000900F3">
              <w:rPr>
                <w:sz w:val="20"/>
              </w:rPr>
              <w:t>84-61-7</w:t>
            </w:r>
          </w:p>
        </w:tc>
        <w:tc>
          <w:tcPr>
            <w:tcW w:w="2676" w:type="dxa"/>
            <w:vAlign w:val="center"/>
          </w:tcPr>
          <w:p w14:paraId="355EBDBB" w14:textId="6EBB9CB0" w:rsidR="00E93CF9" w:rsidRPr="000900F3" w:rsidRDefault="00E93CF9" w:rsidP="00E93CF9">
            <w:pPr>
              <w:jc w:val="center"/>
              <w:rPr>
                <w:sz w:val="20"/>
                <w:szCs w:val="20"/>
              </w:rPr>
            </w:pPr>
            <w:r w:rsidRPr="000900F3">
              <w:rPr>
                <w:sz w:val="20"/>
              </w:rPr>
              <w:t>201-545-9</w:t>
            </w:r>
          </w:p>
        </w:tc>
      </w:tr>
      <w:tr w:rsidR="00E93CF9" w:rsidRPr="000900F3" w14:paraId="1EEDD8D3" w14:textId="0EA187E0" w:rsidTr="00A95817">
        <w:tc>
          <w:tcPr>
            <w:tcW w:w="3449" w:type="dxa"/>
            <w:vAlign w:val="center"/>
          </w:tcPr>
          <w:p w14:paraId="7036FC18" w14:textId="436DC02A" w:rsidR="00E93CF9" w:rsidRPr="000900F3" w:rsidRDefault="00E93CF9" w:rsidP="00E93CF9">
            <w:pPr>
              <w:rPr>
                <w:sz w:val="20"/>
                <w:szCs w:val="20"/>
              </w:rPr>
            </w:pPr>
            <w:r w:rsidRPr="000900F3">
              <w:rPr>
                <w:sz w:val="20"/>
              </w:rPr>
              <w:t>Dibutil ftalat (DBP)</w:t>
            </w:r>
          </w:p>
        </w:tc>
        <w:tc>
          <w:tcPr>
            <w:tcW w:w="2680" w:type="dxa"/>
            <w:vAlign w:val="center"/>
          </w:tcPr>
          <w:p w14:paraId="5A8AB5A7" w14:textId="2E76EF25" w:rsidR="00E93CF9" w:rsidRPr="000900F3" w:rsidRDefault="00E93CF9" w:rsidP="00E93CF9">
            <w:pPr>
              <w:jc w:val="center"/>
              <w:rPr>
                <w:sz w:val="20"/>
                <w:szCs w:val="20"/>
              </w:rPr>
            </w:pPr>
            <w:r w:rsidRPr="000900F3">
              <w:rPr>
                <w:sz w:val="20"/>
              </w:rPr>
              <w:t>84-74-2</w:t>
            </w:r>
          </w:p>
        </w:tc>
        <w:tc>
          <w:tcPr>
            <w:tcW w:w="2676" w:type="dxa"/>
            <w:vAlign w:val="center"/>
          </w:tcPr>
          <w:p w14:paraId="65E66727" w14:textId="23C124CD" w:rsidR="00E93CF9" w:rsidRPr="000900F3" w:rsidRDefault="00E93CF9" w:rsidP="00E93CF9">
            <w:pPr>
              <w:jc w:val="center"/>
              <w:rPr>
                <w:sz w:val="20"/>
                <w:szCs w:val="20"/>
              </w:rPr>
            </w:pPr>
            <w:r w:rsidRPr="000900F3">
              <w:rPr>
                <w:sz w:val="20"/>
              </w:rPr>
              <w:t>201-557-4</w:t>
            </w:r>
          </w:p>
        </w:tc>
      </w:tr>
      <w:tr w:rsidR="00E93CF9" w:rsidRPr="000900F3" w14:paraId="529DDB67" w14:textId="531027A5" w:rsidTr="00A95817">
        <w:tc>
          <w:tcPr>
            <w:tcW w:w="3449" w:type="dxa"/>
            <w:vAlign w:val="center"/>
          </w:tcPr>
          <w:p w14:paraId="25A3DAD7" w14:textId="6E54A57D" w:rsidR="00E93CF9" w:rsidRPr="000900F3" w:rsidRDefault="00E93CF9" w:rsidP="00E93CF9">
            <w:pPr>
              <w:rPr>
                <w:sz w:val="20"/>
                <w:szCs w:val="20"/>
              </w:rPr>
            </w:pPr>
            <w:r w:rsidRPr="000900F3">
              <w:rPr>
                <w:sz w:val="20"/>
              </w:rPr>
              <w:t xml:space="preserve">Holekalciferol </w:t>
            </w:r>
          </w:p>
        </w:tc>
        <w:tc>
          <w:tcPr>
            <w:tcW w:w="2680" w:type="dxa"/>
            <w:vAlign w:val="center"/>
          </w:tcPr>
          <w:p w14:paraId="22976ACA" w14:textId="43AD9574" w:rsidR="00E93CF9" w:rsidRPr="000900F3" w:rsidRDefault="00E93CF9" w:rsidP="00E93CF9">
            <w:pPr>
              <w:jc w:val="center"/>
              <w:rPr>
                <w:sz w:val="20"/>
                <w:szCs w:val="20"/>
              </w:rPr>
            </w:pPr>
            <w:r w:rsidRPr="000900F3">
              <w:rPr>
                <w:sz w:val="20"/>
              </w:rPr>
              <w:t>67-97-0</w:t>
            </w:r>
          </w:p>
        </w:tc>
        <w:tc>
          <w:tcPr>
            <w:tcW w:w="2676" w:type="dxa"/>
            <w:vAlign w:val="center"/>
          </w:tcPr>
          <w:p w14:paraId="2DCDD509" w14:textId="754B59D4" w:rsidR="00E93CF9" w:rsidRPr="000900F3" w:rsidRDefault="00E93CF9" w:rsidP="00E93CF9">
            <w:pPr>
              <w:jc w:val="center"/>
              <w:rPr>
                <w:sz w:val="20"/>
                <w:szCs w:val="20"/>
              </w:rPr>
            </w:pPr>
            <w:r w:rsidRPr="000900F3">
              <w:rPr>
                <w:sz w:val="20"/>
              </w:rPr>
              <w:t>200-673-2</w:t>
            </w:r>
          </w:p>
        </w:tc>
      </w:tr>
      <w:tr w:rsidR="00E93CF9" w:rsidRPr="000900F3" w14:paraId="5B54DEFF" w14:textId="77777777" w:rsidTr="00A95817">
        <w:tc>
          <w:tcPr>
            <w:tcW w:w="3449" w:type="dxa"/>
            <w:vAlign w:val="center"/>
          </w:tcPr>
          <w:p w14:paraId="159E6E20" w14:textId="462AB5BD" w:rsidR="00E93CF9" w:rsidRPr="000900F3" w:rsidRDefault="00E93CF9" w:rsidP="00E93CF9">
            <w:pPr>
              <w:rPr>
                <w:sz w:val="20"/>
                <w:szCs w:val="20"/>
              </w:rPr>
            </w:pPr>
            <w:r w:rsidRPr="000900F3">
              <w:rPr>
                <w:sz w:val="20"/>
              </w:rPr>
              <w:t>Butil 4-hidroksibenzoat</w:t>
            </w:r>
          </w:p>
        </w:tc>
        <w:tc>
          <w:tcPr>
            <w:tcW w:w="2680" w:type="dxa"/>
            <w:vAlign w:val="center"/>
          </w:tcPr>
          <w:p w14:paraId="79F3709A" w14:textId="66C22049" w:rsidR="00E93CF9" w:rsidRPr="000900F3" w:rsidRDefault="00E93CF9" w:rsidP="00E93CF9">
            <w:pPr>
              <w:jc w:val="center"/>
              <w:rPr>
                <w:sz w:val="20"/>
                <w:szCs w:val="20"/>
              </w:rPr>
            </w:pPr>
            <w:r w:rsidRPr="000900F3">
              <w:rPr>
                <w:sz w:val="20"/>
              </w:rPr>
              <w:t>94-26-8</w:t>
            </w:r>
          </w:p>
        </w:tc>
        <w:tc>
          <w:tcPr>
            <w:tcW w:w="2676" w:type="dxa"/>
            <w:vAlign w:val="center"/>
          </w:tcPr>
          <w:p w14:paraId="0B33BFE1" w14:textId="0243ABFA" w:rsidR="00E93CF9" w:rsidRPr="000900F3" w:rsidRDefault="00E93CF9" w:rsidP="00E93CF9">
            <w:pPr>
              <w:jc w:val="center"/>
              <w:rPr>
                <w:sz w:val="20"/>
                <w:szCs w:val="20"/>
              </w:rPr>
            </w:pPr>
            <w:r w:rsidRPr="000900F3">
              <w:rPr>
                <w:sz w:val="20"/>
              </w:rPr>
              <w:t>202-318-7</w:t>
            </w:r>
          </w:p>
        </w:tc>
      </w:tr>
      <w:tr w:rsidR="00E93CF9" w:rsidRPr="000900F3" w14:paraId="13C0F189" w14:textId="77777777" w:rsidTr="00A95817">
        <w:tc>
          <w:tcPr>
            <w:tcW w:w="3449" w:type="dxa"/>
            <w:vAlign w:val="center"/>
          </w:tcPr>
          <w:p w14:paraId="0C63F40B" w14:textId="3A5C7A89" w:rsidR="00E93CF9" w:rsidRPr="000900F3" w:rsidRDefault="00E93CF9" w:rsidP="00E93CF9">
            <w:pPr>
              <w:rPr>
                <w:sz w:val="20"/>
                <w:szCs w:val="20"/>
              </w:rPr>
            </w:pPr>
            <w:r w:rsidRPr="000900F3">
              <w:rPr>
                <w:sz w:val="20"/>
              </w:rPr>
              <w:t>4,4’-izopropilidendifenol (bisfenol A)</w:t>
            </w:r>
          </w:p>
        </w:tc>
        <w:tc>
          <w:tcPr>
            <w:tcW w:w="2680" w:type="dxa"/>
            <w:vAlign w:val="center"/>
          </w:tcPr>
          <w:p w14:paraId="7195F839" w14:textId="405D7D8A" w:rsidR="00E93CF9" w:rsidRPr="000900F3" w:rsidRDefault="00E93CF9" w:rsidP="00E93CF9">
            <w:pPr>
              <w:jc w:val="center"/>
              <w:rPr>
                <w:sz w:val="20"/>
                <w:szCs w:val="20"/>
              </w:rPr>
            </w:pPr>
            <w:r w:rsidRPr="000900F3">
              <w:rPr>
                <w:sz w:val="20"/>
              </w:rPr>
              <w:t>80-05-7</w:t>
            </w:r>
          </w:p>
        </w:tc>
        <w:tc>
          <w:tcPr>
            <w:tcW w:w="2676" w:type="dxa"/>
            <w:vAlign w:val="center"/>
          </w:tcPr>
          <w:p w14:paraId="2160A5AF" w14:textId="5DA5FBFC" w:rsidR="00E93CF9" w:rsidRPr="000900F3" w:rsidRDefault="00E93CF9" w:rsidP="00E93CF9">
            <w:pPr>
              <w:jc w:val="center"/>
              <w:rPr>
                <w:sz w:val="20"/>
                <w:szCs w:val="20"/>
              </w:rPr>
            </w:pPr>
            <w:r w:rsidRPr="000900F3">
              <w:rPr>
                <w:sz w:val="20"/>
              </w:rPr>
              <w:t>201-245-8</w:t>
            </w:r>
          </w:p>
        </w:tc>
      </w:tr>
      <w:tr w:rsidR="00E93CF9" w:rsidRPr="000900F3" w14:paraId="270E6B64" w14:textId="77777777" w:rsidTr="00A95817">
        <w:tc>
          <w:tcPr>
            <w:tcW w:w="3449" w:type="dxa"/>
            <w:vAlign w:val="center"/>
          </w:tcPr>
          <w:p w14:paraId="4F5992E0" w14:textId="242606A2" w:rsidR="00E93CF9" w:rsidRPr="000900F3" w:rsidRDefault="00E93CF9" w:rsidP="00E93CF9">
            <w:pPr>
              <w:rPr>
                <w:sz w:val="20"/>
                <w:szCs w:val="20"/>
              </w:rPr>
            </w:pPr>
            <w:r w:rsidRPr="000900F3">
              <w:rPr>
                <w:sz w:val="20"/>
              </w:rPr>
              <w:t>Bis(2-etilheksil) ftalat (DEHP)</w:t>
            </w:r>
          </w:p>
        </w:tc>
        <w:tc>
          <w:tcPr>
            <w:tcW w:w="2680" w:type="dxa"/>
            <w:vAlign w:val="center"/>
          </w:tcPr>
          <w:p w14:paraId="3A6479C9" w14:textId="43C0DF1E" w:rsidR="00E93CF9" w:rsidRPr="000900F3" w:rsidRDefault="00E93CF9" w:rsidP="00E93CF9">
            <w:pPr>
              <w:jc w:val="center"/>
              <w:rPr>
                <w:sz w:val="20"/>
                <w:szCs w:val="20"/>
              </w:rPr>
            </w:pPr>
            <w:r w:rsidRPr="000900F3">
              <w:rPr>
                <w:sz w:val="20"/>
              </w:rPr>
              <w:t>117-81-7</w:t>
            </w:r>
          </w:p>
        </w:tc>
        <w:tc>
          <w:tcPr>
            <w:tcW w:w="2676" w:type="dxa"/>
            <w:vAlign w:val="center"/>
          </w:tcPr>
          <w:p w14:paraId="3BA0E8C4" w14:textId="0AE4C2CB" w:rsidR="00E93CF9" w:rsidRPr="000900F3" w:rsidRDefault="00E93CF9" w:rsidP="00E93CF9">
            <w:pPr>
              <w:jc w:val="center"/>
              <w:rPr>
                <w:sz w:val="20"/>
                <w:szCs w:val="20"/>
              </w:rPr>
            </w:pPr>
            <w:r w:rsidRPr="000900F3">
              <w:rPr>
                <w:sz w:val="20"/>
              </w:rPr>
              <w:t>204-211-0</w:t>
            </w:r>
          </w:p>
        </w:tc>
      </w:tr>
      <w:tr w:rsidR="00E93CF9" w:rsidRPr="000900F3" w14:paraId="6797E19F" w14:textId="77777777" w:rsidTr="00A95817">
        <w:tc>
          <w:tcPr>
            <w:tcW w:w="3449" w:type="dxa"/>
            <w:vAlign w:val="center"/>
          </w:tcPr>
          <w:p w14:paraId="29DBA1BA" w14:textId="60CD7756" w:rsidR="00E93CF9" w:rsidRPr="000900F3" w:rsidRDefault="00E93CF9" w:rsidP="00E93CF9">
            <w:pPr>
              <w:rPr>
                <w:sz w:val="20"/>
                <w:szCs w:val="20"/>
              </w:rPr>
            </w:pPr>
            <w:r w:rsidRPr="000900F3">
              <w:rPr>
                <w:sz w:val="20"/>
              </w:rPr>
              <w:t>Benzil butil ftalat (BBP)</w:t>
            </w:r>
          </w:p>
        </w:tc>
        <w:tc>
          <w:tcPr>
            <w:tcW w:w="2680" w:type="dxa"/>
            <w:vAlign w:val="center"/>
          </w:tcPr>
          <w:p w14:paraId="69D82BEB" w14:textId="593C634E" w:rsidR="00E93CF9" w:rsidRPr="000900F3" w:rsidRDefault="00E93CF9" w:rsidP="00E93CF9">
            <w:pPr>
              <w:jc w:val="center"/>
              <w:rPr>
                <w:sz w:val="20"/>
                <w:szCs w:val="20"/>
              </w:rPr>
            </w:pPr>
            <w:r w:rsidRPr="000900F3">
              <w:rPr>
                <w:sz w:val="20"/>
              </w:rPr>
              <w:t>85-68-7</w:t>
            </w:r>
          </w:p>
        </w:tc>
        <w:tc>
          <w:tcPr>
            <w:tcW w:w="2676" w:type="dxa"/>
            <w:vAlign w:val="center"/>
          </w:tcPr>
          <w:p w14:paraId="2519BDED" w14:textId="7CBA8644" w:rsidR="00E93CF9" w:rsidRPr="000900F3" w:rsidRDefault="00E93CF9" w:rsidP="00E93CF9">
            <w:pPr>
              <w:jc w:val="center"/>
              <w:rPr>
                <w:sz w:val="20"/>
                <w:szCs w:val="20"/>
              </w:rPr>
            </w:pPr>
            <w:r w:rsidRPr="000900F3">
              <w:rPr>
                <w:sz w:val="20"/>
              </w:rPr>
              <w:t>201-622-7</w:t>
            </w:r>
          </w:p>
        </w:tc>
      </w:tr>
      <w:tr w:rsidR="00E93CF9" w:rsidRPr="000900F3" w14:paraId="20DA067C" w14:textId="77777777" w:rsidTr="00A95817">
        <w:tc>
          <w:tcPr>
            <w:tcW w:w="3449" w:type="dxa"/>
            <w:vAlign w:val="center"/>
          </w:tcPr>
          <w:p w14:paraId="5FD4C2D6" w14:textId="44B73653" w:rsidR="00E93CF9" w:rsidRPr="000900F3" w:rsidRDefault="00E93CF9" w:rsidP="00E93CF9">
            <w:pPr>
              <w:rPr>
                <w:sz w:val="20"/>
                <w:szCs w:val="20"/>
              </w:rPr>
            </w:pPr>
            <w:r w:rsidRPr="000900F3">
              <w:rPr>
                <w:sz w:val="20"/>
              </w:rPr>
              <w:t>4-terc-butilfenol</w:t>
            </w:r>
          </w:p>
        </w:tc>
        <w:tc>
          <w:tcPr>
            <w:tcW w:w="2680" w:type="dxa"/>
            <w:vAlign w:val="center"/>
          </w:tcPr>
          <w:p w14:paraId="00437B17" w14:textId="1ABDE43A" w:rsidR="00E93CF9" w:rsidRPr="000900F3" w:rsidRDefault="00E93CF9" w:rsidP="00E93CF9">
            <w:pPr>
              <w:jc w:val="center"/>
              <w:rPr>
                <w:sz w:val="20"/>
                <w:szCs w:val="20"/>
              </w:rPr>
            </w:pPr>
            <w:r w:rsidRPr="000900F3">
              <w:rPr>
                <w:sz w:val="20"/>
              </w:rPr>
              <w:t>98-54-4</w:t>
            </w:r>
          </w:p>
        </w:tc>
        <w:tc>
          <w:tcPr>
            <w:tcW w:w="2676" w:type="dxa"/>
            <w:vAlign w:val="center"/>
          </w:tcPr>
          <w:p w14:paraId="37D5D1AF" w14:textId="01E952ED" w:rsidR="00E93CF9" w:rsidRPr="000900F3" w:rsidRDefault="00E93CF9" w:rsidP="00E93CF9">
            <w:pPr>
              <w:jc w:val="center"/>
              <w:rPr>
                <w:sz w:val="20"/>
                <w:szCs w:val="20"/>
              </w:rPr>
            </w:pPr>
            <w:r w:rsidRPr="000900F3">
              <w:rPr>
                <w:sz w:val="20"/>
              </w:rPr>
              <w:t>202-679-0</w:t>
            </w:r>
          </w:p>
        </w:tc>
      </w:tr>
      <w:tr w:rsidR="00E93CF9" w:rsidRPr="000900F3" w14:paraId="5CD11AC7" w14:textId="77777777" w:rsidTr="00A95817">
        <w:tc>
          <w:tcPr>
            <w:tcW w:w="3449" w:type="dxa"/>
            <w:vAlign w:val="center"/>
          </w:tcPr>
          <w:p w14:paraId="595A2B78" w14:textId="338FB50F" w:rsidR="00E93CF9" w:rsidRPr="000900F3" w:rsidRDefault="00E93CF9" w:rsidP="00E93CF9">
            <w:pPr>
              <w:rPr>
                <w:sz w:val="20"/>
                <w:szCs w:val="20"/>
              </w:rPr>
            </w:pPr>
            <w:r w:rsidRPr="000900F3">
              <w:rPr>
                <w:sz w:val="20"/>
              </w:rPr>
              <w:t>4-nonilfenol etoksilat, razvejan in linearen, [snovi z linearno in/ali razvejano alkilno verigo, z 9 kovalentno vezanimi ogljikovimi atomi v fenolnem položaju 4, etoksilirane, ki zajemajo snovi UVCB in natančno opredeljene snovi, polimere in homologe, ki vključujejo vse posamezne izomere in/ali njihove kombinacije]</w:t>
            </w:r>
          </w:p>
        </w:tc>
        <w:tc>
          <w:tcPr>
            <w:tcW w:w="2680" w:type="dxa"/>
            <w:vAlign w:val="center"/>
          </w:tcPr>
          <w:p w14:paraId="73427E3F" w14:textId="4AAC527B" w:rsidR="00E93CF9" w:rsidRPr="000900F3" w:rsidRDefault="00E93CF9" w:rsidP="00E93CF9">
            <w:pPr>
              <w:jc w:val="center"/>
              <w:rPr>
                <w:sz w:val="20"/>
                <w:szCs w:val="20"/>
              </w:rPr>
            </w:pPr>
            <w:r w:rsidRPr="000900F3">
              <w:rPr>
                <w:sz w:val="20"/>
              </w:rPr>
              <w:t>-</w:t>
            </w:r>
          </w:p>
        </w:tc>
        <w:tc>
          <w:tcPr>
            <w:tcW w:w="2676" w:type="dxa"/>
            <w:vAlign w:val="center"/>
          </w:tcPr>
          <w:p w14:paraId="58F2270E" w14:textId="4C2D10BD" w:rsidR="00E93CF9" w:rsidRPr="000900F3" w:rsidRDefault="00E93CF9" w:rsidP="00E93CF9">
            <w:pPr>
              <w:jc w:val="center"/>
              <w:rPr>
                <w:sz w:val="20"/>
                <w:szCs w:val="20"/>
              </w:rPr>
            </w:pPr>
            <w:r w:rsidRPr="000900F3">
              <w:rPr>
                <w:sz w:val="20"/>
              </w:rPr>
              <w:t>-</w:t>
            </w:r>
          </w:p>
        </w:tc>
      </w:tr>
      <w:tr w:rsidR="00E93CF9" w:rsidRPr="000900F3" w14:paraId="0EE8A2D2" w14:textId="77777777" w:rsidTr="00A95817">
        <w:tc>
          <w:tcPr>
            <w:tcW w:w="3449" w:type="dxa"/>
            <w:vAlign w:val="center"/>
          </w:tcPr>
          <w:p w14:paraId="6ADB878B" w14:textId="3E37E507" w:rsidR="00E93CF9" w:rsidRPr="000900F3" w:rsidRDefault="00E93CF9" w:rsidP="00E93CF9">
            <w:pPr>
              <w:rPr>
                <w:sz w:val="20"/>
                <w:szCs w:val="20"/>
              </w:rPr>
            </w:pPr>
            <w:r w:rsidRPr="000900F3">
              <w:rPr>
                <w:sz w:val="20"/>
              </w:rPr>
              <w:t>4-nonilfenol, razvejan in linearen [snovi z linearno in/ali razvejano alkilno verigo, z 9 kovalentno vezanimi ogljikovimi atomi v položaju fenola 4, etoksilirane, ki zajemajo snovi UVCB in natančno opredeljene snovi, polimere in homologe, ki vključujejo vse posamezne izomere in/ali njihove kombinacije]</w:t>
            </w:r>
          </w:p>
        </w:tc>
        <w:tc>
          <w:tcPr>
            <w:tcW w:w="2680" w:type="dxa"/>
            <w:vAlign w:val="center"/>
          </w:tcPr>
          <w:p w14:paraId="02EBD6A3" w14:textId="5BDF1D2B" w:rsidR="00E93CF9" w:rsidRPr="000900F3" w:rsidRDefault="00E93CF9" w:rsidP="00E93CF9">
            <w:pPr>
              <w:jc w:val="center"/>
              <w:rPr>
                <w:sz w:val="20"/>
                <w:szCs w:val="20"/>
              </w:rPr>
            </w:pPr>
            <w:r w:rsidRPr="000900F3">
              <w:rPr>
                <w:sz w:val="20"/>
              </w:rPr>
              <w:t>-</w:t>
            </w:r>
          </w:p>
        </w:tc>
        <w:tc>
          <w:tcPr>
            <w:tcW w:w="2676" w:type="dxa"/>
            <w:vAlign w:val="center"/>
          </w:tcPr>
          <w:p w14:paraId="2C95EE6D" w14:textId="77E800D8" w:rsidR="00E93CF9" w:rsidRPr="000900F3" w:rsidRDefault="00E93CF9" w:rsidP="00E93CF9">
            <w:pPr>
              <w:jc w:val="center"/>
              <w:rPr>
                <w:sz w:val="20"/>
                <w:szCs w:val="20"/>
              </w:rPr>
            </w:pPr>
            <w:r w:rsidRPr="000900F3">
              <w:rPr>
                <w:sz w:val="20"/>
              </w:rPr>
              <w:t>-</w:t>
            </w:r>
          </w:p>
        </w:tc>
      </w:tr>
      <w:tr w:rsidR="00E93CF9" w:rsidRPr="000900F3" w14:paraId="34ADB2EA" w14:textId="77777777" w:rsidTr="00A95817">
        <w:tc>
          <w:tcPr>
            <w:tcW w:w="3449" w:type="dxa"/>
            <w:vAlign w:val="center"/>
          </w:tcPr>
          <w:p w14:paraId="186E43BD" w14:textId="72C542A3" w:rsidR="00E93CF9" w:rsidRPr="000900F3" w:rsidRDefault="00E93CF9" w:rsidP="00E93CF9">
            <w:pPr>
              <w:rPr>
                <w:sz w:val="20"/>
                <w:szCs w:val="20"/>
              </w:rPr>
            </w:pPr>
            <w:r w:rsidRPr="000900F3">
              <w:rPr>
                <w:sz w:val="20"/>
              </w:rPr>
              <w:t>4-heptilfenol, razvejan in linearen (4-HPBL)</w:t>
            </w:r>
          </w:p>
        </w:tc>
        <w:tc>
          <w:tcPr>
            <w:tcW w:w="2680" w:type="dxa"/>
            <w:vAlign w:val="center"/>
          </w:tcPr>
          <w:p w14:paraId="592958A4" w14:textId="65A8302B" w:rsidR="00E93CF9" w:rsidRPr="000900F3" w:rsidRDefault="00E93CF9" w:rsidP="00E93CF9">
            <w:pPr>
              <w:jc w:val="center"/>
              <w:rPr>
                <w:sz w:val="20"/>
                <w:szCs w:val="20"/>
              </w:rPr>
            </w:pPr>
            <w:r w:rsidRPr="000900F3">
              <w:rPr>
                <w:sz w:val="20"/>
              </w:rPr>
              <w:t>-</w:t>
            </w:r>
          </w:p>
        </w:tc>
        <w:tc>
          <w:tcPr>
            <w:tcW w:w="2676" w:type="dxa"/>
            <w:vAlign w:val="center"/>
          </w:tcPr>
          <w:p w14:paraId="223A6126" w14:textId="1A7544AC" w:rsidR="00E93CF9" w:rsidRPr="000900F3" w:rsidRDefault="00E93CF9" w:rsidP="00E93CF9">
            <w:pPr>
              <w:jc w:val="center"/>
              <w:rPr>
                <w:sz w:val="20"/>
                <w:szCs w:val="20"/>
              </w:rPr>
            </w:pPr>
            <w:r w:rsidRPr="000900F3">
              <w:rPr>
                <w:sz w:val="20"/>
              </w:rPr>
              <w:t>-</w:t>
            </w:r>
          </w:p>
        </w:tc>
      </w:tr>
      <w:tr w:rsidR="00E93CF9" w:rsidRPr="000900F3" w14:paraId="59E6D907" w14:textId="4C7289EB" w:rsidTr="00A95817">
        <w:tc>
          <w:tcPr>
            <w:tcW w:w="3449" w:type="dxa"/>
            <w:vAlign w:val="center"/>
          </w:tcPr>
          <w:p w14:paraId="13239AED" w14:textId="393D7566" w:rsidR="00E93CF9" w:rsidRPr="000900F3" w:rsidRDefault="00E93CF9" w:rsidP="00E93CF9">
            <w:pPr>
              <w:rPr>
                <w:sz w:val="20"/>
                <w:szCs w:val="20"/>
                <w:highlight w:val="yellow"/>
              </w:rPr>
            </w:pPr>
            <w:r w:rsidRPr="000900F3">
              <w:rPr>
                <w:sz w:val="20"/>
              </w:rPr>
              <w:t>4-(1,1,3,3-tetrametilbutil)fenol, etoksiliran – zajema natančno opredeljene snovi in UVCB, polimere in homologne snovi</w:t>
            </w:r>
          </w:p>
        </w:tc>
        <w:tc>
          <w:tcPr>
            <w:tcW w:w="2680" w:type="dxa"/>
            <w:vAlign w:val="center"/>
          </w:tcPr>
          <w:p w14:paraId="57FB2C7F" w14:textId="07B40523" w:rsidR="00E93CF9" w:rsidRPr="000900F3" w:rsidRDefault="00E93CF9" w:rsidP="00E93CF9">
            <w:pPr>
              <w:jc w:val="center"/>
              <w:rPr>
                <w:sz w:val="20"/>
                <w:szCs w:val="20"/>
              </w:rPr>
            </w:pPr>
            <w:r w:rsidRPr="000900F3">
              <w:rPr>
                <w:sz w:val="20"/>
              </w:rPr>
              <w:t>-</w:t>
            </w:r>
          </w:p>
        </w:tc>
        <w:tc>
          <w:tcPr>
            <w:tcW w:w="2676" w:type="dxa"/>
            <w:vAlign w:val="center"/>
          </w:tcPr>
          <w:p w14:paraId="6121D96E" w14:textId="1FD84B09" w:rsidR="00E93CF9" w:rsidRPr="000900F3" w:rsidRDefault="00E93CF9" w:rsidP="00E93CF9">
            <w:pPr>
              <w:jc w:val="center"/>
              <w:rPr>
                <w:sz w:val="20"/>
                <w:szCs w:val="20"/>
              </w:rPr>
            </w:pPr>
            <w:r w:rsidRPr="000900F3">
              <w:rPr>
                <w:sz w:val="20"/>
              </w:rPr>
              <w:t>-</w:t>
            </w:r>
          </w:p>
        </w:tc>
      </w:tr>
      <w:tr w:rsidR="00E93CF9" w:rsidRPr="000900F3" w14:paraId="56B0AACE" w14:textId="77777777" w:rsidTr="00A95817">
        <w:tc>
          <w:tcPr>
            <w:tcW w:w="3449" w:type="dxa"/>
            <w:vAlign w:val="center"/>
          </w:tcPr>
          <w:p w14:paraId="290681DC" w14:textId="74C36D90" w:rsidR="00E93CF9" w:rsidRPr="000900F3" w:rsidRDefault="00E93CF9" w:rsidP="00E93CF9">
            <w:pPr>
              <w:rPr>
                <w:sz w:val="20"/>
                <w:szCs w:val="20"/>
                <w:highlight w:val="yellow"/>
              </w:rPr>
            </w:pPr>
            <w:r w:rsidRPr="000900F3">
              <w:rPr>
                <w:sz w:val="20"/>
              </w:rPr>
              <w:t>4-(1,1,3,3-tetrametilbutil)fenol</w:t>
            </w:r>
          </w:p>
        </w:tc>
        <w:tc>
          <w:tcPr>
            <w:tcW w:w="2680" w:type="dxa"/>
            <w:vAlign w:val="center"/>
          </w:tcPr>
          <w:p w14:paraId="79B08B3E" w14:textId="6F1EF702" w:rsidR="00E93CF9" w:rsidRPr="000900F3" w:rsidRDefault="00E93CF9" w:rsidP="00E93CF9">
            <w:pPr>
              <w:jc w:val="center"/>
              <w:rPr>
                <w:sz w:val="20"/>
                <w:szCs w:val="20"/>
              </w:rPr>
            </w:pPr>
            <w:r w:rsidRPr="000900F3">
              <w:rPr>
                <w:sz w:val="20"/>
              </w:rPr>
              <w:t>140-66-9</w:t>
            </w:r>
          </w:p>
        </w:tc>
        <w:tc>
          <w:tcPr>
            <w:tcW w:w="2676" w:type="dxa"/>
            <w:vAlign w:val="center"/>
          </w:tcPr>
          <w:p w14:paraId="04DABDD1" w14:textId="11F6E851" w:rsidR="00E93CF9" w:rsidRPr="000900F3" w:rsidRDefault="00E93CF9" w:rsidP="00E93CF9">
            <w:pPr>
              <w:jc w:val="center"/>
              <w:rPr>
                <w:sz w:val="20"/>
                <w:szCs w:val="20"/>
              </w:rPr>
            </w:pPr>
            <w:r w:rsidRPr="000900F3">
              <w:rPr>
                <w:sz w:val="20"/>
              </w:rPr>
              <w:t>205-426-2</w:t>
            </w:r>
          </w:p>
        </w:tc>
      </w:tr>
      <w:tr w:rsidR="00E93CF9" w:rsidRPr="000900F3" w14:paraId="51B46484" w14:textId="77777777" w:rsidTr="00A95817">
        <w:tc>
          <w:tcPr>
            <w:tcW w:w="3449" w:type="dxa"/>
          </w:tcPr>
          <w:p w14:paraId="7C0A8C8B" w14:textId="4716FABC" w:rsidR="00E93CF9" w:rsidRPr="000900F3" w:rsidRDefault="00E93CF9" w:rsidP="00E93CF9">
            <w:pPr>
              <w:rPr>
                <w:sz w:val="20"/>
                <w:szCs w:val="20"/>
              </w:rPr>
            </w:pPr>
            <w:r w:rsidRPr="000900F3">
              <w:rPr>
                <w:sz w:val="20"/>
              </w:rPr>
              <w:lastRenderedPageBreak/>
              <w:t>1,7,7-trimetil-3-(fenilmetilen)biciklo[2.2.1]heptan-2-on (3-benziliden kafra)</w:t>
            </w:r>
          </w:p>
        </w:tc>
        <w:tc>
          <w:tcPr>
            <w:tcW w:w="2680" w:type="dxa"/>
            <w:vAlign w:val="center"/>
          </w:tcPr>
          <w:p w14:paraId="3BBEB1D3" w14:textId="483B14B6" w:rsidR="00E93CF9" w:rsidRPr="000900F3" w:rsidRDefault="00E93CF9" w:rsidP="00E93CF9">
            <w:pPr>
              <w:jc w:val="center"/>
              <w:rPr>
                <w:sz w:val="20"/>
                <w:szCs w:val="20"/>
              </w:rPr>
            </w:pPr>
            <w:r w:rsidRPr="000900F3">
              <w:rPr>
                <w:sz w:val="20"/>
              </w:rPr>
              <w:t>15087-24-8</w:t>
            </w:r>
          </w:p>
        </w:tc>
        <w:tc>
          <w:tcPr>
            <w:tcW w:w="2676" w:type="dxa"/>
            <w:vAlign w:val="center"/>
          </w:tcPr>
          <w:p w14:paraId="1DB8B2E9" w14:textId="1D96672E" w:rsidR="00E93CF9" w:rsidRPr="000900F3" w:rsidRDefault="00E93CF9" w:rsidP="00E93CF9">
            <w:pPr>
              <w:jc w:val="center"/>
              <w:rPr>
                <w:sz w:val="20"/>
                <w:szCs w:val="20"/>
              </w:rPr>
            </w:pPr>
            <w:r w:rsidRPr="000900F3">
              <w:rPr>
                <w:sz w:val="20"/>
              </w:rPr>
              <w:t>239-139-9</w:t>
            </w:r>
          </w:p>
        </w:tc>
      </w:tr>
    </w:tbl>
    <w:p w14:paraId="3F2D113E" w14:textId="77777777" w:rsidR="00F92FDA" w:rsidRPr="000900F3" w:rsidRDefault="00F92FDA" w:rsidP="009934B3">
      <w:pPr>
        <w:ind w:left="539"/>
      </w:pPr>
    </w:p>
    <w:p w14:paraId="39CDB39E" w14:textId="77777777" w:rsidR="00F92FDA" w:rsidRPr="000900F3" w:rsidRDefault="00F92FDA" w:rsidP="009934B3">
      <w:pPr>
        <w:ind w:left="539"/>
      </w:pPr>
    </w:p>
    <w:p w14:paraId="638D44C7" w14:textId="4FA76721" w:rsidR="0091346D" w:rsidRPr="000900F3" w:rsidRDefault="0091346D" w:rsidP="00F92FDA">
      <w:pPr>
        <w:ind w:left="539"/>
        <w:jc w:val="both"/>
        <w:rPr>
          <w:kern w:val="3"/>
        </w:rPr>
      </w:pPr>
      <w:r w:rsidRPr="000900F3">
        <w:t>RAZPREDELNICA B: Seznam snovi, pri katerih obstaja sum na lastnosti endokrinih motilcev iz oddelka II člena L. 5232–5 Zakonika o javnem zdravju</w:t>
      </w:r>
    </w:p>
    <w:p w14:paraId="642C4104" w14:textId="594CDADD" w:rsidR="0091346D" w:rsidRPr="000900F3"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0900F3" w14:paraId="7B8CE649" w14:textId="77777777" w:rsidTr="00540F9C">
        <w:tc>
          <w:tcPr>
            <w:tcW w:w="3449" w:type="dxa"/>
          </w:tcPr>
          <w:p w14:paraId="54F334A4" w14:textId="77777777" w:rsidR="00840BD7" w:rsidRPr="000900F3" w:rsidRDefault="00840BD7" w:rsidP="00540F9C">
            <w:pPr>
              <w:jc w:val="center"/>
              <w:rPr>
                <w:b/>
                <w:sz w:val="20"/>
                <w:szCs w:val="20"/>
              </w:rPr>
            </w:pPr>
            <w:r w:rsidRPr="000900F3">
              <w:rPr>
                <w:b/>
                <w:sz w:val="20"/>
              </w:rPr>
              <w:t>Ime snovi</w:t>
            </w:r>
          </w:p>
        </w:tc>
        <w:tc>
          <w:tcPr>
            <w:tcW w:w="2680" w:type="dxa"/>
          </w:tcPr>
          <w:p w14:paraId="11374AFA" w14:textId="77777777" w:rsidR="00840BD7" w:rsidRPr="000900F3" w:rsidRDefault="00840BD7" w:rsidP="00540F9C">
            <w:pPr>
              <w:jc w:val="center"/>
              <w:rPr>
                <w:b/>
                <w:sz w:val="20"/>
                <w:szCs w:val="20"/>
              </w:rPr>
            </w:pPr>
            <w:r w:rsidRPr="000900F3">
              <w:rPr>
                <w:b/>
                <w:sz w:val="20"/>
              </w:rPr>
              <w:t>Številka CAS</w:t>
            </w:r>
          </w:p>
        </w:tc>
        <w:tc>
          <w:tcPr>
            <w:tcW w:w="2676" w:type="dxa"/>
          </w:tcPr>
          <w:p w14:paraId="114412AB" w14:textId="77777777" w:rsidR="00840BD7" w:rsidRPr="000900F3" w:rsidRDefault="00840BD7" w:rsidP="00540F9C">
            <w:pPr>
              <w:jc w:val="center"/>
              <w:rPr>
                <w:b/>
                <w:sz w:val="20"/>
                <w:szCs w:val="20"/>
              </w:rPr>
            </w:pPr>
            <w:r w:rsidRPr="000900F3">
              <w:rPr>
                <w:b/>
                <w:sz w:val="20"/>
              </w:rPr>
              <w:t>Številka CE</w:t>
            </w:r>
          </w:p>
        </w:tc>
      </w:tr>
      <w:tr w:rsidR="00840BD7" w:rsidRPr="000900F3" w14:paraId="564772EC" w14:textId="77777777" w:rsidTr="00540F9C">
        <w:tc>
          <w:tcPr>
            <w:tcW w:w="3449" w:type="dxa"/>
          </w:tcPr>
          <w:p w14:paraId="608C3231" w14:textId="0E10BA61" w:rsidR="00840BD7" w:rsidRPr="000900F3" w:rsidRDefault="00840BD7" w:rsidP="00540F9C">
            <w:pPr>
              <w:jc w:val="center"/>
              <w:rPr>
                <w:b/>
                <w:sz w:val="20"/>
                <w:szCs w:val="20"/>
              </w:rPr>
            </w:pPr>
            <w:r w:rsidRPr="000900F3">
              <w:rPr>
                <w:b/>
                <w:sz w:val="20"/>
              </w:rPr>
              <w:t>-</w:t>
            </w:r>
          </w:p>
        </w:tc>
        <w:tc>
          <w:tcPr>
            <w:tcW w:w="2680" w:type="dxa"/>
          </w:tcPr>
          <w:p w14:paraId="7D6E6933" w14:textId="32CACB45" w:rsidR="00840BD7" w:rsidRPr="000900F3" w:rsidRDefault="00840BD7" w:rsidP="00540F9C">
            <w:pPr>
              <w:jc w:val="center"/>
              <w:rPr>
                <w:b/>
                <w:sz w:val="20"/>
                <w:szCs w:val="20"/>
              </w:rPr>
            </w:pPr>
            <w:r w:rsidRPr="000900F3">
              <w:rPr>
                <w:b/>
                <w:sz w:val="20"/>
              </w:rPr>
              <w:t>-</w:t>
            </w:r>
          </w:p>
        </w:tc>
        <w:tc>
          <w:tcPr>
            <w:tcW w:w="2676" w:type="dxa"/>
          </w:tcPr>
          <w:p w14:paraId="0FC6BCD8" w14:textId="28E4DA1A" w:rsidR="00840BD7" w:rsidRPr="000900F3" w:rsidRDefault="00840BD7" w:rsidP="00540F9C">
            <w:pPr>
              <w:jc w:val="center"/>
              <w:rPr>
                <w:b/>
                <w:sz w:val="20"/>
                <w:szCs w:val="20"/>
              </w:rPr>
            </w:pPr>
            <w:r w:rsidRPr="000900F3">
              <w:rPr>
                <w:b/>
                <w:sz w:val="20"/>
              </w:rPr>
              <w:t>-</w:t>
            </w:r>
          </w:p>
        </w:tc>
      </w:tr>
    </w:tbl>
    <w:p w14:paraId="74753E47" w14:textId="50E31C82" w:rsidR="00840BD7" w:rsidRPr="000900F3" w:rsidRDefault="00840BD7" w:rsidP="00F92FDA">
      <w:pPr>
        <w:ind w:left="539"/>
        <w:jc w:val="both"/>
        <w:rPr>
          <w:kern w:val="3"/>
        </w:rPr>
      </w:pPr>
    </w:p>
    <w:p w14:paraId="32D03191" w14:textId="780A5C7E" w:rsidR="0091346D" w:rsidRPr="000900F3" w:rsidRDefault="0091346D" w:rsidP="00F92FDA">
      <w:pPr>
        <w:ind w:left="539"/>
        <w:jc w:val="both"/>
        <w:rPr>
          <w:kern w:val="3"/>
        </w:rPr>
      </w:pPr>
    </w:p>
    <w:p w14:paraId="3907DAEA" w14:textId="004EC57B" w:rsidR="0091346D" w:rsidRPr="000900F3" w:rsidRDefault="0091346D" w:rsidP="00F92FDA">
      <w:pPr>
        <w:ind w:left="539"/>
        <w:jc w:val="both"/>
        <w:rPr>
          <w:kern w:val="3"/>
        </w:rPr>
      </w:pPr>
      <w:r w:rsidRPr="000900F3">
        <w:t>Prilogo II: Seznam kategorij proizvodov, ki predstavljajo posebno tveganje izpostavljenosti iz oddelka II člena L. 5232–5 Zakonika o javnem zdravju</w:t>
      </w:r>
    </w:p>
    <w:p w14:paraId="68FABC73" w14:textId="761C6D87" w:rsidR="0091346D" w:rsidRPr="000900F3" w:rsidRDefault="0091346D" w:rsidP="0091346D">
      <w:pPr>
        <w:ind w:left="539"/>
        <w:rPr>
          <w:kern w:val="3"/>
        </w:rPr>
      </w:pPr>
    </w:p>
    <w:p w14:paraId="20C6B0C6" w14:textId="170FAE88" w:rsidR="0091346D" w:rsidRPr="000900F3" w:rsidRDefault="0091346D" w:rsidP="0091346D">
      <w:pPr>
        <w:ind w:left="539"/>
        <w:rPr>
          <w:kern w:val="3"/>
        </w:rPr>
      </w:pPr>
      <w:r w:rsidRPr="000900F3">
        <w:t>Ni ustrezno.</w:t>
      </w:r>
    </w:p>
    <w:p w14:paraId="408B3F4A" w14:textId="77777777" w:rsidR="0091346D" w:rsidRPr="000900F3"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0900F3">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0900F3">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0900F3">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00F3"/>
    <w:rsid w:val="000975C5"/>
    <w:rsid w:val="000C4EE6"/>
    <w:rsid w:val="000C5D4F"/>
    <w:rsid w:val="000E5822"/>
    <w:rsid w:val="000F3707"/>
    <w:rsid w:val="001200AE"/>
    <w:rsid w:val="00164440"/>
    <w:rsid w:val="00220182"/>
    <w:rsid w:val="00254416"/>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1215</Words>
  <Characters>6932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Liana Brili</cp:lastModifiedBy>
  <cp:revision>7</cp:revision>
  <cp:lastPrinted>2021-09-08T16:41:00Z</cp:lastPrinted>
  <dcterms:created xsi:type="dcterms:W3CDTF">2021-09-08T16:42:00Z</dcterms:created>
  <dcterms:modified xsi:type="dcterms:W3CDTF">2021-11-04T08:54:00Z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