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DF6A" w14:textId="231973C4" w:rsidR="00056AAB" w:rsidRDefault="00104411" w:rsidP="003667D0">
      <w:pPr>
        <w:tabs>
          <w:tab w:val="left" w:leader="dot" w:pos="3384"/>
          <w:tab w:val="left" w:leader="dot" w:pos="3888"/>
          <w:tab w:val="left" w:leader="dot" w:pos="4824"/>
        </w:tabs>
        <w:spacing w:line="276" w:lineRule="auto"/>
        <w:ind w:left="1296"/>
        <w:jc w:val="center"/>
        <w:textAlignment w:val="baseline"/>
        <w:rPr>
          <w:rFonts w:asciiTheme="minorHAnsi" w:eastAsia="Calibri" w:hAnsiTheme="minorHAnsi"/>
          <w:b/>
          <w:sz w:val="28"/>
        </w:rPr>
      </w:pPr>
      <w:r>
        <w:rPr>
          <w:rFonts w:asciiTheme="minorHAnsi" w:hAnsiTheme="minorHAnsi"/>
          <w:b/>
          <w:color w:val="000000"/>
          <w:sz w:val="28"/>
        </w:rPr>
        <w:t>ROYAL DECREE</w:t>
      </w:r>
      <w:r>
        <w:rPr>
          <w:rFonts w:asciiTheme="minorHAnsi" w:hAnsiTheme="minorHAnsi"/>
          <w:b/>
          <w:color w:val="000000"/>
          <w:sz w:val="28"/>
        </w:rPr>
        <w:tab/>
        <w:t>/</w:t>
      </w:r>
      <w:r>
        <w:rPr>
          <w:rFonts w:asciiTheme="minorHAnsi" w:hAnsiTheme="minorHAnsi"/>
          <w:b/>
          <w:color w:val="000000"/>
          <w:sz w:val="28"/>
        </w:rPr>
        <w:tab/>
        <w:t>, of</w:t>
      </w:r>
      <w:r>
        <w:rPr>
          <w:rFonts w:asciiTheme="minorHAnsi" w:hAnsiTheme="minorHAnsi"/>
          <w:b/>
          <w:color w:val="000000"/>
          <w:sz w:val="28"/>
        </w:rPr>
        <w:tab/>
        <w:t xml:space="preserve"> approving the Standard of Earthquake-Resistant Construction NCSR-</w:t>
      </w:r>
      <w:r>
        <w:rPr>
          <w:rFonts w:asciiTheme="minorHAnsi" w:hAnsiTheme="minorHAnsi"/>
          <w:b/>
          <w:sz w:val="28"/>
        </w:rPr>
        <w:t>23</w:t>
      </w:r>
    </w:p>
    <w:p w14:paraId="227AE49F" w14:textId="77777777" w:rsidR="003667D0" w:rsidRPr="006D4B4B" w:rsidRDefault="003667D0" w:rsidP="003667D0">
      <w:pPr>
        <w:tabs>
          <w:tab w:val="left" w:leader="dot" w:pos="3384"/>
          <w:tab w:val="left" w:leader="dot" w:pos="3888"/>
          <w:tab w:val="left" w:leader="dot" w:pos="4824"/>
        </w:tabs>
        <w:spacing w:line="276" w:lineRule="auto"/>
        <w:ind w:left="1296"/>
        <w:textAlignment w:val="baseline"/>
        <w:rPr>
          <w:rFonts w:asciiTheme="minorHAnsi" w:eastAsia="Calibri" w:hAnsiTheme="minorHAnsi"/>
          <w:b/>
          <w:sz w:val="28"/>
          <w:lang w:val="es-ES"/>
        </w:rPr>
      </w:pPr>
    </w:p>
    <w:p w14:paraId="418AC172" w14:textId="37EBFE33" w:rsidR="00A44FF2" w:rsidRDefault="00104411"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The Standing Committee on Earthquake Resistant Standards, an inter-ministerial collegiate body, created by Decree 3209/1974 of 30 August, attached to the Ministry of Transport, Mobility and Urban Agenda and within the Directorate-General of the National Geographical Institute, as set out in Royal Decree 645/2020 of 7 July developing the basic organizational structure of the Ministry of Transport, Mobility and Urban Agenda, among its functions, is entrusted with updating the Earthquake-Resistance Regulations, as provided for in Article 2(B) of Royal Decree 518/1984 of 22 February, which reorganises its composition.</w:t>
      </w:r>
    </w:p>
    <w:p w14:paraId="032C0763" w14:textId="4901726A" w:rsidR="00C25687" w:rsidRDefault="00757E5B"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Until now, the current regulations are included in the ‘Earthquake-Resistant Construction Standard: General Section and Building (NCSE-02)’ approved by Royal Decree 997/2002, of 27 September, and in the ‘Earthquake-Resistant Construction Standard: Bridges (NCSP-07)’ approved by Royal Decree 637/2007, of 18 May. The time elapsed since their approval requires that they be revised and updated, both for technical and regulatory reasons, in order to adapt the regulations to the current state of knowledge on seismology and seismic engineering, as well as to the regulatory framework in which it must operate.</w:t>
      </w:r>
    </w:p>
    <w:p w14:paraId="00D9E943" w14:textId="08D48EDA" w:rsidR="0008161F" w:rsidRDefault="0008161F"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The Standing Committee on Earthquake-Resistant Standards, in exercising its functions, has drawn up a new Earthquake-Resistant Building Standard that replaces the aforementioned standards, incorporating the most relevant aspects of European regulations for the calculation of structures, in accordance with the procedures established in the Structural Eurocodes and expanding their content with more structural typologies. The new standard establishes the technical conditions to be met by building structures and civil engineering works, so that their behaviour, when facing seismic phenomena, avoids serious consequences for the health and safety of people, avoids economic losses and promotes the maintenance of basic services for society in cases of high intensity earthquakes.</w:t>
      </w:r>
    </w:p>
    <w:p w14:paraId="6F2451EE"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This Royal Decree complies with the principles of necessity, effectiveness, proportionality, legal certainty, transparency and efficiency established in Article 129 of Law 39/2015, of 1 October, on the Common Administrative Procedure of Public Administrations. </w:t>
      </w:r>
    </w:p>
    <w:p w14:paraId="4A3F3D5F" w14:textId="0682A2D0" w:rsidR="001D206B" w:rsidRDefault="007F2FE2"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It complies with the principles of necessity and effectiveness, since the application of the new Earthquake-Resistant Standard represents, with respect to the previous regulations, an advance in the knowledge and determination of seismic activity and also a clarification in the use of the concepts and requirements of earthquake resistance and ductility that must be required of structures in seismic zones. The project does not distort competition in the market, but favours competition by regulating aspects not covered by the current regulations. It is also in line with the principle of proportionality, since the standard contains the rules necessary to meet the need described above, without there being any other measures which are less restrictive of rights or imposing fewer obligations on the addressees, and with the principle of legal certainty given their integration into the legal order, in full consistency with the national and European regulations in force. The principle of transparency is guaranteed, since all the information procedures indicated in the Government’s Law 50/1997 of 27 November have been complied with, and this has been published on the Spanish Government’s transparency portal. Finally, in application of the principle of efficiency, this standard does not entail an increase in additional administrative burdens or an increase in public expenditure.</w:t>
      </w:r>
    </w:p>
    <w:p w14:paraId="53F4DA01" w14:textId="712176A3"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lastRenderedPageBreak/>
        <w:t xml:space="preserve">This Royal Decree is issued under the provisions </w:t>
      </w:r>
      <w:r>
        <w:rPr>
          <w:rFonts w:asciiTheme="minorHAnsi" w:hAnsiTheme="minorHAnsi"/>
        </w:rPr>
        <w:t xml:space="preserve">in Article 149.1.13a of the Spanish Constitution, </w:t>
      </w:r>
      <w:r>
        <w:rPr>
          <w:rFonts w:asciiTheme="minorHAnsi" w:hAnsiTheme="minorHAnsi"/>
          <w:color w:val="000000" w:themeColor="text1"/>
        </w:rPr>
        <w:t>which attributes to the State competence in matters of bases and coordination of the general planning of economic activity.</w:t>
      </w:r>
    </w:p>
    <w:p w14:paraId="343DD835"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The drafting process for this Royal Decree completed the procedure set out in Law 50/1997 of 27 November of the Government, and in Directive (EU) 2015/1535 of the European Parliament and of the Council of 9 September laying down a procedure for the provision of information in the field of technical regulations and of rules on Information Society services, as well as Royal Decree 1337/1999 of 31 July, governing the provision of information in the area of technical rules and regulations and regulations related to information society services. </w:t>
      </w:r>
    </w:p>
    <w:p w14:paraId="288E1E12" w14:textId="6459E5E4" w:rsid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This Royal Decree is adopted at the initiative of the Standing Committee on Earthquake-Resistant Standards.</w:t>
      </w:r>
    </w:p>
    <w:p w14:paraId="42144605" w14:textId="312B0DF6" w:rsidR="00056AAB" w:rsidRDefault="004459F4" w:rsidP="00870C22">
      <w:pPr>
        <w:suppressAutoHyphens/>
        <w:spacing w:after="240" w:line="276" w:lineRule="auto"/>
        <w:ind w:firstLine="425"/>
        <w:jc w:val="both"/>
        <w:rPr>
          <w:rFonts w:asciiTheme="minorHAnsi" w:eastAsia="Times New Roman" w:hAnsiTheme="minorHAnsi" w:cstheme="minorHAnsi"/>
          <w:color w:val="000000"/>
        </w:rPr>
      </w:pPr>
      <w:r>
        <w:rPr>
          <w:rFonts w:asciiTheme="minorHAnsi" w:hAnsiTheme="minorHAnsi"/>
          <w:color w:val="000000" w:themeColor="text1"/>
        </w:rPr>
        <w:t xml:space="preserve">By virtue thereof, at the proposal of the Minister for Transport, Mobility and Urban Agenda </w:t>
      </w:r>
      <w:r>
        <w:rPr>
          <w:rFonts w:asciiTheme="minorHAnsi" w:hAnsiTheme="minorHAnsi"/>
          <w:color w:val="000000"/>
        </w:rPr>
        <w:t>and after deliberation in the Council of Ministers on the day...</w:t>
      </w:r>
    </w:p>
    <w:p w14:paraId="01FC4263" w14:textId="77777777" w:rsidR="004459F4" w:rsidRPr="00D35EA2" w:rsidRDefault="004459F4" w:rsidP="004459F4">
      <w:pPr>
        <w:suppressAutoHyphens/>
        <w:ind w:firstLine="425"/>
        <w:jc w:val="both"/>
        <w:rPr>
          <w:rFonts w:asciiTheme="minorHAnsi" w:eastAsia="Times New Roman" w:hAnsiTheme="minorHAnsi" w:cstheme="minorHAnsi"/>
          <w:color w:val="000000"/>
          <w:lang w:val="es-ES"/>
        </w:rPr>
      </w:pPr>
    </w:p>
    <w:p w14:paraId="1ECEFAB2" w14:textId="77777777" w:rsidR="00056AAB" w:rsidRPr="006D4B4B" w:rsidRDefault="00104411" w:rsidP="00AD035F">
      <w:pPr>
        <w:spacing w:after="240" w:line="276" w:lineRule="auto"/>
        <w:jc w:val="center"/>
        <w:textAlignment w:val="baseline"/>
        <w:rPr>
          <w:rFonts w:asciiTheme="minorHAnsi" w:eastAsia="Times New Roman" w:hAnsiTheme="minorHAnsi"/>
          <w:color w:val="000000"/>
          <w:sz w:val="24"/>
          <w:szCs w:val="24"/>
        </w:rPr>
      </w:pPr>
      <w:r>
        <w:rPr>
          <w:rFonts w:asciiTheme="minorHAnsi" w:hAnsiTheme="minorHAnsi"/>
          <w:color w:val="000000"/>
          <w:sz w:val="24"/>
        </w:rPr>
        <w:t>I HEREBY DECREE</w:t>
      </w:r>
    </w:p>
    <w:p w14:paraId="05744015"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Article 1. Purpose</w:t>
      </w:r>
    </w:p>
    <w:p w14:paraId="721FFEF1" w14:textId="46A6063B" w:rsidR="0046432E"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The Earthquake-Resistant Construction Standard, NCSR-23, is approved, which establishes the essential concepts and requirements to be met by structures located in seismic zones, in Spain, in addition to compliance with the rest of the specific regulations in force regarding structures. </w:t>
      </w:r>
    </w:p>
    <w:p w14:paraId="78734A0A" w14:textId="7654B8F0"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The structures and constructions that may be subjected to the activity of earthquakes shall be projected, executed and documented considering the seismic action in accordance with the provisions of the six Annexes that constitute this Earthquake-Resistant Standard and which are:</w:t>
      </w:r>
    </w:p>
    <w:p w14:paraId="79EC5159"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Annex 1: General rules, seismic activities and building rules.</w:t>
      </w:r>
    </w:p>
    <w:p w14:paraId="79F9BCF0"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Annex 2: Bridges.</w:t>
      </w:r>
    </w:p>
    <w:p w14:paraId="7CD23BE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Annex 3: Assessment and seismic adaptation of buildings.</w:t>
      </w:r>
    </w:p>
    <w:p w14:paraId="2850B202"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Annex 4: Silos, tanks and pipes.</w:t>
      </w:r>
    </w:p>
    <w:p w14:paraId="3AC9CD4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Annex 5: Foundations, containment structures and geotechnical aspects.</w:t>
      </w:r>
    </w:p>
    <w:p w14:paraId="6AD4A209" w14:textId="1CF81FB4" w:rsid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Annex 6: Towers, masts and chimneys.</w:t>
      </w:r>
    </w:p>
    <w:p w14:paraId="75E4EE37" w14:textId="77777777" w:rsidR="00870C22" w:rsidRDefault="00870C22" w:rsidP="006D4B4B">
      <w:pPr>
        <w:spacing w:line="276" w:lineRule="auto"/>
        <w:ind w:left="567"/>
        <w:jc w:val="both"/>
        <w:textAlignment w:val="baseline"/>
        <w:rPr>
          <w:rFonts w:asciiTheme="minorHAnsi" w:eastAsia="Times New Roman" w:hAnsiTheme="minorHAnsi"/>
          <w:color w:val="000000"/>
          <w:spacing w:val="2"/>
          <w:lang w:val="es-ES"/>
        </w:rPr>
      </w:pPr>
    </w:p>
    <w:p w14:paraId="7A592887" w14:textId="3BD133CC"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Alternatively, the author of the project and the optional management may, in using their powers, under their responsibility and prior agreement of the property, adopt other solutions that partially or totally depart from the procedures referred to in the preceding annexes (through different calculation systems, constructive arrangements, etc.), provided that it is documented that the structure complies with the requirements of this Earthquake-Resistant Standard, achieving at least equivalent services to those that would be obtained by the application of the procedures of this Standard.</w:t>
      </w:r>
    </w:p>
    <w:p w14:paraId="23196ECE" w14:textId="77777777" w:rsidR="00056AAB" w:rsidRPr="00D35EA2" w:rsidRDefault="00104411" w:rsidP="009A552F">
      <w:pPr>
        <w:keepNext/>
        <w:spacing w:after="240" w:line="276" w:lineRule="auto"/>
        <w:textAlignment w:val="baseline"/>
        <w:rPr>
          <w:rFonts w:asciiTheme="minorHAnsi" w:eastAsia="Times New Roman" w:hAnsiTheme="minorHAnsi"/>
          <w:b/>
          <w:color w:val="000000"/>
        </w:rPr>
      </w:pPr>
      <w:r>
        <w:rPr>
          <w:rFonts w:asciiTheme="minorHAnsi" w:hAnsiTheme="minorHAnsi"/>
          <w:b/>
          <w:color w:val="000000"/>
        </w:rPr>
        <w:lastRenderedPageBreak/>
        <w:t>Article 2. Scope of application</w:t>
      </w:r>
    </w:p>
    <w:p w14:paraId="1B40A98A" w14:textId="0DDD90E1"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The requirements for earthquake-resistant content of this Standard apply to all projects and construction works of new buildings, bridges, towers, masts, chimneys, silos, tanks, pipes, containment structures and their foundations, as well as to the geotechnical project. </w:t>
      </w:r>
    </w:p>
    <w:p w14:paraId="7968B2C8" w14:textId="3FBBAE08"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Likewise, this Standard applies to the seismic evaluation of existing buildings, and also, where appropriate, to the seismic adaptation thereof, in cases where works of renovation or structural restoration work of sufficient gravity are carried out or when such assessment or adaptation is required. For the purposes of this Earthquake-Resistant Standard, seismic adaptation covers both the reinforcement of undamaged structures and the reinforcement of structures damaged by an earthquake.</w:t>
      </w:r>
    </w:p>
    <w:p w14:paraId="3286098A" w14:textId="1B39F053"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The conditions that may necessitate the seismic assessment of individual buildings – possibly leading to seismic adequacy – fall outside the subject matter and scope of this Standard.</w:t>
      </w:r>
    </w:p>
    <w:p w14:paraId="2602E605" w14:textId="25143B7E"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As appropriate, this Earthquake-Resistant Standard may also be applied in addition to other structural types not explicitly included in its scope, where they do not exist for the same specific rules or provisions, and provided that they are not expressly excluded from its scope.</w:t>
      </w:r>
    </w:p>
    <w:p w14:paraId="163A6949" w14:textId="735DB3B4" w:rsidR="00671CE6" w:rsidRPr="00D35EA2" w:rsidRDefault="00671CE6" w:rsidP="00AD035F">
      <w:pPr>
        <w:pStyle w:val="parrafo"/>
        <w:shd w:val="clear" w:color="auto" w:fill="FFFFFF"/>
        <w:spacing w:before="0" w:beforeAutospacing="0" w:after="240" w:afterAutospacing="0" w:line="276" w:lineRule="auto"/>
        <w:jc w:val="both"/>
        <w:rPr>
          <w:rFonts w:asciiTheme="minorHAnsi" w:hAnsiTheme="minorHAnsi"/>
          <w:b/>
          <w:color w:val="000000"/>
          <w:sz w:val="22"/>
          <w:szCs w:val="22"/>
        </w:rPr>
      </w:pPr>
      <w:r>
        <w:rPr>
          <w:rFonts w:asciiTheme="minorHAnsi" w:hAnsiTheme="minorHAnsi"/>
          <w:b/>
          <w:color w:val="000000"/>
          <w:sz w:val="22"/>
        </w:rPr>
        <w:t>Sole transitional provision. Application to designs and works.</w:t>
      </w:r>
    </w:p>
    <w:p w14:paraId="7E1DEF06" w14:textId="77777777" w:rsidR="006D4B4B" w:rsidRPr="00870C22" w:rsidRDefault="006D4B4B"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The provisions of this Royal Decree shall not apply in civil works to projects whose order of drafting or study, in the field of public administrations, or commission, in other cases, had been carried out prior to this Royal Decree entering into force, as well as to works carried out in the developing these, provided that they are initiated within a period not exceeding two years from that entry into force, unless the competent public administration, or, where appropriate, the promoter, agrees that it is mandatory. </w:t>
      </w:r>
    </w:p>
    <w:p w14:paraId="7A84DDAE" w14:textId="781A6671" w:rsidR="00870C22" w:rsidRPr="006D4B4B" w:rsidRDefault="006D4B4B" w:rsidP="00870C22">
      <w:pPr>
        <w:spacing w:after="240" w:line="276" w:lineRule="auto"/>
        <w:jc w:val="both"/>
        <w:textAlignment w:val="baseline"/>
        <w:rPr>
          <w:rFonts w:asciiTheme="minorHAnsi" w:eastAsia="Times New Roman" w:hAnsiTheme="minorHAnsi"/>
          <w:color w:val="000000"/>
          <w:spacing w:val="2"/>
        </w:rPr>
      </w:pPr>
      <w:r>
        <w:rPr>
          <w:rFonts w:asciiTheme="minorHAnsi" w:hAnsiTheme="minorHAnsi"/>
          <w:color w:val="000000"/>
        </w:rPr>
        <w:t xml:space="preserve">The provisions of this Royal Decree shall not be applicable in the field of building in projects that have requested municipal works licence, or request it within nine months of this Royal Decree entering into force, in this case with Royal Decree 997/2002, of 27 September, approving the Earthquake-Resistant Construction Standard, being applicable: General Section and Building (NCSE-02). Such works must start within the maximum period of effectiveness of said licence, in accordance with its regulatory regulations, and, failing that, within a period not exceeding six months from the date of granting of said licence. The projects must otherwise be adapted to the provisions of this Royal Decree. </w:t>
      </w:r>
    </w:p>
    <w:p w14:paraId="620031EA" w14:textId="77777777" w:rsidR="008A1694" w:rsidRPr="00D35EA2" w:rsidRDefault="008A1694" w:rsidP="00AD035F">
      <w:pPr>
        <w:spacing w:after="240" w:line="276" w:lineRule="auto"/>
        <w:jc w:val="both"/>
        <w:textAlignment w:val="baseline"/>
        <w:rPr>
          <w:rFonts w:asciiTheme="minorHAnsi" w:eastAsia="Times New Roman" w:hAnsiTheme="minorHAnsi"/>
          <w:b/>
          <w:color w:val="000000"/>
        </w:rPr>
      </w:pPr>
      <w:r>
        <w:rPr>
          <w:rFonts w:asciiTheme="minorHAnsi" w:hAnsiTheme="minorHAnsi"/>
          <w:b/>
          <w:color w:val="000000"/>
        </w:rPr>
        <w:t>Sole repealing provision. Repeal of regulations</w:t>
      </w:r>
    </w:p>
    <w:p w14:paraId="3C87D465" w14:textId="41A1036B" w:rsidR="002B1514" w:rsidRPr="00870C22" w:rsidRDefault="002B1514"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As of the entry into force of this Royal Decree, Royal Decree 997/2002 of 27 September, approving the Earthquake-Resistant Construction Standard are repealed: General Section and Building (NCSE-02), and Royal Decree 637/2007, of 18 May, approving the Earthquake-Resistant Building Standard: Bridges (NCSP-07).</w:t>
      </w:r>
    </w:p>
    <w:p w14:paraId="590D095E" w14:textId="77777777" w:rsidR="00870C22" w:rsidRPr="00870C22" w:rsidRDefault="00870C22" w:rsidP="00870C22">
      <w:pPr>
        <w:spacing w:after="120"/>
        <w:jc w:val="both"/>
        <w:textAlignment w:val="baseline"/>
        <w:rPr>
          <w:rFonts w:asciiTheme="minorHAnsi" w:eastAsia="Times New Roman" w:hAnsiTheme="minorHAnsi"/>
          <w:color w:val="000000"/>
          <w:spacing w:val="2"/>
          <w:lang w:val="es-ES"/>
        </w:rPr>
      </w:pPr>
    </w:p>
    <w:p w14:paraId="41EC003B" w14:textId="24B0084C" w:rsidR="00EC6A57" w:rsidRPr="00D35EA2" w:rsidRDefault="00EC6A57" w:rsidP="009A552F">
      <w:pPr>
        <w:keepNext/>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lastRenderedPageBreak/>
        <w:t>First final provision. Attribution of powers</w:t>
      </w:r>
    </w:p>
    <w:p w14:paraId="15D1B399" w14:textId="52F39719" w:rsidR="00EC6A57" w:rsidRPr="00870C22" w:rsidRDefault="00EC6A57"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This Royal Decree is basic in nature, and issued under the provisions of Article 149.1.13a of the Spanish Constitution, which confers on the State exclusive competence over the basis and coordination of the general planning of economic activity. </w:t>
      </w:r>
    </w:p>
    <w:p w14:paraId="28E3B818" w14:textId="77777777" w:rsidR="00671CE6" w:rsidRPr="00AD035F" w:rsidRDefault="002B1514"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 xml:space="preserve">Second final provision. </w:t>
      </w:r>
      <w:r>
        <w:rPr>
          <w:rFonts w:asciiTheme="minorHAnsi" w:hAnsiTheme="minorHAnsi"/>
          <w:b/>
          <w:color w:val="333333"/>
        </w:rPr>
        <w:t>Implementing authority</w:t>
      </w:r>
    </w:p>
    <w:p w14:paraId="431A3D72" w14:textId="7CF39534" w:rsidR="00671CE6" w:rsidRPr="00870C22" w:rsidRDefault="00671CE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The holder of the Ministry of Transport, Mobility and Urban Agenda is empowered to issue the necessary provisions for developing and applying the provisions of this Royal Decree.</w:t>
      </w:r>
    </w:p>
    <w:p w14:paraId="3568A83D" w14:textId="72D1D66B" w:rsidR="00391221" w:rsidRDefault="00391221" w:rsidP="00391221">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Third final provision. Authorisation for the updating of Appendices E, F and G of Annex 1 to the Earthquake-Resistant Building Standard.</w:t>
      </w:r>
    </w:p>
    <w:p w14:paraId="272F5E7E" w14:textId="319390A4" w:rsidR="00391221" w:rsidRPr="00870C22" w:rsidRDefault="0039122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The holder of the Ministry of Transport, Mobility and Urban Agenda is authorised to update the hazard map defined in Appendices E and F to Annex 1 and the list of standards referred to in Appendix G to Annex 1, where such updates are intended to bring those contents in line with the progress of the technique or with Community legislation.</w:t>
      </w:r>
    </w:p>
    <w:p w14:paraId="60B41840" w14:textId="4C5BA609" w:rsidR="002B1514" w:rsidRPr="00D35EA2" w:rsidRDefault="00671CE6"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Fourth final provision. Entry into force</w:t>
      </w:r>
    </w:p>
    <w:p w14:paraId="78134748" w14:textId="2E12FD18" w:rsidR="00066186" w:rsidRPr="00870C22" w:rsidRDefault="0006618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This Royal Decree shall enter into force on </w:t>
      </w:r>
      <w:r>
        <w:rPr>
          <w:rFonts w:asciiTheme="minorHAnsi" w:hAnsiTheme="minorHAnsi"/>
          <w:color w:val="000000"/>
          <w:highlight w:val="yellow"/>
        </w:rPr>
        <w:t>1 July 2023.</w:t>
      </w:r>
      <w:r>
        <w:rPr>
          <w:rFonts w:asciiTheme="minorHAnsi" w:hAnsiTheme="minorHAnsi"/>
          <w:color w:val="000000"/>
        </w:rPr>
        <w:t xml:space="preserve"> </w:t>
      </w:r>
    </w:p>
    <w:p w14:paraId="16A294E9" w14:textId="77777777" w:rsidR="00056AAB" w:rsidRPr="00870C22" w:rsidRDefault="00056AAB" w:rsidP="00870C22">
      <w:pPr>
        <w:spacing w:after="120"/>
        <w:jc w:val="both"/>
        <w:textAlignment w:val="baseline"/>
        <w:rPr>
          <w:rFonts w:asciiTheme="minorHAnsi" w:eastAsia="Times New Roman" w:hAnsiTheme="minorHAnsi"/>
          <w:color w:val="000000"/>
          <w:spacing w:val="2"/>
          <w:lang w:val="es-ES"/>
        </w:rPr>
      </w:pPr>
    </w:p>
    <w:sectPr w:rsidR="00056AAB" w:rsidRPr="00870C22" w:rsidSect="00AD035F">
      <w:pgSz w:w="11904" w:h="16843"/>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swiss"/>
    <w:panose1 w:val="02020603050405020304"/>
  </w:font>
  <w:font w:name="Times New Roman">
    <w:charset w:val="00"/>
    <w:pitch w:val="variable"/>
    <w:family w:val="roman"/>
    <w:panose1 w:val="02020603050405020304"/>
  </w:font>
  <w:font w:name="Symbo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B4E5C"/>
    <w:multiLevelType w:val="hybridMultilevel"/>
    <w:tmpl w:val="8282418A"/>
    <w:lvl w:ilvl="0" w:tplc="9EE2D7E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D5081E"/>
    <w:multiLevelType w:val="hybridMultilevel"/>
    <w:tmpl w:val="A1AA66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9764CB"/>
    <w:multiLevelType w:val="hybridMultilevel"/>
    <w:tmpl w:val="648E0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0E63DD5"/>
    <w:multiLevelType w:val="hybridMultilevel"/>
    <w:tmpl w:val="7E6A3C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7CF6DA7"/>
    <w:multiLevelType w:val="hybridMultilevel"/>
    <w:tmpl w:val="5952024C"/>
    <w:lvl w:ilvl="0" w:tplc="8BDE2DF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8924DB"/>
    <w:multiLevelType w:val="hybridMultilevel"/>
    <w:tmpl w:val="38A478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293A6A"/>
    <w:multiLevelType w:val="hybridMultilevel"/>
    <w:tmpl w:val="68D8974C"/>
    <w:lvl w:ilvl="0" w:tplc="0C0A0001">
      <w:start w:val="1"/>
      <w:numFmt w:val="bullet"/>
      <w:lvlText w:val=""/>
      <w:lvlJc w:val="left"/>
      <w:pPr>
        <w:ind w:left="1080" w:hanging="360"/>
      </w:pPr>
      <w:rPr>
        <w:rFonts w:ascii="Symbol" w:hAnsi="Symbol" w:hint="default"/>
      </w:rPr>
    </w:lvl>
    <w:lvl w:ilvl="1" w:tplc="FEFEF88C">
      <w:numFmt w:val="bullet"/>
      <w:lvlText w:val="−"/>
      <w:lvlJc w:val="left"/>
      <w:pPr>
        <w:ind w:left="1800" w:hanging="360"/>
      </w:pPr>
      <w:rPr>
        <w:rFonts w:ascii="Symbol" w:eastAsia="Symbol" w:hAnsi="Symbol"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7CBE5E98"/>
    <w:multiLevelType w:val="multilevel"/>
    <w:tmpl w:val="6BF032CE"/>
    <w:lvl w:ilvl="0">
      <w:start w:val="1"/>
      <w:numFmt w:val="lowerLetter"/>
      <w:lvlText w:val="%1)"/>
      <w:lvlJc w:val="left"/>
      <w:pPr>
        <w:tabs>
          <w:tab w:val="left" w:pos="288"/>
        </w:tabs>
        <w:ind w:left="720"/>
      </w:pPr>
      <w:rPr>
        <w:rFonts w:ascii="Times New Roman" w:eastAsia="Times New Roman" w:hAnsi="Times New Roman"/>
        <w:i/>
        <w:strike w:val="0"/>
        <w:color w:val="000000"/>
        <w:spacing w:val="-1"/>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2145648">
    <w:abstractNumId w:val="7"/>
  </w:num>
  <w:num w:numId="2" w16cid:durableId="122771378">
    <w:abstractNumId w:val="6"/>
  </w:num>
  <w:num w:numId="3" w16cid:durableId="851191015">
    <w:abstractNumId w:val="1"/>
  </w:num>
  <w:num w:numId="4" w16cid:durableId="1200095656">
    <w:abstractNumId w:val="5"/>
  </w:num>
  <w:num w:numId="5" w16cid:durableId="781075475">
    <w:abstractNumId w:val="3"/>
  </w:num>
  <w:num w:numId="6" w16cid:durableId="1567036530">
    <w:abstractNumId w:val="2"/>
  </w:num>
  <w:num w:numId="7" w16cid:durableId="153647272">
    <w:abstractNumId w:val="0"/>
  </w:num>
  <w:num w:numId="8" w16cid:durableId="642393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AB"/>
    <w:rsid w:val="00002183"/>
    <w:rsid w:val="0003132D"/>
    <w:rsid w:val="0003636B"/>
    <w:rsid w:val="00056AAB"/>
    <w:rsid w:val="00066186"/>
    <w:rsid w:val="0008161F"/>
    <w:rsid w:val="000E2974"/>
    <w:rsid w:val="00104411"/>
    <w:rsid w:val="00130D08"/>
    <w:rsid w:val="00136068"/>
    <w:rsid w:val="0013710F"/>
    <w:rsid w:val="00152A30"/>
    <w:rsid w:val="001C12F0"/>
    <w:rsid w:val="001C2399"/>
    <w:rsid w:val="001D206B"/>
    <w:rsid w:val="001F1C94"/>
    <w:rsid w:val="00210209"/>
    <w:rsid w:val="002A3B32"/>
    <w:rsid w:val="002B1514"/>
    <w:rsid w:val="002C6DA3"/>
    <w:rsid w:val="002D0987"/>
    <w:rsid w:val="002D2E92"/>
    <w:rsid w:val="002E7538"/>
    <w:rsid w:val="0030003E"/>
    <w:rsid w:val="00342738"/>
    <w:rsid w:val="00365BA2"/>
    <w:rsid w:val="003667D0"/>
    <w:rsid w:val="00391221"/>
    <w:rsid w:val="003D354D"/>
    <w:rsid w:val="003F52BD"/>
    <w:rsid w:val="00401E8F"/>
    <w:rsid w:val="00434546"/>
    <w:rsid w:val="004459F4"/>
    <w:rsid w:val="00455175"/>
    <w:rsid w:val="0046432E"/>
    <w:rsid w:val="004B0B49"/>
    <w:rsid w:val="004B543F"/>
    <w:rsid w:val="004B66B6"/>
    <w:rsid w:val="004C145B"/>
    <w:rsid w:val="004C422D"/>
    <w:rsid w:val="004D7B7B"/>
    <w:rsid w:val="004E3665"/>
    <w:rsid w:val="004F7A2A"/>
    <w:rsid w:val="004F7A3E"/>
    <w:rsid w:val="00503AEE"/>
    <w:rsid w:val="00520FBD"/>
    <w:rsid w:val="0056199D"/>
    <w:rsid w:val="00561DF5"/>
    <w:rsid w:val="005941F1"/>
    <w:rsid w:val="005B5A4A"/>
    <w:rsid w:val="006258F9"/>
    <w:rsid w:val="00627472"/>
    <w:rsid w:val="00635ED0"/>
    <w:rsid w:val="0066229B"/>
    <w:rsid w:val="00671CE6"/>
    <w:rsid w:val="00684B40"/>
    <w:rsid w:val="006D4B4B"/>
    <w:rsid w:val="006F452F"/>
    <w:rsid w:val="00751B2B"/>
    <w:rsid w:val="00757E5B"/>
    <w:rsid w:val="007759A4"/>
    <w:rsid w:val="007779ED"/>
    <w:rsid w:val="007C0BC6"/>
    <w:rsid w:val="007C1533"/>
    <w:rsid w:val="007D1EA2"/>
    <w:rsid w:val="007D4EDB"/>
    <w:rsid w:val="007E79FC"/>
    <w:rsid w:val="007F2FE2"/>
    <w:rsid w:val="00812799"/>
    <w:rsid w:val="00816242"/>
    <w:rsid w:val="0085711C"/>
    <w:rsid w:val="00870C22"/>
    <w:rsid w:val="0087216F"/>
    <w:rsid w:val="00875897"/>
    <w:rsid w:val="00875F75"/>
    <w:rsid w:val="008A1694"/>
    <w:rsid w:val="008A5EAC"/>
    <w:rsid w:val="008F3B9A"/>
    <w:rsid w:val="008F448A"/>
    <w:rsid w:val="0090284B"/>
    <w:rsid w:val="0092197D"/>
    <w:rsid w:val="00941C30"/>
    <w:rsid w:val="00961FB7"/>
    <w:rsid w:val="0099627E"/>
    <w:rsid w:val="009A14BF"/>
    <w:rsid w:val="009A552F"/>
    <w:rsid w:val="009C173C"/>
    <w:rsid w:val="00A03734"/>
    <w:rsid w:val="00A11575"/>
    <w:rsid w:val="00A23F54"/>
    <w:rsid w:val="00A4123A"/>
    <w:rsid w:val="00A44FF2"/>
    <w:rsid w:val="00A623A2"/>
    <w:rsid w:val="00A65116"/>
    <w:rsid w:val="00A8506E"/>
    <w:rsid w:val="00A86943"/>
    <w:rsid w:val="00A953ED"/>
    <w:rsid w:val="00AA0AA7"/>
    <w:rsid w:val="00AB2735"/>
    <w:rsid w:val="00AB4370"/>
    <w:rsid w:val="00AC62C6"/>
    <w:rsid w:val="00AD035F"/>
    <w:rsid w:val="00AD4F83"/>
    <w:rsid w:val="00AE18FE"/>
    <w:rsid w:val="00AE64D3"/>
    <w:rsid w:val="00B06375"/>
    <w:rsid w:val="00B15BD6"/>
    <w:rsid w:val="00B66C50"/>
    <w:rsid w:val="00B8158C"/>
    <w:rsid w:val="00B85F2E"/>
    <w:rsid w:val="00BC4DEC"/>
    <w:rsid w:val="00BF08C0"/>
    <w:rsid w:val="00C24625"/>
    <w:rsid w:val="00C25687"/>
    <w:rsid w:val="00C42C4C"/>
    <w:rsid w:val="00C56500"/>
    <w:rsid w:val="00C56E96"/>
    <w:rsid w:val="00C67310"/>
    <w:rsid w:val="00C67639"/>
    <w:rsid w:val="00C726AF"/>
    <w:rsid w:val="00C8179D"/>
    <w:rsid w:val="00CF1EDD"/>
    <w:rsid w:val="00D047F0"/>
    <w:rsid w:val="00D05ABE"/>
    <w:rsid w:val="00D06621"/>
    <w:rsid w:val="00D13113"/>
    <w:rsid w:val="00D32AC2"/>
    <w:rsid w:val="00D35EA2"/>
    <w:rsid w:val="00D3777E"/>
    <w:rsid w:val="00D42767"/>
    <w:rsid w:val="00D67613"/>
    <w:rsid w:val="00D85648"/>
    <w:rsid w:val="00DC7ED2"/>
    <w:rsid w:val="00DD25A7"/>
    <w:rsid w:val="00DF0C32"/>
    <w:rsid w:val="00E2216E"/>
    <w:rsid w:val="00E4356E"/>
    <w:rsid w:val="00E44A93"/>
    <w:rsid w:val="00E65D34"/>
    <w:rsid w:val="00E72C90"/>
    <w:rsid w:val="00E920E0"/>
    <w:rsid w:val="00EC6A57"/>
    <w:rsid w:val="00EE3876"/>
    <w:rsid w:val="00EE3B24"/>
    <w:rsid w:val="00EF3F4C"/>
    <w:rsid w:val="00F03832"/>
    <w:rsid w:val="00F04B63"/>
    <w:rsid w:val="00F82079"/>
    <w:rsid w:val="00F95923"/>
    <w:rsid w:val="00FC7390"/>
    <w:rsid w:val="00FD34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22A2"/>
  <w15:docId w15:val="{5A6698CD-469E-4174-8D24-404E854D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B2B"/>
    <w:pPr>
      <w:ind w:left="720"/>
      <w:contextualSpacing/>
    </w:pPr>
  </w:style>
  <w:style w:type="paragraph" w:styleId="BalloonText">
    <w:name w:val="Balloon Text"/>
    <w:basedOn w:val="Normal"/>
    <w:link w:val="BalloonTextChar"/>
    <w:uiPriority w:val="99"/>
    <w:semiHidden/>
    <w:unhideWhenUsed/>
    <w:rsid w:val="00816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242"/>
    <w:rPr>
      <w:rFonts w:ascii="Segoe UI" w:hAnsi="Segoe UI" w:cs="Segoe UI"/>
      <w:sz w:val="18"/>
      <w:szCs w:val="18"/>
    </w:rPr>
  </w:style>
  <w:style w:type="paragraph" w:customStyle="1" w:styleId="parrafo">
    <w:name w:val="parrafo"/>
    <w:basedOn w:val="Normal"/>
    <w:rsid w:val="00671CE6"/>
    <w:pPr>
      <w:spacing w:before="100" w:beforeAutospacing="1" w:after="100" w:afterAutospacing="1"/>
    </w:pPr>
    <w:rPr>
      <w:rFonts w:eastAsia="Times New Roman"/>
      <w:sz w:val="24"/>
      <w:szCs w:val="24"/>
      <w:lang w:eastAsia="es-ES"/>
    </w:rPr>
  </w:style>
  <w:style w:type="character" w:styleId="CommentReference">
    <w:name w:val="annotation reference"/>
    <w:basedOn w:val="DefaultParagraphFont"/>
    <w:uiPriority w:val="99"/>
    <w:semiHidden/>
    <w:unhideWhenUsed/>
    <w:rsid w:val="0085711C"/>
    <w:rPr>
      <w:sz w:val="16"/>
      <w:szCs w:val="16"/>
    </w:rPr>
  </w:style>
  <w:style w:type="paragraph" w:styleId="CommentText">
    <w:name w:val="annotation text"/>
    <w:basedOn w:val="Normal"/>
    <w:link w:val="CommentTextChar"/>
    <w:uiPriority w:val="99"/>
    <w:unhideWhenUsed/>
    <w:rsid w:val="0085711C"/>
    <w:rPr>
      <w:sz w:val="20"/>
      <w:szCs w:val="20"/>
    </w:rPr>
  </w:style>
  <w:style w:type="character" w:customStyle="1" w:styleId="CommentTextChar">
    <w:name w:val="Comment Text Char"/>
    <w:basedOn w:val="DefaultParagraphFont"/>
    <w:link w:val="CommentText"/>
    <w:uiPriority w:val="99"/>
    <w:rsid w:val="0085711C"/>
    <w:rPr>
      <w:sz w:val="20"/>
      <w:szCs w:val="20"/>
    </w:rPr>
  </w:style>
  <w:style w:type="paragraph" w:styleId="CommentSubject">
    <w:name w:val="annotation subject"/>
    <w:basedOn w:val="CommentText"/>
    <w:next w:val="CommentText"/>
    <w:link w:val="CommentSubjectChar"/>
    <w:uiPriority w:val="99"/>
    <w:semiHidden/>
    <w:unhideWhenUsed/>
    <w:rsid w:val="0085711C"/>
    <w:rPr>
      <w:b/>
      <w:bCs/>
    </w:rPr>
  </w:style>
  <w:style w:type="character" w:customStyle="1" w:styleId="CommentSubjectChar">
    <w:name w:val="Comment Subject Char"/>
    <w:basedOn w:val="CommentTextChar"/>
    <w:link w:val="CommentSubject"/>
    <w:uiPriority w:val="99"/>
    <w:semiHidden/>
    <w:rsid w:val="0085711C"/>
    <w:rPr>
      <w:b/>
      <w:bCs/>
      <w:sz w:val="20"/>
      <w:szCs w:val="20"/>
    </w:rPr>
  </w:style>
  <w:style w:type="paragraph" w:styleId="Revision">
    <w:name w:val="Revision"/>
    <w:hidden/>
    <w:uiPriority w:val="99"/>
    <w:semiHidden/>
    <w:rsid w:val="00AE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40032">
      <w:bodyDiv w:val="1"/>
      <w:marLeft w:val="0"/>
      <w:marRight w:val="0"/>
      <w:marTop w:val="0"/>
      <w:marBottom w:val="0"/>
      <w:divBdr>
        <w:top w:val="none" w:sz="0" w:space="0" w:color="auto"/>
        <w:left w:val="none" w:sz="0" w:space="0" w:color="auto"/>
        <w:bottom w:val="none" w:sz="0" w:space="0" w:color="auto"/>
        <w:right w:val="none" w:sz="0" w:space="0" w:color="auto"/>
      </w:divBdr>
    </w:div>
    <w:div w:id="1107694819">
      <w:bodyDiv w:val="1"/>
      <w:marLeft w:val="0"/>
      <w:marRight w:val="0"/>
      <w:marTop w:val="0"/>
      <w:marBottom w:val="0"/>
      <w:divBdr>
        <w:top w:val="none" w:sz="0" w:space="0" w:color="auto"/>
        <w:left w:val="none" w:sz="0" w:space="0" w:color="auto"/>
        <w:bottom w:val="none" w:sz="0" w:space="0" w:color="auto"/>
        <w:right w:val="none" w:sz="0" w:space="0" w:color="auto"/>
      </w:divBdr>
    </w:div>
    <w:div w:id="1996643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18A3F-B80B-403D-ADAD-BBAEBBAA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1532</Words>
  <Characters>8739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Groba López Mónica</dc:creator>
  <cp:lastModifiedBy>Liana Brili</cp:lastModifiedBy>
  <cp:revision>10</cp:revision>
  <cp:lastPrinted>2021-08-26T09:18:00Z</cp:lastPrinted>
  <dcterms:created xsi:type="dcterms:W3CDTF">2022-09-20T11:25:00Z</dcterms:created>
  <dcterms:modified xsi:type="dcterms:W3CDTF">2023-03-29T15:03:00Z</dcterms:modified>
</cp:coreProperties>
</file>