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rFonts w:ascii="Garamond" w:hAnsi="Garamond"/>
          <w:sz w:val="24"/>
          <w:szCs w:val="24"/>
        </w:rPr>
      </w:pPr>
      <w:r>
        <w:rPr>
          <w:rFonts w:ascii="Garamond" w:hAnsi="Garamond"/>
          <w:sz w:val="24"/>
        </w:rPr>
        <w:t xml:space="preserve">DL No XX/2020 </w:t>
      </w:r>
    </w:p>
    <w:p w14:paraId="5D0DF49B" w14:textId="77777777" w:rsidR="006D6021" w:rsidRPr="008E5B84" w:rsidRDefault="00311339">
      <w:pPr>
        <w:pStyle w:val="Ttulo4"/>
        <w:widowControl w:val="0"/>
        <w:spacing w:after="120" w:line="360" w:lineRule="auto"/>
        <w:ind w:firstLine="0"/>
        <w:jc w:val="both"/>
        <w:outlineLvl w:val="9"/>
        <w:rPr>
          <w:rFonts w:ascii="Garamond" w:hAnsi="Garamond"/>
          <w:sz w:val="24"/>
          <w:szCs w:val="24"/>
        </w:rPr>
      </w:pPr>
      <w:bookmarkStart w:id="0" w:name="_Hlk61623095"/>
      <w:r>
        <w:t>Decree-Law No 102-D/2020 of 10 December</w:t>
      </w:r>
      <w:bookmarkEnd w:id="0"/>
      <w:r>
        <w:t xml:space="preserve"> updated </w:t>
      </w:r>
      <w:hyperlink r:id="rId8" w:tooltip="Decree-Law No 152-D/2017" w:history="1">
        <w:r>
          <w:rPr>
            <w:rFonts w:ascii="Garamond" w:hAnsi="Garamond"/>
            <w:sz w:val="24"/>
          </w:rPr>
          <w:t>Decree-Law No 152-D/2017</w:t>
        </w:r>
      </w:hyperlink>
      <w:r>
        <w:t xml:space="preserve"> of 11 December, transposing into internal law </w:t>
      </w:r>
      <w:hyperlink r:id="rId9" w:tooltip="Link to European Union Directive" w:history="1">
        <w:r>
          <w:rPr>
            <w:rFonts w:ascii="Garamond" w:hAnsi="Garamond"/>
            <w:sz w:val="24"/>
          </w:rPr>
          <w:t>Directive 94/62/EC</w:t>
        </w:r>
      </w:hyperlink>
      <w:r>
        <w:t xml:space="preserve"> of the European Parliament and of the Council of 20 December 1994 on packaging and packaging waste, as amended by Directive (EU) </w:t>
      </w:r>
      <w:hyperlink r:id="rId10" w:tooltip="Link to European Union Directive" w:history="1">
        <w:r>
          <w:rPr>
            <w:rFonts w:ascii="Garamond" w:hAnsi="Garamond"/>
            <w:sz w:val="24"/>
          </w:rPr>
          <w:t>2018/852</w:t>
        </w:r>
      </w:hyperlink>
      <w:r>
        <w:t xml:space="preserve"> of the European Parliament and of the Council of 30 May 2018, and Directives </w:t>
      </w:r>
      <w:hyperlink r:id="rId11" w:tooltip="Link to European Union Directive" w:history="1">
        <w:r>
          <w:rPr>
            <w:rFonts w:ascii="Garamond" w:hAnsi="Garamond"/>
            <w:sz w:val="24"/>
          </w:rPr>
          <w:t>2000/53/EC</w:t>
        </w:r>
      </w:hyperlink>
      <w:r>
        <w:t xml:space="preserve"> on end-of life vehicles, </w:t>
      </w:r>
      <w:hyperlink r:id="rId12" w:tooltip="Link to European Union Directive" w:history="1">
        <w:r>
          <w:rPr>
            <w:rFonts w:ascii="Garamond" w:hAnsi="Garamond"/>
            <w:sz w:val="24"/>
          </w:rPr>
          <w:t>2006/66/EC</w:t>
        </w:r>
      </w:hyperlink>
      <w:r>
        <w:t xml:space="preserve"> on batteries and accumulators and their waste, and </w:t>
      </w:r>
      <w:hyperlink r:id="rId13" w:tooltip="Link to European Union Directive" w:history="1">
        <w:r>
          <w:rPr>
            <w:rFonts w:ascii="Garamond" w:hAnsi="Garamond"/>
            <w:sz w:val="24"/>
          </w:rPr>
          <w:t>2012/19/EU</w:t>
        </w:r>
      </w:hyperlink>
      <w:r>
        <w:t xml:space="preserve"> on electrical and electronic equipment waste, as amended by Directive (EU) </w:t>
      </w:r>
      <w:hyperlink r:id="rId14" w:tooltip="Link to European Union Directive" w:history="1">
        <w:r>
          <w:rPr>
            <w:rFonts w:ascii="Garamond" w:hAnsi="Garamond"/>
            <w:sz w:val="24"/>
          </w:rPr>
          <w:t>2018/849</w:t>
        </w:r>
      </w:hyperlink>
      <w:r>
        <w:t xml:space="preserve"> of the European Parliament and of the Council of 30 May 2018.</w:t>
      </w:r>
    </w:p>
    <w:p w14:paraId="7B6DC961" w14:textId="7C6704AB" w:rsidR="006D6021" w:rsidRPr="008E5B84" w:rsidRDefault="00311339">
      <w:pPr>
        <w:spacing w:after="120" w:line="360" w:lineRule="auto"/>
        <w:jc w:val="both"/>
        <w:rPr>
          <w:rFonts w:ascii="Garamond" w:hAnsi="Garamond"/>
          <w:sz w:val="24"/>
          <w:szCs w:val="24"/>
        </w:rPr>
      </w:pPr>
      <w:r>
        <w:t xml:space="preserve">In order to swiftly transpose these Directives and to comply with the information procedure in the field of technical regulations and rules on information society services provided for in </w:t>
      </w:r>
      <w:hyperlink r:id="rId15" w:tooltip="Link to European Union Directive" w:history="1">
        <w:r>
          <w:rPr>
            <w:rFonts w:ascii="Garamond" w:hAnsi="Garamond"/>
            <w:sz w:val="24"/>
          </w:rPr>
          <w:t>Directive 2015/1535/EU</w:t>
        </w:r>
      </w:hyperlink>
      <w:r>
        <w:t xml:space="preserve"> of the European Parliament and of the Council of 9 September 2015, further necessary amendments to </w:t>
      </w:r>
      <w:hyperlink r:id="rId16" w:tooltip="Decree-Law No 152-D/2017" w:history="1">
        <w:r>
          <w:rPr>
            <w:rFonts w:ascii="Garamond" w:hAnsi="Garamond"/>
            <w:sz w:val="24"/>
          </w:rPr>
          <w:t>Decree-Law No 152-D/2017</w:t>
        </w:r>
      </w:hyperlink>
      <w:r>
        <w:t xml:space="preserve"> of 11 December have been submitted for approval at a later date.</w:t>
      </w:r>
      <w:r>
        <w:rPr>
          <w:rFonts w:ascii="Garamond" w:hAnsi="Garamond"/>
          <w:sz w:val="24"/>
        </w:rPr>
        <w:t xml:space="preserve"> </w:t>
      </w:r>
    </w:p>
    <w:p w14:paraId="3DD37DBB" w14:textId="6C301508" w:rsidR="006D6021" w:rsidRPr="008E5B84" w:rsidRDefault="00311339">
      <w:pPr>
        <w:spacing w:after="120" w:line="360" w:lineRule="auto"/>
        <w:jc w:val="both"/>
        <w:rPr>
          <w:rFonts w:ascii="Garamond" w:hAnsi="Garamond"/>
          <w:sz w:val="24"/>
          <w:szCs w:val="24"/>
        </w:rPr>
      </w:pPr>
      <w:r>
        <w:rPr>
          <w:rFonts w:ascii="Garamond" w:hAnsi="Garamond"/>
          <w:sz w:val="24"/>
        </w:rPr>
        <w:t xml:space="preserve">This Decree-Law thus approves the above-mentioned updates, in particular the introduction of marking of reusable packaging and packaging managed under the deposit </w:t>
      </w:r>
      <w:proofErr w:type="gramStart"/>
      <w:r>
        <w:rPr>
          <w:rFonts w:ascii="Garamond" w:hAnsi="Garamond"/>
          <w:sz w:val="24"/>
        </w:rPr>
        <w:t>system, and</w:t>
      </w:r>
      <w:proofErr w:type="gramEnd"/>
      <w:r>
        <w:rPr>
          <w:rFonts w:ascii="Garamond" w:hAnsi="Garamond"/>
          <w:sz w:val="24"/>
        </w:rPr>
        <w:t xml:space="preserve"> marking of recyclable packaging with appropriate sorting instructions. It also provides for an obligation for waste treatment operators to prove annually to the licensor that the qualification requirements and applicable standards are met by a document issued by qualified verifiers. </w:t>
      </w:r>
    </w:p>
    <w:p w14:paraId="758B538F" w14:textId="77777777" w:rsidR="006D6021" w:rsidRPr="008E5B84" w:rsidRDefault="00311339">
      <w:pPr>
        <w:pStyle w:val="Ttulo4"/>
        <w:widowControl w:val="0"/>
        <w:spacing w:after="120" w:line="360" w:lineRule="auto"/>
        <w:ind w:firstLine="0"/>
        <w:jc w:val="left"/>
        <w:outlineLvl w:val="9"/>
        <w:rPr>
          <w:rFonts w:ascii="Garamond" w:hAnsi="Garamond"/>
          <w:sz w:val="24"/>
          <w:szCs w:val="24"/>
        </w:rPr>
      </w:pPr>
      <w:r>
        <w:rPr>
          <w:rFonts w:ascii="Garamond" w:hAnsi="Garamond"/>
          <w:sz w:val="24"/>
        </w:rPr>
        <w:t>The self-governing bodies of the Autonomous Regions were heard.</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Therefore:</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Pursuant to Article 198(1)(a) of the Constitution, the Government hereby decrees the following:</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rFonts w:ascii="Garamond" w:eastAsia="Times New Roman" w:hAnsi="Garamond"/>
          <w:color w:val="333333"/>
          <w:sz w:val="24"/>
          <w:szCs w:val="24"/>
        </w:rPr>
      </w:pPr>
      <w:r>
        <w:br w:type="page"/>
      </w:r>
    </w:p>
    <w:p w14:paraId="34A618C4"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lastRenderedPageBreak/>
        <w:t>Article 1</w:t>
      </w:r>
    </w:p>
    <w:p w14:paraId="6310E1C1"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t>Object</w:t>
      </w:r>
    </w:p>
    <w:p w14:paraId="19B19F0E" w14:textId="3AE3B598" w:rsidR="006D6021" w:rsidRPr="008E5B84" w:rsidRDefault="00311339">
      <w:pPr>
        <w:pStyle w:val="Ttulo4"/>
        <w:widowControl w:val="0"/>
        <w:spacing w:after="120" w:line="360" w:lineRule="auto"/>
        <w:ind w:firstLine="0"/>
        <w:jc w:val="both"/>
        <w:outlineLvl w:val="9"/>
        <w:rPr>
          <w:rFonts w:ascii="Garamond" w:hAnsi="Garamond"/>
          <w:sz w:val="24"/>
          <w:szCs w:val="24"/>
        </w:rPr>
      </w:pPr>
      <w:r>
        <w:t xml:space="preserve">This Decree-Law makes the fifth amendment to </w:t>
      </w:r>
      <w:hyperlink r:id="rId17" w:tooltip="Decree-Law No 152-D/2017" w:history="1">
        <w:r>
          <w:rPr>
            <w:rFonts w:ascii="Garamond" w:hAnsi="Garamond"/>
            <w:sz w:val="24"/>
          </w:rPr>
          <w:t>Decree-Law No 152-D/2017</w:t>
        </w:r>
      </w:hyperlink>
      <w:r>
        <w:t xml:space="preserve"> of 11 December, as amended by Laws No </w:t>
      </w:r>
      <w:hyperlink r:id="rId18" w:tooltip="Law No 69/2018" w:history="1">
        <w:r>
          <w:rPr>
            <w:rFonts w:ascii="Garamond" w:hAnsi="Garamond"/>
            <w:sz w:val="24"/>
          </w:rPr>
          <w:t>69/2018</w:t>
        </w:r>
      </w:hyperlink>
      <w:r>
        <w:t xml:space="preserve"> of 26 December and </w:t>
      </w:r>
      <w:hyperlink r:id="rId19" w:tooltip="Law No 41/2019" w:history="1">
        <w:r>
          <w:rPr>
            <w:rFonts w:ascii="Garamond" w:hAnsi="Garamond"/>
            <w:sz w:val="24"/>
          </w:rPr>
          <w:t>41/2019</w:t>
        </w:r>
      </w:hyperlink>
      <w:r>
        <w:t xml:space="preserve"> of 21 June, by</w:t>
      </w:r>
      <w:r w:rsidR="00166DDB">
        <w:t xml:space="preserve"> </w:t>
      </w:r>
      <w:hyperlink r:id="rId20" w:tooltip="Decree-Law No 86/2020" w:history="1">
        <w:r>
          <w:rPr>
            <w:rFonts w:ascii="Garamond" w:hAnsi="Garamond"/>
            <w:sz w:val="24"/>
          </w:rPr>
          <w:t>Decree-Law No 86/2020</w:t>
        </w:r>
      </w:hyperlink>
      <w:r>
        <w:t xml:space="preserve"> of 14 October, and amended and republished by Decree-Law No 102-D/2020 of 10 December.</w:t>
      </w:r>
      <w:r>
        <w:rPr>
          <w:rFonts w:ascii="Garamond" w:hAnsi="Garamond"/>
          <w:sz w:val="24"/>
        </w:rPr>
        <w:t xml:space="preserve"> </w:t>
      </w:r>
    </w:p>
    <w:p w14:paraId="11139F74" w14:textId="77777777" w:rsidR="006D6021" w:rsidRPr="008E5B84" w:rsidRDefault="00311339">
      <w:pPr>
        <w:jc w:val="center"/>
        <w:rPr>
          <w:rFonts w:ascii="Garamond" w:hAnsi="Garamond"/>
          <w:sz w:val="24"/>
          <w:szCs w:val="24"/>
        </w:rPr>
      </w:pPr>
      <w:r>
        <w:rPr>
          <w:rFonts w:ascii="Garamond" w:hAnsi="Garamond"/>
          <w:sz w:val="24"/>
        </w:rPr>
        <w:t>Article 2</w:t>
      </w:r>
    </w:p>
    <w:p w14:paraId="38D8E667" w14:textId="77777777" w:rsidR="006D6021" w:rsidRPr="008E5B84" w:rsidRDefault="00311339">
      <w:pPr>
        <w:jc w:val="center"/>
        <w:rPr>
          <w:rFonts w:ascii="Garamond" w:hAnsi="Garamond"/>
          <w:sz w:val="24"/>
          <w:szCs w:val="24"/>
        </w:rPr>
      </w:pPr>
      <w:r>
        <w:rPr>
          <w:rFonts w:ascii="Garamond" w:hAnsi="Garamond"/>
          <w:sz w:val="24"/>
        </w:rPr>
        <w:t>Amendment to Decree-Law No 152-D/2017 of 11 December</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Articles 8, 23, 28 and 90 of </w:t>
      </w:r>
      <w:hyperlink r:id="rId21" w:tooltip="Decree-Law No 152-D/2017" w:history="1">
        <w:r>
          <w:rPr>
            <w:rFonts w:ascii="Garamond" w:hAnsi="Garamond"/>
          </w:rPr>
          <w:t>Decree-Law No 152-D/2017</w:t>
        </w:r>
      </w:hyperlink>
      <w:r>
        <w:t xml:space="preserve"> of 11 December, in their current wording, are replaced by the following:</w:t>
      </w:r>
    </w:p>
    <w:p w14:paraId="2CB88C12"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rPr>
          <w:rFonts w:ascii="Garamond" w:hAnsi="Garamond"/>
          <w:sz w:val="24"/>
        </w:rPr>
        <w:t>“Article 8</w:t>
      </w:r>
    </w:p>
    <w:p w14:paraId="3EE26575"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t xml:space="preserve">Qualification of waste treatment operators, including </w:t>
      </w:r>
      <w:proofErr w:type="gramStart"/>
      <w:r>
        <w:rPr>
          <w:rFonts w:ascii="Garamond" w:hAnsi="Garamond"/>
          <w:sz w:val="24"/>
        </w:rPr>
        <w:t>storage</w:t>
      </w:r>
      <w:proofErr w:type="gramEnd"/>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Without prejudice to paragraphs 5 and 6, waste treatment operators, including storage, operating within the specific waste streams shall be subject to qualification requirements for the effective control and traceability of treated waste in accordance with the objectives and targets set out in this Decree-Law.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The requirements referred to in the previous paragraph, as well as their scope, are established by the </w:t>
      </w:r>
      <w:r>
        <w:rPr>
          <w:rFonts w:ascii="Garamond" w:hAnsi="Garamond"/>
          <w:sz w:val="24"/>
          <w:shd w:val="clear" w:color="auto" w:fill="FFFFFF"/>
        </w:rPr>
        <w:t>Portuguese Environment Agency, I.P. (</w:t>
      </w:r>
      <w:r>
        <w:rPr>
          <w:rFonts w:ascii="Garamond" w:hAnsi="Garamond"/>
          <w:sz w:val="24"/>
        </w:rPr>
        <w:t xml:space="preserve">APA, I.P.), after hearing the representative associations of waste management operators, licensing authorities, entities in charge of managing integrated waste systems, and other entities that it considers relevant to consult, </w:t>
      </w:r>
      <w:proofErr w:type="gramStart"/>
      <w:r>
        <w:rPr>
          <w:rFonts w:ascii="Garamond" w:hAnsi="Garamond"/>
          <w:sz w:val="24"/>
        </w:rPr>
        <w:t>taking into account</w:t>
      </w:r>
      <w:proofErr w:type="gramEnd"/>
      <w:r>
        <w:rPr>
          <w:rFonts w:ascii="Garamond" w:hAnsi="Garamond"/>
          <w:sz w:val="24"/>
        </w:rPr>
        <w:t xml:space="preserve"> technical quality and efficiency criteria, and advertised on their website.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The requirements referred to in the preceding paragraphs are set out in the permits of waste treatment operators and their compliance shall be demonstrated in accordance with paragraphs 8 and 10.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Waste treatment operators, including storage, operating under the specific WEEE flow shall be certified by NP EN 50625-1:2014 "Requirements for the collection, transport and treatment of WEEE – Part 1: General requirements and treatments” with its updated wording and by the standard </w:t>
      </w:r>
      <w:r>
        <w:rPr>
          <w:rFonts w:ascii="Garamond" w:hAnsi="Garamond"/>
          <w:sz w:val="24"/>
        </w:rPr>
        <w:lastRenderedPageBreak/>
        <w:t>replacing it.</w:t>
      </w:r>
    </w:p>
    <w:p w14:paraId="0AF9C3B3" w14:textId="77777777" w:rsidR="006D6021" w:rsidRPr="008E5B84" w:rsidRDefault="00311339">
      <w:pPr>
        <w:pStyle w:val="ListParagraph"/>
        <w:widowControl w:val="0"/>
        <w:numPr>
          <w:ilvl w:val="0"/>
          <w:numId w:val="2"/>
        </w:numPr>
        <w:spacing w:after="120" w:line="360" w:lineRule="auto"/>
        <w:ind w:right="567"/>
        <w:jc w:val="both"/>
        <w:rPr>
          <w:rFonts w:ascii="Garamond" w:hAnsi="Garamond"/>
          <w:sz w:val="24"/>
          <w:szCs w:val="24"/>
        </w:rPr>
      </w:pPr>
      <w:r>
        <w:rPr>
          <w:rFonts w:ascii="Garamond" w:hAnsi="Garamond"/>
          <w:sz w:val="24"/>
        </w:rPr>
        <w:t xml:space="preserve">Treatment operators of WEEE classified as hazardous shall, in addition to the certification provided for in the previous paragraph, be certified by the respective standard of the EN 50625 series of standards, namely for lamps (NP EN 50625-2-1:2014), displays and monitors (NP EN 50625-2-2:2015) and temperature regulation equipment (EN 50625-2-3:2017), with their updated wording and by the standards replacing them.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Paragraph 1 shall not apply to operators carrying out waste treatment in an industrial establishment within the framework of the Responsible Industry System (SIR), except in the case of a waste treatment facility extrinsic to industrial activity.</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The waste treatment operators referred to in paragraphs 1, 5 and 6 shall, by 31 March of each year, prove that the qualification requirements and standards applicable for the previous year to the licensing coordinating body have been complied with, subject to the total or partial suspension of the licence in accordance with Article 81 of the general waste management regime.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The provisions of the previous paragraph shall apply only if the operator, on 31 March, has been licensed for treatment for at least six months.</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Proof of compliance with the qualification requirements referred to in paragraph 1 shall be provided by means of a document issued by qualified verifiers.</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The criteria and methodology for the recognition of entities competent for certification and qualified verifiers are established by the ordinance of the member of the Government responsible for environmental matters.</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The certification provided for in paragraphs 5 and 6 shall be carried out by an accredited third party.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Failure to comply with the qualification requirements or standards, as applicable, provided for in this Article, shall constitute grounds for the revocation of their licence in full or in part in accordance with Article 81 of the general waste management regime. </w:t>
      </w:r>
    </w:p>
    <w:p w14:paraId="69B2E75E" w14:textId="77777777" w:rsidR="006D6021" w:rsidRPr="008E5B84" w:rsidRDefault="00311339">
      <w:pPr>
        <w:widowControl w:val="0"/>
        <w:spacing w:after="120" w:line="360" w:lineRule="auto"/>
        <w:ind w:firstLine="284"/>
        <w:jc w:val="center"/>
        <w:rPr>
          <w:rFonts w:ascii="Garamond" w:hAnsi="Garamond"/>
          <w:sz w:val="24"/>
          <w:szCs w:val="24"/>
        </w:rPr>
      </w:pPr>
      <w:bookmarkStart w:id="2" w:name="_Hlk58518925"/>
      <w:r>
        <w:rPr>
          <w:rFonts w:ascii="Garamond" w:hAnsi="Garamond"/>
          <w:sz w:val="24"/>
        </w:rPr>
        <w:t>Article 23</w:t>
      </w:r>
    </w:p>
    <w:p w14:paraId="0F62E269" w14:textId="34428259" w:rsidR="006D6021" w:rsidRPr="008E5B84" w:rsidRDefault="008B3D7C">
      <w:pPr>
        <w:widowControl w:val="0"/>
        <w:spacing w:after="120" w:line="360" w:lineRule="auto"/>
        <w:ind w:firstLine="284"/>
        <w:jc w:val="center"/>
        <w:rPr>
          <w:rFonts w:ascii="Garamond" w:hAnsi="Garamond"/>
          <w:sz w:val="24"/>
          <w:szCs w:val="24"/>
        </w:rPr>
      </w:pPr>
      <w:r>
        <w:rPr>
          <w:rFonts w:ascii="Garamond" w:hAnsi="Garamond"/>
          <w:sz w:val="24"/>
        </w:rPr>
        <w:lastRenderedPageBreak/>
        <w:t>[…]</w:t>
      </w:r>
    </w:p>
    <w:p w14:paraId="5F9480C7" w14:textId="454DC41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5F1D39B1"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1C782BC8" w14:textId="68618E7C"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49345D1D"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r>
        <w:rPr>
          <w:rFonts w:ascii="Garamond" w:hAnsi="Garamond"/>
          <w:i/>
          <w:sz w:val="24"/>
        </w:rPr>
        <w:t>Repealed</w:t>
      </w:r>
      <w:proofErr w:type="gramStart"/>
      <w:r>
        <w:rPr>
          <w:rFonts w:ascii="Garamond" w:hAnsi="Garamond"/>
          <w:sz w:val="24"/>
        </w:rPr>
        <w:t>];</w:t>
      </w:r>
      <w:proofErr w:type="gramEnd"/>
    </w:p>
    <w:p w14:paraId="78E509FB"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3B767401" w14:textId="7091B311" w:rsidR="006D6021" w:rsidRPr="008E5B84" w:rsidRDefault="008600E0">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4A4D1BE3" w14:textId="4898503B"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0B339EEC" w14:textId="208F75F9"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566473D6" w14:textId="164AC433"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3" w:name="_Hlk61626903"/>
      <w:r>
        <w:rPr>
          <w:rFonts w:ascii="Garamond" w:hAnsi="Garamond"/>
          <w:sz w:val="24"/>
        </w:rPr>
        <w:t>[…].</w:t>
      </w:r>
    </w:p>
    <w:p w14:paraId="66BCCA1B" w14:textId="4D55870F"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73A26731" w14:textId="652B1C92"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4" w:name="_Hlk61626654"/>
      <w:bookmarkEnd w:id="3"/>
      <w:r>
        <w:rPr>
          <w:rFonts w:ascii="Garamond" w:hAnsi="Garamond"/>
          <w:sz w:val="24"/>
        </w:rPr>
        <w:t>[…].</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7BCA8040" w14:textId="4560123D"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5" w:name="_Hlk52724639"/>
      <w:r>
        <w:rPr>
          <w:rFonts w:ascii="Garamond" w:hAnsi="Garamond"/>
          <w:sz w:val="24"/>
        </w:rPr>
        <w:t>[…].</w:t>
      </w:r>
    </w:p>
    <w:p w14:paraId="22A71714" w14:textId="11A87C2A"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6" w:name="_Hlk52724601"/>
      <w:bookmarkEnd w:id="5"/>
      <w:r>
        <w:rPr>
          <w:rFonts w:ascii="Garamond" w:hAnsi="Garamond"/>
          <w:sz w:val="24"/>
        </w:rPr>
        <w:t>[…].</w:t>
      </w:r>
    </w:p>
    <w:p w14:paraId="7F2D2F9B" w14:textId="47B01B05" w:rsidR="006D6021" w:rsidRPr="008E5B84" w:rsidRDefault="00311339" w:rsidP="007E1034">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Reusable packaging is subject to marking, the symbol and the rules for marking being determined by ordinance of the members of the Government responsible for economic and environmental matters, after consulting the associations representing the sectors concerned.</w:t>
      </w:r>
    </w:p>
    <w:p w14:paraId="0388493E" w14:textId="282251FD" w:rsidR="006D6021" w:rsidRPr="008E5B84" w:rsidRDefault="00311339" w:rsidP="007E1034">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The ordinance referred to in the previous paragraph shall be published until 31 December 2022, setting a transitional period for compliance with the marking obligation of not less than one year. </w:t>
      </w:r>
    </w:p>
    <w:bookmarkEnd w:id="2"/>
    <w:bookmarkEnd w:id="6"/>
    <w:p w14:paraId="2073F806" w14:textId="77777777" w:rsidR="006D6021" w:rsidRPr="008E5B84" w:rsidRDefault="00311339">
      <w:pPr>
        <w:widowControl w:val="0"/>
        <w:spacing w:after="120" w:line="360" w:lineRule="auto"/>
        <w:ind w:left="851" w:right="567" w:hanging="284"/>
        <w:jc w:val="center"/>
        <w:rPr>
          <w:rFonts w:ascii="Garamond" w:hAnsi="Garamond"/>
          <w:sz w:val="24"/>
          <w:szCs w:val="24"/>
        </w:rPr>
      </w:pPr>
      <w:r>
        <w:rPr>
          <w:rFonts w:ascii="Garamond" w:hAnsi="Garamond"/>
          <w:sz w:val="24"/>
        </w:rPr>
        <w:t>Article 28</w:t>
      </w:r>
    </w:p>
    <w:p w14:paraId="1BFEB45B" w14:textId="255D8B70" w:rsidR="006D6021" w:rsidRPr="008E5B84" w:rsidRDefault="00311339">
      <w:pPr>
        <w:widowControl w:val="0"/>
        <w:spacing w:after="120" w:line="360" w:lineRule="auto"/>
        <w:ind w:left="851" w:right="567" w:hanging="284"/>
        <w:jc w:val="center"/>
        <w:rPr>
          <w:rFonts w:ascii="Garamond" w:hAnsi="Garamond"/>
          <w:sz w:val="24"/>
          <w:szCs w:val="24"/>
        </w:rPr>
      </w:pPr>
      <w:r>
        <w:rPr>
          <w:rFonts w:ascii="Garamond" w:hAnsi="Garamond"/>
          <w:sz w:val="24"/>
        </w:rPr>
        <w:t>Marking of packaging</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w:t>
      </w:r>
      <w:r>
        <w:rPr>
          <w:rFonts w:ascii="Garamond" w:hAnsi="Garamond"/>
          <w:i/>
          <w:sz w:val="24"/>
        </w:rPr>
        <w:t>Repealed</w:t>
      </w:r>
      <w:r>
        <w:rPr>
          <w:rFonts w:ascii="Garamond" w:hAnsi="Garamond"/>
          <w:sz w:val="24"/>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 xml:space="preserve">Without prejudice to paragraph 9, non-reusable primary packaging from </w:t>
      </w:r>
      <w:r>
        <w:rPr>
          <w:rFonts w:ascii="Garamond" w:hAnsi="Garamond"/>
          <w:sz w:val="24"/>
        </w:rPr>
        <w:lastRenderedPageBreak/>
        <w:t xml:space="preserve">other Member States of the European Union or third countries which has been marked with a specific symbol at origin may be placed on the market with that symbol.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Packaging which is managed under the deposit system referred to in Article 23-C shall be marked with the symbol defined in an ordinance to be approved by the members of the Government responsible for economic and environmental matters.</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In order to facilitate collection, reuse and recovery, including recycling, packaging shall indicate the nature of the packaging material(s) used, for the purposes of identification and classification by their industry, in accordance with the identification system established in Commission Decision No 97/129/EC of 28 January 1997, the system of which is set out in Annex IX to this Decree-Law and of which it forms an integral part.</w:t>
      </w:r>
    </w:p>
    <w:p w14:paraId="692F362A"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t xml:space="preserve">In order to promote the correct separation of waste and to increase the levels and quality of recycling, </w:t>
      </w:r>
      <w:bookmarkStart w:id="7" w:name="_Hlk61624722"/>
      <w:r>
        <w:t>recyclable packaging placed on the market shall be marked with appropriate sorting instructions,</w:t>
      </w:r>
      <w:bookmarkEnd w:id="7"/>
      <w:r>
        <w:t xml:space="preserve"> in particular the colour of the recycling bin in which they should be placed, in accordance with the terms to be determined by the Ordinance of the members of the Government responsible for economic and environmental matters.</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The marking referred to in the previous paragraph shall comply with the following requirements:</w:t>
      </w:r>
    </w:p>
    <w:p w14:paraId="08DBE96C" w14:textId="77777777" w:rsidR="006D6021" w:rsidRPr="008E5B84" w:rsidRDefault="00311339">
      <w:pPr>
        <w:widowControl w:val="0"/>
        <w:numPr>
          <w:ilvl w:val="0"/>
          <w:numId w:val="5"/>
        </w:numPr>
        <w:spacing w:after="120" w:line="360" w:lineRule="auto"/>
        <w:ind w:left="1418" w:right="567" w:hanging="284"/>
        <w:jc w:val="both"/>
        <w:rPr>
          <w:rFonts w:ascii="Garamond" w:hAnsi="Garamond"/>
          <w:sz w:val="24"/>
          <w:szCs w:val="24"/>
        </w:rPr>
      </w:pPr>
      <w:r>
        <w:rPr>
          <w:rFonts w:ascii="Garamond" w:hAnsi="Garamond"/>
          <w:sz w:val="24"/>
        </w:rPr>
        <w:t xml:space="preserve">It may be presented by iconography or written text, or </w:t>
      </w:r>
      <w:proofErr w:type="gramStart"/>
      <w:r>
        <w:rPr>
          <w:rFonts w:ascii="Garamond" w:hAnsi="Garamond"/>
          <w:sz w:val="24"/>
        </w:rPr>
        <w:t>both;</w:t>
      </w:r>
      <w:proofErr w:type="gramEnd"/>
    </w:p>
    <w:p w14:paraId="77968FCD" w14:textId="77777777" w:rsidR="006D6021" w:rsidRPr="008E5B84" w:rsidRDefault="00311339">
      <w:pPr>
        <w:widowControl w:val="0"/>
        <w:numPr>
          <w:ilvl w:val="0"/>
          <w:numId w:val="5"/>
        </w:numPr>
        <w:spacing w:after="120" w:line="360" w:lineRule="auto"/>
        <w:ind w:left="1418" w:right="567" w:hanging="284"/>
        <w:jc w:val="both"/>
        <w:rPr>
          <w:rFonts w:ascii="Garamond" w:hAnsi="Garamond"/>
          <w:sz w:val="24"/>
          <w:szCs w:val="24"/>
        </w:rPr>
      </w:pPr>
      <w:r>
        <w:rPr>
          <w:rFonts w:ascii="Garamond" w:hAnsi="Garamond"/>
          <w:sz w:val="24"/>
        </w:rPr>
        <w:t>It must be printed in a visible, legible and indelible form.</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Primary packaging and secondary packaging intended for the consumer shall be covered by the marking obligation referred to in paragraph 5.</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Packaging whose size does not permit marking in accordance with paragraph 6 shall be exempt from the obligation referred to in paragraph 5.</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In order to clarify the information to consumers and to promote the correct shipment of packaging waste, the placing on the market of recyclable and reusable packaging marked with the tidy-man symbol shall be prohibited from the date of entry into force of the obligation laid down in paragraph 5.</w:t>
      </w:r>
    </w:p>
    <w:p w14:paraId="5CFB03EA" w14:textId="77777777" w:rsidR="006D6021" w:rsidRPr="008E5B84" w:rsidRDefault="00311339">
      <w:pPr>
        <w:widowControl w:val="0"/>
        <w:numPr>
          <w:ilvl w:val="0"/>
          <w:numId w:val="4"/>
        </w:numPr>
        <w:spacing w:after="120" w:line="360" w:lineRule="auto"/>
        <w:ind w:right="567"/>
        <w:jc w:val="both"/>
        <w:rPr>
          <w:rFonts w:ascii="Garamond" w:hAnsi="Garamond"/>
          <w:sz w:val="24"/>
          <w:szCs w:val="24"/>
        </w:rPr>
      </w:pPr>
      <w:r>
        <w:rPr>
          <w:rFonts w:ascii="Garamond" w:hAnsi="Garamond"/>
          <w:sz w:val="24"/>
        </w:rPr>
        <w:lastRenderedPageBreak/>
        <w:t xml:space="preserve">The ordinance referred to in paragraph 5 shall be published by 31 December 2022, setting a transitional period for compliance with the marking obligation of not less than one year. </w:t>
      </w:r>
    </w:p>
    <w:p w14:paraId="2B5AE871" w14:textId="77777777" w:rsidR="006D6021" w:rsidRPr="008E5B84" w:rsidRDefault="00311339">
      <w:pPr>
        <w:pStyle w:val="ListParagraph"/>
        <w:widowControl w:val="0"/>
        <w:tabs>
          <w:tab w:val="left" w:pos="567"/>
        </w:tabs>
        <w:spacing w:after="120" w:line="360" w:lineRule="auto"/>
        <w:ind w:left="426"/>
        <w:jc w:val="center"/>
        <w:rPr>
          <w:rFonts w:ascii="Garamond" w:hAnsi="Garamond"/>
          <w:sz w:val="24"/>
          <w:szCs w:val="24"/>
        </w:rPr>
      </w:pPr>
      <w:r>
        <w:rPr>
          <w:rFonts w:ascii="Garamond" w:hAnsi="Garamond"/>
          <w:sz w:val="24"/>
        </w:rPr>
        <w:t>Article 90</w:t>
      </w:r>
    </w:p>
    <w:p w14:paraId="5993F2D8" w14:textId="679E6390" w:rsidR="006D6021" w:rsidRPr="008E5B84" w:rsidRDefault="00BB1999">
      <w:pPr>
        <w:pStyle w:val="ListParagraph"/>
        <w:widowControl w:val="0"/>
        <w:tabs>
          <w:tab w:val="left" w:pos="567"/>
        </w:tabs>
        <w:spacing w:after="120" w:line="360" w:lineRule="auto"/>
        <w:ind w:left="426"/>
        <w:jc w:val="center"/>
        <w:rPr>
          <w:rFonts w:ascii="Garamond" w:hAnsi="Garamond"/>
          <w:sz w:val="24"/>
          <w:szCs w:val="24"/>
        </w:rPr>
      </w:pPr>
      <w:r>
        <w:rPr>
          <w:rFonts w:ascii="Garamond" w:hAnsi="Garamond"/>
          <w:sz w:val="24"/>
        </w:rPr>
        <w:t>[…]</w:t>
      </w:r>
    </w:p>
    <w:p w14:paraId="1BD8205D" w14:textId="1A72943D" w:rsidR="006D6021" w:rsidRPr="008E5B84" w:rsidRDefault="00311339">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1 – [...].</w:t>
      </w:r>
    </w:p>
    <w:p w14:paraId="4D5E45BC" w14:textId="264AD440" w:rsidR="006D6021" w:rsidRPr="008E5B84" w:rsidRDefault="00311339">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2 - The performance of the following acts shall constitute a serious administrative offence, punishable in accordance with the Legislation on Administrative Offences:</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 xml:space="preserve">The exercise of the waste treatment activity by operators who do not meet the </w:t>
      </w:r>
      <w:r>
        <w:rPr>
          <w:rFonts w:ascii="Garamond" w:hAnsi="Garamond"/>
          <w:sz w:val="24"/>
        </w:rPr>
        <w:lastRenderedPageBreak/>
        <w:t>qualification requirements or standards as applicable in accordance with Article 8 (1), (5) and (6</w:t>
      </w:r>
      <w:proofErr w:type="gramStart"/>
      <w:r>
        <w:rPr>
          <w:rFonts w:ascii="Garamond" w:hAnsi="Garamond"/>
          <w:sz w:val="24"/>
        </w:rPr>
        <w:t>);</w:t>
      </w:r>
      <w:proofErr w:type="gramEnd"/>
      <w:r>
        <w:rPr>
          <w:rFonts w:ascii="Garamond" w:hAnsi="Garamond"/>
          <w:sz w:val="24"/>
        </w:rPr>
        <w:t xml:space="preserve">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Failure to comply with the obligation to mark packaging in accordance with Articles 23 (11) and 28 (3).</w:t>
      </w:r>
    </w:p>
    <w:p w14:paraId="63F4F092" w14:textId="77777777" w:rsidR="006D6021" w:rsidRPr="008E5B84" w:rsidRDefault="00311339" w:rsidP="008E5B84">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3 - The performance of the following acts shall constitute a light environmental administrative offence, punishable in accordance with the Framework Law on Environmental Administrative Offences:</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Non-compliance with the obligation to identify on the packaging the packaging material(s) used in accordance with Article 28 (4</w:t>
      </w:r>
      <w:proofErr w:type="gramStart"/>
      <w:r>
        <w:rPr>
          <w:rFonts w:ascii="Garamond" w:hAnsi="Garamond"/>
          <w:sz w:val="24"/>
        </w:rPr>
        <w:t>);</w:t>
      </w:r>
      <w:proofErr w:type="gramEnd"/>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Non-compliance with the obligation to identify the destination of the packaging when recyclable in accordance with Article 28 (5) and (6</w:t>
      </w:r>
      <w:proofErr w:type="gramStart"/>
      <w:r>
        <w:rPr>
          <w:rFonts w:ascii="Garamond" w:hAnsi="Garamond"/>
          <w:sz w:val="24"/>
        </w:rPr>
        <w:t>);</w:t>
      </w:r>
      <w:proofErr w:type="gramEnd"/>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 xml:space="preserve">The use of the tidy-man symbol on recyclable and reusable packaging in breach of Article 28 (9). </w:t>
      </w:r>
    </w:p>
    <w:p w14:paraId="7C8C6BB9" w14:textId="1CA7F2E5"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4 -</w:t>
      </w:r>
      <w:r>
        <w:rPr>
          <w:rFonts w:ascii="Garamond" w:hAnsi="Garamond"/>
          <w:sz w:val="24"/>
        </w:rPr>
        <w:tab/>
        <w:t>[…].</w:t>
      </w:r>
    </w:p>
    <w:p w14:paraId="320DA334" w14:textId="78F12E10"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5 -</w:t>
      </w:r>
      <w:r>
        <w:rPr>
          <w:rFonts w:ascii="Garamond" w:hAnsi="Garamond"/>
          <w:sz w:val="24"/>
        </w:rPr>
        <w:tab/>
        <w:t>[…].</w:t>
      </w:r>
    </w:p>
    <w:p w14:paraId="503ACA32" w14:textId="77777777"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6 -</w:t>
      </w:r>
      <w:r>
        <w:rPr>
          <w:rFonts w:ascii="Garamond" w:hAnsi="Garamond"/>
          <w:sz w:val="24"/>
        </w:rPr>
        <w:tab/>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7 -</w:t>
      </w:r>
      <w:r>
        <w:rPr>
          <w:rFonts w:ascii="Garamond" w:hAnsi="Garamond"/>
          <w:sz w:val="24"/>
        </w:rPr>
        <w:tab/>
        <w:t>[…].”</w:t>
      </w:r>
    </w:p>
    <w:p w14:paraId="4D8B5014"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rPr>
          <w:rFonts w:ascii="Garamond" w:hAnsi="Garamond"/>
          <w:sz w:val="24"/>
        </w:rPr>
        <w:t>Article 3</w:t>
      </w:r>
    </w:p>
    <w:p w14:paraId="748BF384"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t xml:space="preserve">Addition to </w:t>
      </w:r>
      <w:hyperlink r:id="rId22" w:tooltip="Decree-Law No 152-D/2017" w:history="1">
        <w:r>
          <w:rPr>
            <w:rFonts w:ascii="Garamond" w:hAnsi="Garamond"/>
            <w:sz w:val="24"/>
          </w:rPr>
          <w:t>Decree-Law No 152-D/2017</w:t>
        </w:r>
      </w:hyperlink>
      <w:r>
        <w:t xml:space="preserve"> of 11 December</w:t>
      </w:r>
    </w:p>
    <w:p w14:paraId="380A1081" w14:textId="6C021E2E" w:rsidR="006D6021" w:rsidRPr="008E5B84" w:rsidRDefault="00311339">
      <w:pPr>
        <w:shd w:val="clear" w:color="auto" w:fill="FFFFFF"/>
        <w:suppressAutoHyphens w:val="0"/>
        <w:spacing w:after="225" w:line="390" w:lineRule="atLeast"/>
        <w:jc w:val="both"/>
        <w:textAlignment w:val="auto"/>
        <w:rPr>
          <w:rFonts w:ascii="Garamond" w:hAnsi="Garamond"/>
          <w:sz w:val="24"/>
          <w:szCs w:val="24"/>
        </w:rPr>
      </w:pPr>
      <w:r>
        <w:t xml:space="preserve">Article 20-A is added to </w:t>
      </w:r>
      <w:hyperlink r:id="rId23" w:tooltip="Decree-Law No 152-D/2017" w:history="1">
        <w:r>
          <w:rPr>
            <w:rFonts w:ascii="Garamond" w:hAnsi="Garamond"/>
            <w:sz w:val="24"/>
          </w:rPr>
          <w:t>Decree-Law No 152-D/2017</w:t>
        </w:r>
      </w:hyperlink>
      <w:r>
        <w:t xml:space="preserve"> of 11 December, in its current wording, with the following wording:</w:t>
      </w:r>
    </w:p>
    <w:p w14:paraId="752800F2" w14:textId="77777777" w:rsidR="006D6021" w:rsidRPr="008E5B84" w:rsidRDefault="00311339">
      <w:pPr>
        <w:widowControl w:val="0"/>
        <w:spacing w:after="120" w:line="360" w:lineRule="auto"/>
        <w:jc w:val="center"/>
        <w:rPr>
          <w:rFonts w:ascii="Garamond" w:hAnsi="Garamond"/>
          <w:sz w:val="24"/>
          <w:szCs w:val="24"/>
        </w:rPr>
      </w:pPr>
      <w:r>
        <w:rPr>
          <w:rFonts w:ascii="Garamond" w:hAnsi="Garamond"/>
          <w:sz w:val="24"/>
        </w:rPr>
        <w:t>“Article 20-A</w:t>
      </w:r>
    </w:p>
    <w:p w14:paraId="1AB94D2F" w14:textId="77777777" w:rsidR="006D6021" w:rsidRPr="008E5B84" w:rsidRDefault="00311339">
      <w:pPr>
        <w:widowControl w:val="0"/>
        <w:spacing w:after="120" w:line="360" w:lineRule="auto"/>
        <w:jc w:val="center"/>
        <w:rPr>
          <w:rFonts w:ascii="Garamond" w:hAnsi="Garamond"/>
          <w:sz w:val="24"/>
          <w:szCs w:val="24"/>
        </w:rPr>
      </w:pPr>
      <w:r>
        <w:rPr>
          <w:rFonts w:ascii="Garamond" w:hAnsi="Garamond"/>
          <w:sz w:val="24"/>
        </w:rPr>
        <w:t xml:space="preserve">Responsibility of the intermediary networking service provider </w:t>
      </w:r>
    </w:p>
    <w:p w14:paraId="51D2D4EC" w14:textId="77777777" w:rsidR="006D6021" w:rsidRPr="008E5B84" w:rsidRDefault="00311339">
      <w:pPr>
        <w:numPr>
          <w:ilvl w:val="0"/>
          <w:numId w:val="6"/>
        </w:numPr>
        <w:spacing w:after="0" w:line="360" w:lineRule="auto"/>
        <w:ind w:left="993"/>
        <w:jc w:val="both"/>
        <w:rPr>
          <w:rFonts w:ascii="Garamond" w:hAnsi="Garamond"/>
          <w:sz w:val="24"/>
          <w:szCs w:val="24"/>
        </w:rPr>
      </w:pPr>
      <w:r>
        <w:rPr>
          <w:rFonts w:ascii="Garamond" w:hAnsi="Garamond"/>
          <w:sz w:val="24"/>
        </w:rPr>
        <w:t xml:space="preserve">The intermediary provider of computer-mediated communication services not considered to be a producer for the purposes of this Decree-Law, but which facilitates, </w:t>
      </w:r>
      <w:proofErr w:type="gramStart"/>
      <w:r>
        <w:rPr>
          <w:rFonts w:ascii="Garamond" w:hAnsi="Garamond"/>
          <w:sz w:val="24"/>
        </w:rPr>
        <w:t>through the use of</w:t>
      </w:r>
      <w:proofErr w:type="gramEnd"/>
      <w:r>
        <w:rPr>
          <w:rFonts w:ascii="Garamond" w:hAnsi="Garamond"/>
          <w:sz w:val="24"/>
        </w:rPr>
        <w:t xml:space="preserve"> an electronic interface such as a market, platform, portal or similar device, the distance selling or delivery of products covered by the producer’s extended liability principle on behalf of a third party, shall request this information to prove compliance with the obligations relating to:</w:t>
      </w:r>
    </w:p>
    <w:p w14:paraId="203F3B33" w14:textId="77777777" w:rsidR="006D6021" w:rsidRPr="008E5B84" w:rsidRDefault="00311339">
      <w:pPr>
        <w:numPr>
          <w:ilvl w:val="1"/>
          <w:numId w:val="6"/>
        </w:numPr>
        <w:spacing w:after="120" w:line="360" w:lineRule="auto"/>
        <w:ind w:left="1560" w:hanging="284"/>
        <w:jc w:val="both"/>
        <w:rPr>
          <w:rFonts w:ascii="Garamond" w:hAnsi="Garamond"/>
          <w:sz w:val="24"/>
          <w:szCs w:val="24"/>
        </w:rPr>
      </w:pPr>
      <w:r>
        <w:rPr>
          <w:rFonts w:ascii="Garamond" w:hAnsi="Garamond"/>
          <w:sz w:val="24"/>
        </w:rPr>
        <w:lastRenderedPageBreak/>
        <w:t>Entry and annual submission of data to the SIRER in accordance with Article 19 (1</w:t>
      </w:r>
      <w:proofErr w:type="gramStart"/>
      <w:r>
        <w:rPr>
          <w:rFonts w:ascii="Garamond" w:hAnsi="Garamond"/>
          <w:sz w:val="24"/>
        </w:rPr>
        <w:t>);</w:t>
      </w:r>
      <w:proofErr w:type="gramEnd"/>
    </w:p>
    <w:p w14:paraId="34CEE8B9" w14:textId="77777777" w:rsidR="006D6021" w:rsidRPr="008E5B84" w:rsidRDefault="00311339">
      <w:pPr>
        <w:numPr>
          <w:ilvl w:val="1"/>
          <w:numId w:val="6"/>
        </w:numPr>
        <w:spacing w:after="120" w:line="360" w:lineRule="auto"/>
        <w:ind w:left="1560" w:hanging="284"/>
        <w:jc w:val="both"/>
        <w:rPr>
          <w:rFonts w:ascii="Garamond" w:hAnsi="Garamond"/>
          <w:sz w:val="24"/>
          <w:szCs w:val="24"/>
        </w:rPr>
      </w:pPr>
      <w:r>
        <w:rPr>
          <w:rFonts w:ascii="Garamond" w:hAnsi="Garamond"/>
          <w:sz w:val="24"/>
        </w:rPr>
        <w:t>Adoption of one of the systems provided for in Article 7 (1) for the type or product category available on the platform.</w:t>
      </w:r>
    </w:p>
    <w:p w14:paraId="00C2C8D8" w14:textId="77777777" w:rsidR="006D6021" w:rsidRPr="008E5B84" w:rsidRDefault="00311339">
      <w:pPr>
        <w:numPr>
          <w:ilvl w:val="0"/>
          <w:numId w:val="6"/>
        </w:numPr>
        <w:spacing w:after="0" w:line="360" w:lineRule="auto"/>
        <w:ind w:left="993"/>
        <w:jc w:val="both"/>
        <w:rPr>
          <w:rFonts w:ascii="Garamond" w:hAnsi="Garamond"/>
          <w:sz w:val="24"/>
          <w:szCs w:val="24"/>
        </w:rPr>
      </w:pPr>
      <w:r>
        <w:rPr>
          <w:rFonts w:ascii="Garamond" w:hAnsi="Garamond"/>
          <w:sz w:val="24"/>
        </w:rPr>
        <w:t>For the purposes of the previous paragraph, the intermediary provider of computer-mediated communication services shall require the information concerned as a prerequisite for registering on the platform and for the purposes of the contractual procedure and thereafter an update on that information on an annual basis.</w:t>
      </w:r>
    </w:p>
    <w:p w14:paraId="4B9FAC75" w14:textId="77777777" w:rsidR="006D6021" w:rsidRDefault="00311339">
      <w:pPr>
        <w:numPr>
          <w:ilvl w:val="0"/>
          <w:numId w:val="6"/>
        </w:numPr>
        <w:spacing w:after="0" w:line="360" w:lineRule="auto"/>
        <w:ind w:left="993"/>
        <w:jc w:val="both"/>
        <w:rPr>
          <w:rFonts w:ascii="Garamond" w:hAnsi="Garamond"/>
          <w:sz w:val="24"/>
          <w:szCs w:val="24"/>
        </w:rPr>
      </w:pPr>
      <w:r>
        <w:rPr>
          <w:rFonts w:ascii="Garamond" w:hAnsi="Garamond"/>
          <w:sz w:val="24"/>
        </w:rPr>
        <w:t>The intermediary provider of computer-mediated communication services which facilitates, through the use of an electronic interface such as a market, a platform, a portal or similar device, the distance selling or the delivery of used parts of WEEE and VFV for reuse, shall request from the seller information proving compliance with the obligation to ensure that the parts used come from licensed dismantling operators, and shall, inter alia, require information on the number of the licensee of the decommissioning operator made available on the platform.”</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rFonts w:ascii="Garamond" w:eastAsia="Times New Roman" w:hAnsi="Garamond" w:cs="Calibri Light"/>
          <w:sz w:val="24"/>
          <w:szCs w:val="24"/>
        </w:rPr>
      </w:pPr>
      <w:r>
        <w:rPr>
          <w:rFonts w:ascii="Garamond" w:hAnsi="Garamond"/>
          <w:sz w:val="24"/>
        </w:rPr>
        <w:t>Article 4</w:t>
      </w:r>
    </w:p>
    <w:p w14:paraId="47C9561F" w14:textId="77777777" w:rsidR="006D6021" w:rsidRPr="008E5B84" w:rsidRDefault="00311339">
      <w:pPr>
        <w:widowControl w:val="0"/>
        <w:tabs>
          <w:tab w:val="left" w:pos="142"/>
        </w:tabs>
        <w:spacing w:after="120" w:line="360" w:lineRule="auto"/>
        <w:jc w:val="center"/>
        <w:rPr>
          <w:rFonts w:ascii="Garamond" w:eastAsia="Times New Roman" w:hAnsi="Garamond" w:cs="Calibri Light"/>
          <w:sz w:val="24"/>
          <w:szCs w:val="24"/>
        </w:rPr>
      </w:pPr>
      <w:r>
        <w:rPr>
          <w:rFonts w:ascii="Garamond" w:hAnsi="Garamond"/>
          <w:sz w:val="24"/>
        </w:rPr>
        <w:t xml:space="preserve">Transitional arrangements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rFonts w:ascii="Garamond" w:hAnsi="Garamond"/>
          <w:sz w:val="24"/>
          <w:szCs w:val="24"/>
        </w:rPr>
      </w:pPr>
      <w:r>
        <w:rPr>
          <w:rFonts w:ascii="Garamond" w:hAnsi="Garamond"/>
          <w:sz w:val="24"/>
        </w:rPr>
        <w:t xml:space="preserve">The provisions of Article 8 (5) of Decree-Law No 152-D/2017 of 11 December, as amended by this Decree-Law, shall apply one year after the entry into force of this Decree-Law.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The provisions of Article 8 (6) of Decree-Law No 152-D/2017 of 11 December, as amended by this Decree-Law, shall apply two years after the entry into force of this Decree-Law.</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 xml:space="preserve">The first year of fulfilment of the obligation laid down in Article 8 (8) of Decree-Law No 152-D/2017 of 11 December, as amended by this Decree-Law, shall be 2022, </w:t>
      </w:r>
      <w:proofErr w:type="gramStart"/>
      <w:r>
        <w:rPr>
          <w:rFonts w:ascii="Garamond" w:hAnsi="Garamond"/>
          <w:sz w:val="24"/>
        </w:rPr>
        <w:t>with regard to</w:t>
      </w:r>
      <w:proofErr w:type="gramEnd"/>
      <w:r>
        <w:rPr>
          <w:rFonts w:ascii="Garamond" w:hAnsi="Garamond"/>
          <w:sz w:val="24"/>
        </w:rPr>
        <w:t xml:space="preserve"> 2021, without prejudice to the provisions of paragraph 9 of that Article, and provided that there are, at that date, qualified verifiers.</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The provisions of Article 28 (4) of Decree-Law No 152-D/2017 of 11 December, as amended by this Decree-Law, shall apply two years after the entry into force of this Decree-Law.</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rFonts w:ascii="Garamond" w:hAnsi="Garamond"/>
          <w:sz w:val="24"/>
          <w:szCs w:val="24"/>
        </w:rPr>
      </w:pPr>
      <w:r>
        <w:rPr>
          <w:rFonts w:ascii="Garamond" w:hAnsi="Garamond"/>
          <w:sz w:val="24"/>
        </w:rPr>
        <w:t>Article 5</w:t>
      </w:r>
    </w:p>
    <w:p w14:paraId="3E008870" w14:textId="2B7749B8" w:rsidR="00FA19BE" w:rsidRPr="008E5B84" w:rsidRDefault="00FA19BE" w:rsidP="00FA19BE">
      <w:pPr>
        <w:jc w:val="center"/>
        <w:rPr>
          <w:rFonts w:ascii="Garamond" w:hAnsi="Garamond"/>
          <w:sz w:val="24"/>
          <w:szCs w:val="24"/>
        </w:rPr>
      </w:pPr>
      <w:r>
        <w:rPr>
          <w:rFonts w:ascii="Garamond" w:hAnsi="Garamond"/>
          <w:sz w:val="24"/>
        </w:rPr>
        <w:t>Repeal</w:t>
      </w:r>
    </w:p>
    <w:p w14:paraId="357EF3D3" w14:textId="36BD9C91" w:rsidR="00FA19BE" w:rsidRPr="008E5B84" w:rsidRDefault="00FA19BE" w:rsidP="00FA19BE">
      <w:pPr>
        <w:shd w:val="clear" w:color="auto" w:fill="FFFFFF"/>
        <w:suppressAutoHyphens w:val="0"/>
        <w:spacing w:after="225" w:line="390" w:lineRule="atLeast"/>
        <w:jc w:val="both"/>
        <w:textAlignment w:val="auto"/>
        <w:rPr>
          <w:rFonts w:ascii="Garamond" w:hAnsi="Garamond"/>
          <w:sz w:val="24"/>
          <w:szCs w:val="24"/>
        </w:rPr>
      </w:pPr>
      <w:r>
        <w:rPr>
          <w:rFonts w:ascii="Garamond" w:hAnsi="Garamond"/>
          <w:sz w:val="24"/>
        </w:rPr>
        <w:t xml:space="preserve">Article 28 (1) of Decree-Law No 152-D/2017 of 11 December, as amended by Law No 69/2018 of 26 December and 41/2019 of 21 June, by Decree-Law No 86/2020 of 14 October, and amended and republished by Decree-Law No 102-D/2020 of 10 December, is repealed.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rFonts w:ascii="Garamond" w:hAnsi="Garamond"/>
          <w:sz w:val="24"/>
          <w:szCs w:val="24"/>
        </w:rPr>
      </w:pPr>
      <w:r>
        <w:rPr>
          <w:rFonts w:ascii="Garamond" w:hAnsi="Garamond"/>
          <w:sz w:val="24"/>
        </w:rPr>
        <w:t>Article 6</w:t>
      </w:r>
    </w:p>
    <w:p w14:paraId="75EC9DA9" w14:textId="77777777" w:rsidR="006D6021" w:rsidRPr="008E5B84" w:rsidRDefault="00311339">
      <w:pPr>
        <w:jc w:val="center"/>
        <w:rPr>
          <w:rFonts w:ascii="Garamond" w:hAnsi="Garamond"/>
          <w:sz w:val="24"/>
          <w:szCs w:val="24"/>
        </w:rPr>
      </w:pPr>
      <w:r>
        <w:rPr>
          <w:rFonts w:ascii="Garamond" w:hAnsi="Garamond"/>
          <w:sz w:val="24"/>
        </w:rPr>
        <w:t>Entry into force</w:t>
      </w:r>
    </w:p>
    <w:p w14:paraId="116948F8" w14:textId="77777777" w:rsidR="006D6021" w:rsidRPr="008E5B84" w:rsidRDefault="00311339" w:rsidP="008E5B84">
      <w:pPr>
        <w:shd w:val="clear" w:color="auto" w:fill="FFFFFF"/>
        <w:suppressAutoHyphens w:val="0"/>
        <w:spacing w:after="225" w:line="390" w:lineRule="atLeast"/>
        <w:jc w:val="both"/>
        <w:textAlignment w:val="auto"/>
        <w:rPr>
          <w:rFonts w:ascii="Garamond" w:hAnsi="Garamond"/>
          <w:sz w:val="24"/>
          <w:szCs w:val="24"/>
        </w:rPr>
      </w:pPr>
      <w:r>
        <w:rPr>
          <w:rFonts w:ascii="Garamond" w:hAnsi="Garamond"/>
          <w:sz w:val="24"/>
        </w:rPr>
        <w:t xml:space="preserve">This Decree-Law shall enter into force on the following date of its publication.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dre.pt/application/external/eurolex?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dre.pt/application/external/eurolex?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external/eurolex?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e.pt/application/external/eurolex?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dre.pt/application/external/eurolex?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dre.pt/application/external/eurolex?94L0062" TargetMode="External"/><Relationship Id="rId14" Type="http://schemas.openxmlformats.org/officeDocument/2006/relationships/hyperlink" Target="https://dre.pt/application/external/eurolex?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2233</Words>
  <Characters>12730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cp:lastModifiedBy>
  <cp:revision>10</cp:revision>
  <dcterms:created xsi:type="dcterms:W3CDTF">2021-02-18T16:42:00Z</dcterms:created>
  <dcterms:modified xsi:type="dcterms:W3CDTF">2021-03-01T14:11:00Z</dcterms:modified>
</cp:coreProperties>
</file>