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DE0A"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r>
        <w:rPr>
          <w:sz w:val="24"/>
          <w:rFonts w:ascii="Garamond" w:hAnsi="Garamond"/>
        </w:rPr>
        <w:t xml:space="preserve">DL N° XX/2020</w:t>
      </w:r>
      <w:r>
        <w:rPr>
          <w:sz w:val="24"/>
          <w:rFonts w:ascii="Garamond" w:hAnsi="Garamond"/>
        </w:rPr>
        <w:t xml:space="preserve"> </w:t>
      </w:r>
    </w:p>
    <w:p w14:paraId="5D0DF49B"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r>
        <w:t xml:space="preserve">Le </w:t>
      </w:r>
      <w:bookmarkStart w:id="0" w:name="_Hlk61623095"/>
      <w:r>
        <w:t xml:space="preserve">Décret-Loi n° 102-D/2020 du 10 décembre</w:t>
      </w:r>
      <w:bookmarkEnd w:id="0"/>
      <w:r>
        <w:t xml:space="preserve"> mis à jour en tant que </w:t>
      </w:r>
      <w:hyperlink r:id="rId8" w:tooltip="Décret-Loi n° 152-D/2017" w:history="1">
        <w:r>
          <w:rPr>
            <w:sz w:val="24"/>
            <w:rFonts w:ascii="Garamond" w:hAnsi="Garamond"/>
          </w:rPr>
          <w:t xml:space="preserve">Décret-Loi n° 152-D/2017</w:t>
        </w:r>
      </w:hyperlink>
      <w:r>
        <w:t xml:space="preserve"> du 11 décembre, qui transpose en loi interne la </w:t>
      </w:r>
      <w:hyperlink r:id="rId9" w:tooltip="Lien vers la Directive de l’Union européenne" w:history="1">
        <w:r>
          <w:rPr>
            <w:sz w:val="24"/>
            <w:rFonts w:ascii="Garamond" w:hAnsi="Garamond"/>
          </w:rPr>
          <w:t xml:space="preserve">Directive 94/62/CE</w:t>
        </w:r>
      </w:hyperlink>
      <w:r>
        <w:t xml:space="preserve"> du Parlement Européen et du Conseil du 20 décembre 1994 sur les emballages et les déchets d’emballages, telle qu’elle est modifiée par la Directive (UE) </w:t>
      </w:r>
      <w:hyperlink r:id="rId10" w:tooltip="Lien vers la Directive de l’Union européenne" w:history="1">
        <w:r>
          <w:rPr>
            <w:sz w:val="24"/>
            <w:rFonts w:ascii="Garamond" w:hAnsi="Garamond"/>
          </w:rPr>
          <w:t xml:space="preserve">2018/852</w:t>
        </w:r>
      </w:hyperlink>
      <w:r>
        <w:t xml:space="preserve"> du Parlement Européen du 30 mai 2018, et les Directives </w:t>
      </w:r>
      <w:hyperlink r:id="rId11" w:tooltip="Lien vers la Directive de l’Union européenne" w:history="1">
        <w:r>
          <w:rPr>
            <w:sz w:val="24"/>
            <w:rFonts w:ascii="Garamond" w:hAnsi="Garamond"/>
          </w:rPr>
          <w:t xml:space="preserve">2000/53/CE</w:t>
        </w:r>
      </w:hyperlink>
      <w:r>
        <w:t xml:space="preserve"> sur les véhicules en fin de vie, </w:t>
      </w:r>
      <w:hyperlink r:id="rId12" w:tooltip="Lien vers la Directive de l’Union européenne" w:history="1">
        <w:r>
          <w:rPr>
            <w:sz w:val="24"/>
            <w:rFonts w:ascii="Garamond" w:hAnsi="Garamond"/>
          </w:rPr>
          <w:t xml:space="preserve">2006/66/CE</w:t>
        </w:r>
      </w:hyperlink>
      <w:r>
        <w:t xml:space="preserve"> sur les batteries, piles et leurs déchets, et </w:t>
      </w:r>
      <w:hyperlink r:id="rId13" w:tooltip="Lien vers la Directive de l’Union européenne" w:history="1">
        <w:r>
          <w:rPr>
            <w:sz w:val="24"/>
            <w:rFonts w:ascii="Garamond" w:hAnsi="Garamond"/>
          </w:rPr>
          <w:t xml:space="preserve">2012/19/UE</w:t>
        </w:r>
      </w:hyperlink>
      <w:r>
        <w:t xml:space="preserve"> sur les déchets d’équipement électronique et électrique, telles qu’elles sont amendées par la Directive (UE) </w:t>
      </w:r>
      <w:hyperlink r:id="rId14" w:tooltip="Lien vers la Directive de l’Union européenne" w:history="1">
        <w:r>
          <w:rPr>
            <w:sz w:val="24"/>
            <w:rFonts w:ascii="Garamond" w:hAnsi="Garamond"/>
          </w:rPr>
          <w:t xml:space="preserve">2018/849</w:t>
        </w:r>
      </w:hyperlink>
      <w:r>
        <w:t xml:space="preserve"> du Parlement Européen et du Conseil du 30 mai 2018.</w:t>
      </w:r>
    </w:p>
    <w:p w14:paraId="7B6DC961" w14:textId="7C6704AB" w:rsidR="006D6021" w:rsidRPr="008E5B84" w:rsidRDefault="00311339">
      <w:pPr>
        <w:spacing w:after="120" w:line="360" w:lineRule="auto"/>
        <w:jc w:val="both"/>
        <w:rPr>
          <w:sz w:val="24"/>
          <w:szCs w:val="24"/>
          <w:rFonts w:ascii="Garamond" w:hAnsi="Garamond"/>
        </w:rPr>
      </w:pPr>
      <w:r>
        <w:t xml:space="preserve">Afin de transposer rapidement ces Directives et de se conformer à la procédure d’information dans le domaine des réglementations techniques et des règles relatives aux services de la société de l’information prévue par la </w:t>
      </w:r>
      <w:hyperlink r:id="rId15" w:tooltip="Lien vers la Directive de l’Union européenne" w:history="1">
        <w:r>
          <w:rPr>
            <w:sz w:val="24"/>
            <w:rFonts w:ascii="Garamond" w:hAnsi="Garamond"/>
          </w:rPr>
          <w:t xml:space="preserve">Directive (UE) 2015/1535</w:t>
        </w:r>
      </w:hyperlink>
      <w:r>
        <w:t xml:space="preserve"> du Parlement européen et du Conseil du 9 septembre 2015, d’autres modifications nécessaires au  </w:t>
      </w:r>
      <w:hyperlink r:id="rId15" w:tooltip="Lien vers la Directive de l’Union européenne" w:history="1">
        <w:r>
          <w:rPr>
            <w:sz w:val="24"/>
            <w:rFonts w:ascii="Garamond" w:hAnsi="Garamond"/>
          </w:rPr>
          <w:t xml:space="preserve">Décret-Loi n° 152-D/2017</w:t>
        </w:r>
      </w:hyperlink>
      <w:r>
        <w:t xml:space="preserve"> du 11 décembre ont été soumises pour approbation à une date ultérieure.</w:t>
      </w:r>
      <w:r>
        <w:rPr>
          <w:sz w:val="24"/>
          <w:rFonts w:ascii="Garamond" w:hAnsi="Garamond"/>
        </w:rPr>
        <w:t xml:space="preserve"> </w:t>
      </w:r>
    </w:p>
    <w:p w14:paraId="3DD37DBB" w14:textId="6C301508" w:rsidR="006D6021" w:rsidRPr="008E5B84" w:rsidRDefault="00311339">
      <w:pPr>
        <w:spacing w:after="120" w:line="360" w:lineRule="auto"/>
        <w:jc w:val="both"/>
        <w:rPr>
          <w:sz w:val="24"/>
          <w:szCs w:val="24"/>
          <w:rFonts w:ascii="Garamond" w:hAnsi="Garamond"/>
        </w:rPr>
      </w:pPr>
      <w:r>
        <w:rPr>
          <w:sz w:val="24"/>
          <w:rFonts w:ascii="Garamond" w:hAnsi="Garamond"/>
        </w:rPr>
        <w:t xml:space="preserve">Ce Décret-Loi approuve ainsi les mises à jour susmentionnées, en particulier l’introduction du marquage des emballages réutilisables et des emballages gérés dans le cadre du système de dépôt, et le marquage des emballages recyclables avec des instructions de tri appropriées.</w:t>
      </w:r>
      <w:r>
        <w:rPr>
          <w:sz w:val="24"/>
          <w:rFonts w:ascii="Garamond" w:hAnsi="Garamond"/>
        </w:rPr>
        <w:t xml:space="preserve"> </w:t>
      </w:r>
      <w:r>
        <w:rPr>
          <w:sz w:val="24"/>
          <w:rFonts w:ascii="Garamond" w:hAnsi="Garamond"/>
        </w:rPr>
        <w:t xml:space="preserve">Elle prévoit également l’obligation pour les opérateurs de traitement des déchets de prouver chaque année au donneur que les exigences de qualification et les normes applicables sont satisfaites par un document délivré par des vérificateurs qualifiés.</w:t>
      </w:r>
      <w:r>
        <w:rPr>
          <w:sz w:val="24"/>
          <w:rFonts w:ascii="Garamond" w:hAnsi="Garamond"/>
        </w:rPr>
        <w:t xml:space="preserve"> </w:t>
      </w:r>
    </w:p>
    <w:p w14:paraId="758B538F" w14:textId="77777777" w:rsidR="006D6021" w:rsidRPr="008E5B84" w:rsidRDefault="00311339">
      <w:pPr>
        <w:pStyle w:val="Ttulo4"/>
        <w:widowControl w:val="0"/>
        <w:spacing w:after="120" w:line="360" w:lineRule="auto"/>
        <w:ind w:firstLine="0"/>
        <w:jc w:val="left"/>
        <w:outlineLvl w:val="9"/>
        <w:rPr>
          <w:sz w:val="24"/>
          <w:szCs w:val="24"/>
          <w:rFonts w:ascii="Garamond" w:hAnsi="Garamond"/>
        </w:rPr>
      </w:pPr>
      <w:r>
        <w:rPr>
          <w:sz w:val="24"/>
          <w:rFonts w:ascii="Garamond" w:hAnsi="Garamond"/>
        </w:rPr>
        <w:t xml:space="preserve">Les organes autonomes des Régions Autonomes ont été entendus.</w:t>
      </w:r>
    </w:p>
    <w:p w14:paraId="7D1192FA"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Donc:</w:t>
      </w:r>
    </w:p>
    <w:p w14:paraId="26406EBE"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Conformément à l’article 198, paragraphe 1, point a), de la Constitution, le Gouvernement décrète ce qui suit:</w:t>
      </w:r>
    </w:p>
    <w:p w14:paraId="10E5347C" w14:textId="77777777" w:rsidR="006D6021" w:rsidRPr="008E5B84" w:rsidRDefault="006D6021">
      <w:pPr>
        <w:pStyle w:val="NormalWeb"/>
        <w:shd w:val="clear" w:color="auto" w:fill="FFFFFF"/>
        <w:spacing w:before="0" w:after="225" w:line="390" w:lineRule="atLeast"/>
        <w:jc w:val="both"/>
        <w:rPr>
          <w:rFonts w:ascii="Garamond" w:hAnsi="Garamond"/>
          <w:color w:val="333333"/>
        </w:rPr>
      </w:pPr>
    </w:p>
    <w:p w14:paraId="4D7E55DE" w14:textId="02B10543" w:rsidR="006D6021" w:rsidRPr="008E5B84" w:rsidRDefault="00BC4ADA" w:rsidP="00BC4ADA">
      <w:pPr>
        <w:suppressAutoHyphens w:val="0"/>
        <w:rPr>
          <w:color w:val="333333"/>
          <w:sz w:val="24"/>
          <w:szCs w:val="24"/>
          <w:rFonts w:ascii="Garamond" w:eastAsia="Times New Roman" w:hAnsi="Garamond"/>
        </w:rPr>
      </w:pPr>
      <w:r>
        <w:br w:type="page"/>
      </w:r>
    </w:p>
    <w:p w14:paraId="34A618C4"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Article 1</w:t>
      </w:r>
    </w:p>
    <w:p w14:paraId="6310E1C1"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Objet</w:t>
      </w:r>
    </w:p>
    <w:p w14:paraId="19B19F0E" w14:textId="3AE3B598" w:rsidR="006D6021" w:rsidRPr="008E5B84" w:rsidRDefault="00311339">
      <w:pPr>
        <w:pStyle w:val="Ttulo4"/>
        <w:widowControl w:val="0"/>
        <w:spacing w:after="120" w:line="360" w:lineRule="auto"/>
        <w:ind w:firstLine="0"/>
        <w:jc w:val="both"/>
        <w:outlineLvl w:val="9"/>
        <w:rPr>
          <w:sz w:val="24"/>
          <w:szCs w:val="24"/>
          <w:rFonts w:ascii="Garamond" w:hAnsi="Garamond"/>
        </w:rPr>
      </w:pPr>
      <w:r>
        <w:t xml:space="preserve">Ce Décret-Loi apporte le cinquième amendement au </w:t>
      </w:r>
      <w:hyperlink r:id="rId17" w:tooltip="Décret-Loi n° 152-D/2017" w:history="1">
        <w:r>
          <w:rPr>
            <w:sz w:val="24"/>
            <w:rFonts w:ascii="Garamond" w:hAnsi="Garamond"/>
          </w:rPr>
          <w:t xml:space="preserve">Décret-Loi n° 152-D/2017</w:t>
        </w:r>
      </w:hyperlink>
      <w:r>
        <w:t xml:space="preserve"> du 11 décembre, tel que modifié par les lois n° </w:t>
      </w:r>
      <w:hyperlink r:id="rId17" w:tooltip="Décret-Loi n° 152-D/2017" w:history="1">
        <w:r>
          <w:rPr>
            <w:sz w:val="24"/>
            <w:rFonts w:ascii="Garamond" w:hAnsi="Garamond"/>
          </w:rPr>
          <w:t xml:space="preserve">69/2018</w:t>
        </w:r>
      </w:hyperlink>
      <w:r>
        <w:t xml:space="preserve"> du 26 décembre et n° </w:t>
      </w:r>
      <w:hyperlink r:id="rId17" w:tooltip="Décret-Loi n° 152-D/2017" w:history="1">
        <w:r>
          <w:rPr>
            <w:sz w:val="24"/>
            <w:rFonts w:ascii="Garamond" w:hAnsi="Garamond"/>
          </w:rPr>
          <w:t xml:space="preserve">41/2019</w:t>
        </w:r>
      </w:hyperlink>
      <w:r>
        <w:t xml:space="preserve"> du 21 juin, par le </w:t>
      </w:r>
      <w:hyperlink r:id="rId17" w:tooltip="Décret-Loi n° 152-D/2017" w:history="1">
        <w:r>
          <w:rPr>
            <w:sz w:val="24"/>
            <w:rFonts w:ascii="Garamond" w:hAnsi="Garamond"/>
          </w:rPr>
          <w:t xml:space="preserve">Décret-Loi n° 86/2020</w:t>
        </w:r>
      </w:hyperlink>
      <w:r>
        <w:t xml:space="preserve"> du 14 octobre, et modifié et publié à nouveau par le Décret-Loi n° 102-D/2020 du 10 décembre.</w:t>
      </w:r>
      <w:r>
        <w:rPr>
          <w:sz w:val="24"/>
          <w:rFonts w:ascii="Garamond" w:hAnsi="Garamond"/>
        </w:rPr>
        <w:t xml:space="preserve"> </w:t>
      </w:r>
    </w:p>
    <w:p w14:paraId="11139F74" w14:textId="77777777" w:rsidR="006D6021" w:rsidRPr="008E5B84" w:rsidRDefault="00311339">
      <w:pPr>
        <w:jc w:val="center"/>
        <w:rPr>
          <w:sz w:val="24"/>
          <w:szCs w:val="24"/>
          <w:rFonts w:ascii="Garamond" w:hAnsi="Garamond"/>
        </w:rPr>
      </w:pPr>
      <w:r>
        <w:rPr>
          <w:sz w:val="24"/>
          <w:rFonts w:ascii="Garamond" w:hAnsi="Garamond"/>
        </w:rPr>
        <w:t xml:space="preserve">Article 2</w:t>
      </w:r>
    </w:p>
    <w:p w14:paraId="38D8E667" w14:textId="77777777" w:rsidR="006D6021" w:rsidRPr="008E5B84" w:rsidRDefault="00311339">
      <w:pPr>
        <w:jc w:val="center"/>
        <w:rPr>
          <w:sz w:val="24"/>
          <w:szCs w:val="24"/>
          <w:rFonts w:ascii="Garamond" w:hAnsi="Garamond"/>
        </w:rPr>
      </w:pPr>
      <w:r>
        <w:rPr>
          <w:sz w:val="24"/>
          <w:rFonts w:ascii="Garamond" w:hAnsi="Garamond"/>
        </w:rPr>
        <w:t xml:space="preserve">Modification du Décret-Loi n° 152-D/2017 du 11 décembre</w:t>
      </w:r>
    </w:p>
    <w:p w14:paraId="740BDF45" w14:textId="1C138E32" w:rsidR="006D6021" w:rsidRPr="008E5B84" w:rsidRDefault="00311339">
      <w:pPr>
        <w:pStyle w:val="NormalWeb"/>
        <w:shd w:val="clear" w:color="auto" w:fill="FFFFFF"/>
        <w:spacing w:before="0" w:after="225" w:line="390" w:lineRule="atLeast"/>
        <w:jc w:val="both"/>
        <w:rPr>
          <w:rFonts w:ascii="Garamond" w:hAnsi="Garamond"/>
        </w:rPr>
      </w:pPr>
      <w:r>
        <w:t xml:space="preserve">Les articles 8, 23, 28 et 90 du </w:t>
      </w:r>
      <w:hyperlink r:id="rId21" w:tooltip="Décret-Loi n° 152-D/2017" w:history="1">
        <w:r>
          <w:rPr>
            <w:rFonts w:ascii="Garamond" w:hAnsi="Garamond"/>
          </w:rPr>
          <w:t xml:space="preserve">Décret-Loi n° 152-D/2017</w:t>
        </w:r>
      </w:hyperlink>
      <w:r>
        <w:t xml:space="preserve"> du 11 décembre, dans leur libellé actuel, sont remplacés par le texte suivant:</w:t>
      </w:r>
    </w:p>
    <w:p w14:paraId="2CB88C12"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«Article 8</w:t>
      </w:r>
    </w:p>
    <w:p w14:paraId="3EE26575"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Qualification des opérateurs de traitement des déchets, y compris le stockage</w:t>
      </w:r>
    </w:p>
    <w:p w14:paraId="0E5B07F5" w14:textId="4679E0F2"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Sans préjudice des paragraphes 5 et 6, les opérateurs de traitement des déchets, incluant le stockage, opérant dans les flux de déchets spécifiques, sont soumis à des exigences de qualification pour le contrôle efficace et la traçabilité des déchets traités conformément aux objectifs et aux buts fixés dans le présent Décret-Loi.</w:t>
      </w:r>
      <w:r>
        <w:rPr>
          <w:sz w:val="24"/>
          <w:rFonts w:ascii="Garamond" w:hAnsi="Garamond"/>
        </w:rPr>
        <w:t xml:space="preserve"> </w:t>
      </w:r>
    </w:p>
    <w:p w14:paraId="554CFC4C" w14:textId="400163F5"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Les exigences visées au paragraphe précédent, ainsi que leur champ d’application, sont établies par </w:t>
      </w:r>
      <w:r>
        <w:rPr>
          <w:sz w:val="24"/>
          <w:shd w:val="clear" w:color="auto" w:fill="FFFFFF"/>
          <w:rFonts w:ascii="Garamond" w:hAnsi="Garamond"/>
        </w:rPr>
        <w:t xml:space="preserve">l’Agence portugaise pour l’environnement, l’I.P.</w:t>
      </w:r>
      <w:r>
        <w:rPr>
          <w:sz w:val="24"/>
          <w:rFonts w:ascii="Garamond" w:hAnsi="Garamond"/>
        </w:rPr>
        <w:t xml:space="preserve">.</w:t>
      </w:r>
      <w:r>
        <w:rPr>
          <w:sz w:val="24"/>
          <w:shd w:val="clear" w:color="auto" w:fill="FFFFFF"/>
          <w:rFonts w:ascii="Garamond" w:hAnsi="Garamond"/>
        </w:rPr>
        <w:t xml:space="preserve"> </w:t>
      </w:r>
      <w:r>
        <w:rPr>
          <w:sz w:val="24"/>
          <w:shd w:val="clear" w:color="auto" w:fill="FFFFFF"/>
          <w:rFonts w:ascii="Garamond" w:hAnsi="Garamond"/>
        </w:rPr>
        <w:t xml:space="preserve">(</w:t>
      </w:r>
      <w:r>
        <w:rPr>
          <w:sz w:val="24"/>
          <w:rFonts w:ascii="Garamond" w:hAnsi="Garamond"/>
        </w:rPr>
        <w:t xml:space="preserve">APA, I.P.), après avoir entendu les associations représentatives d’exploitants de gestion des déchets, les autorités d’octroi de licences, les entités chargées de la gestion des systèmes intégrés de gestion des déchets et d’autres entités qu’il juge pertinentes de consulter, en tenant compte des critères techniques de qualité et d’efficacité, et annoncées sur leur site Web.</w:t>
      </w:r>
      <w:r>
        <w:rPr>
          <w:sz w:val="24"/>
          <w:rFonts w:ascii="Garamond" w:hAnsi="Garamond"/>
        </w:rPr>
        <w:t xml:space="preserve"> </w:t>
      </w:r>
    </w:p>
    <w:p w14:paraId="0577D597"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6149BD7F"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Les exigences visées aux paragraphes précédents sont énoncées dans les autorisations des exploitants de traitement des déchets et leur conformité doit être démontrée conformément aux paragraphes 8 et 10.</w:t>
      </w:r>
      <w:r>
        <w:rPr>
          <w:sz w:val="24"/>
          <w:rFonts w:ascii="Garamond" w:hAnsi="Garamond"/>
        </w:rPr>
        <w:t xml:space="preserve"> </w:t>
      </w:r>
    </w:p>
    <w:p w14:paraId="64F7A174"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Les opérateurs de traitement des déchets, incluant le stockage, opérant dans le cadre du flux spécifique de DEEE, sont certifiés par la norme NP EN 50625-1:2014 «Exigences pour la collecte, le transport et le traitement des DEEE – Partie 1:</w:t>
      </w:r>
      <w:r>
        <w:rPr>
          <w:sz w:val="24"/>
          <w:rFonts w:ascii="Garamond" w:hAnsi="Garamond"/>
        </w:rPr>
        <w:t xml:space="preserve"> </w:t>
      </w:r>
      <w:r>
        <w:rPr>
          <w:sz w:val="24"/>
          <w:rFonts w:ascii="Garamond" w:hAnsi="Garamond"/>
        </w:rPr>
        <w:t xml:space="preserve">Exigences générales et traitements» avec sa formulation mise à jour et par la norme qui la remplace.</w:t>
      </w:r>
    </w:p>
    <w:p w14:paraId="0AF9C3B3" w14:textId="77777777" w:rsidR="006D6021" w:rsidRPr="008E5B84" w:rsidRDefault="00311339">
      <w:pPr>
        <w:pStyle w:val="ListParagraph"/>
        <w:widowControl w:val="0"/>
        <w:numPr>
          <w:ilvl w:val="0"/>
          <w:numId w:val="2"/>
        </w:numPr>
        <w:spacing w:after="120" w:line="360" w:lineRule="auto"/>
        <w:ind w:right="567"/>
        <w:jc w:val="both"/>
        <w:rPr>
          <w:sz w:val="24"/>
          <w:szCs w:val="24"/>
          <w:rFonts w:ascii="Garamond" w:hAnsi="Garamond"/>
        </w:rPr>
      </w:pPr>
      <w:r>
        <w:rPr>
          <w:sz w:val="24"/>
          <w:rFonts w:ascii="Garamond" w:hAnsi="Garamond"/>
        </w:rPr>
        <w:t xml:space="preserve">Les opérateurs de traitement des DEEE classés comme dangereux doivent, outre la certification prévue au paragraphe précédent, être certifiés par la norme respective de la série de normes EN 50625, à savoir pour les lampes (NP EN 50625-2-1:2014), les écrans et moniteurs (NP EN 50625-2-2:2015) et les appareils de régulation de la température (EN 50625-2-3:2017), leur libellé actualisé et les normes les remplaçant.</w:t>
      </w:r>
      <w:r>
        <w:rPr>
          <w:sz w:val="24"/>
          <w:rFonts w:ascii="Garamond" w:hAnsi="Garamond"/>
        </w:rPr>
        <w:t xml:space="preserve"> </w:t>
      </w:r>
    </w:p>
    <w:p w14:paraId="2AD5545D" w14:textId="1D2B1236"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Le paragraphe 1 ne s’applique pas aux exploitants effectuant le traitement des déchets dans un établissement industriel dans le cadre du système industriel responsable (SIR), sauf dans le cas d’une installation de traitement des déchets extrinsèques à l’activité industrielle.</w:t>
      </w:r>
    </w:p>
    <w:p w14:paraId="55123F50" w14:textId="5AFC3F8E"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Les opérateurs de traitement des déchets visés aux paragraphes 1, 5 et 6 prouvent, au plus tard le 31 mars de chaque année, que les exigences de qualification et les normes applicables pour l’année précédente à l’organisme de coordination des licences ont été respectées, sous réserve de la suspension totale ou partielle de la licence conformément à l’article 81 du régime général de gestion des déchets.</w:t>
      </w:r>
      <w:r>
        <w:rPr>
          <w:sz w:val="24"/>
          <w:rFonts w:ascii="Garamond" w:hAnsi="Garamond"/>
        </w:rPr>
        <w:t xml:space="preserve"> </w:t>
      </w:r>
    </w:p>
    <w:p w14:paraId="3813BD80"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Les dispositions du paragraphe précédent ne s’appliquent que si l’exploitant a obtenu, le 31 mars, une licence de traitement d’une durée minimale de six mois.</w:t>
      </w:r>
    </w:p>
    <w:p w14:paraId="68599E61" w14:textId="44D5CD63"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La preuve du respect des exigences de qualification visées au paragraphe 1 est fournie au moyen d’un document délivré par des vérificateurs qualifiés.</w:t>
      </w:r>
      <w:bookmarkStart w:id="1" w:name="_Hlk52723080"/>
    </w:p>
    <w:bookmarkEnd w:id="1"/>
    <w:p w14:paraId="511DE8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Les critères et la méthode de reconnaissance des entités compétentes en matière de certification et des vérificateurs qualifiés sont établis par ordonnance du membre du Gouvernement chargé des questions environnementales.</w:t>
      </w:r>
    </w:p>
    <w:p w14:paraId="03805ED9" w14:textId="59353803" w:rsidR="006D6021" w:rsidRPr="008E5B84" w:rsidRDefault="00BC4ADA">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La certification prévue aux paragraphes 5 et 6 est effectuée par un tiers accrédité.</w:t>
      </w:r>
      <w:r>
        <w:rPr>
          <w:sz w:val="24"/>
          <w:rFonts w:ascii="Garamond" w:hAnsi="Garamond"/>
        </w:rPr>
        <w:t xml:space="preserve"> </w:t>
      </w:r>
    </w:p>
    <w:p w14:paraId="6EC366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Le non-respect des exigences ou normes de qualification, selon le cas, prévues au présent article, constitue un motif de révocation totale ou partielle de leur licence, conformément à l’article 81 du régime général de gestion des déchets.</w:t>
      </w:r>
      <w:r>
        <w:rPr>
          <w:sz w:val="24"/>
          <w:rFonts w:ascii="Garamond" w:hAnsi="Garamond"/>
        </w:rPr>
        <w:t xml:space="preserve"> </w:t>
      </w:r>
    </w:p>
    <w:p w14:paraId="69B2E75E" w14:textId="77777777" w:rsidR="006D6021" w:rsidRPr="008E5B84" w:rsidRDefault="00311339">
      <w:pPr>
        <w:widowControl w:val="0"/>
        <w:spacing w:after="120" w:line="360" w:lineRule="auto"/>
        <w:ind w:firstLine="284"/>
        <w:jc w:val="center"/>
        <w:rPr>
          <w:sz w:val="24"/>
          <w:szCs w:val="24"/>
          <w:rFonts w:ascii="Garamond" w:hAnsi="Garamond"/>
        </w:rPr>
      </w:pPr>
      <w:bookmarkStart w:id="2" w:name="_Hlk58518925"/>
      <w:r>
        <w:rPr>
          <w:sz w:val="24"/>
          <w:rFonts w:ascii="Garamond" w:hAnsi="Garamond"/>
        </w:rPr>
        <w:t xml:space="preserve">Article 23</w:t>
      </w:r>
    </w:p>
    <w:p w14:paraId="0F62E269" w14:textId="34428259" w:rsidR="006D6021" w:rsidRPr="008E5B84" w:rsidRDefault="008B3D7C">
      <w:pPr>
        <w:widowControl w:val="0"/>
        <w:spacing w:after="120" w:line="360" w:lineRule="auto"/>
        <w:ind w:firstLine="284"/>
        <w:jc w:val="center"/>
        <w:rPr>
          <w:sz w:val="24"/>
          <w:szCs w:val="24"/>
          <w:rFonts w:ascii="Garamond" w:hAnsi="Garamond"/>
        </w:rPr>
      </w:pPr>
      <w:r>
        <w:rPr>
          <w:sz w:val="24"/>
          <w:rFonts w:ascii="Garamond" w:hAnsi="Garamond"/>
        </w:rPr>
        <w:t xml:space="preserve">[…]</w:t>
      </w:r>
    </w:p>
    <w:p w14:paraId="5F9480C7" w14:textId="454DC41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F1D39B1"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7F3B2E9D" w14:textId="53686E70"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1C782BC8" w14:textId="68618E7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9345D1D"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i/>
          <w:rFonts w:ascii="Garamond" w:hAnsi="Garamond"/>
        </w:rPr>
        <w:t xml:space="preserve">Abrogé</w:t>
      </w:r>
      <w:r>
        <w:rPr>
          <w:sz w:val="24"/>
          <w:rFonts w:ascii="Garamond" w:hAnsi="Garamond"/>
        </w:rPr>
        <w:t xml:space="preserve">];</w:t>
      </w:r>
    </w:p>
    <w:p w14:paraId="78E509FB"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05BCEA55" w14:textId="01A4160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3B767401" w14:textId="7091B311" w:rsidR="006D6021" w:rsidRPr="008E5B84" w:rsidRDefault="008600E0">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A4D1BE3" w14:textId="4898503B"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0B339EEC" w14:textId="208F75F9"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66473D6" w14:textId="164AC433"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3" w:name="_Hlk61626903"/>
      <w:r>
        <w:rPr>
          <w:sz w:val="24"/>
          <w:rFonts w:ascii="Garamond" w:hAnsi="Garamond"/>
        </w:rPr>
        <w:t xml:space="preserve">[…].</w:t>
      </w:r>
    </w:p>
    <w:p w14:paraId="66BCCA1B" w14:textId="4D55870F"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3A26731" w14:textId="652B1C92"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4" w:name="_Hlk61626654"/>
      <w:bookmarkEnd w:id="3"/>
      <w:r>
        <w:rPr>
          <w:sz w:val="24"/>
          <w:rFonts w:ascii="Garamond" w:hAnsi="Garamond"/>
        </w:rPr>
        <w:t xml:space="preserve">[…].</w:t>
      </w:r>
    </w:p>
    <w:bookmarkEnd w:id="4"/>
    <w:p w14:paraId="385DA688" w14:textId="0D95D9A5"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BCA8040" w14:textId="4560123D"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5" w:name="_Hlk52724639"/>
      <w:r>
        <w:rPr>
          <w:sz w:val="24"/>
          <w:rFonts w:ascii="Garamond" w:hAnsi="Garamond"/>
        </w:rPr>
        <w:t xml:space="preserve">[…].</w:t>
      </w:r>
    </w:p>
    <w:p w14:paraId="22A71714" w14:textId="11A87C2A"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6" w:name="_Hlk52724601"/>
      <w:bookmarkEnd w:id="5"/>
      <w:r>
        <w:rPr>
          <w:sz w:val="24"/>
          <w:rFonts w:ascii="Garamond" w:hAnsi="Garamond"/>
        </w:rPr>
        <w:t xml:space="preserve">[…].</w:t>
      </w:r>
    </w:p>
    <w:p w14:paraId="7F2D2F9B" w14:textId="47B01B05"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Les emballages réutilisables font l'objet d'un marquage, le symbole et les règles de marquage étant fixés par ordonnance des membres du Gouvernement chargés des questions économiques et environnementales, après consultation des associations représentatives des secteurs concernés.</w:t>
      </w:r>
    </w:p>
    <w:p w14:paraId="0388493E" w14:textId="282251FD"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L’ordonnance visée au paragraphe précédent est publiée jusqu’au 31 décembre 2022, fixant une période transitoire pour le respect de l’obligation de marquage d’au moins un an.</w:t>
      </w:r>
      <w:r>
        <w:rPr>
          <w:sz w:val="24"/>
          <w:rFonts w:ascii="Garamond" w:hAnsi="Garamond"/>
        </w:rPr>
        <w:t xml:space="preserve"> </w:t>
      </w:r>
    </w:p>
    <w:bookmarkEnd w:id="2"/>
    <w:bookmarkEnd w:id="6"/>
    <w:p w14:paraId="2073F806" w14:textId="77777777"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Article 28</w:t>
      </w:r>
    </w:p>
    <w:p w14:paraId="1BFEB45B" w14:textId="255D8B70"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Marquage de l'emballage</w:t>
      </w:r>
    </w:p>
    <w:p w14:paraId="1559C70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w:t>
      </w:r>
      <w:r>
        <w:rPr>
          <w:sz w:val="24"/>
          <w:i/>
          <w:rFonts w:ascii="Garamond" w:hAnsi="Garamond"/>
        </w:rPr>
        <w:t xml:space="preserve">Abrogé</w:t>
      </w:r>
      <w:r>
        <w:rPr>
          <w:sz w:val="24"/>
          <w:rFonts w:ascii="Garamond" w:hAnsi="Garamond"/>
        </w:rPr>
        <w:t xml:space="preserve">].</w:t>
      </w:r>
      <w:r>
        <w:rPr>
          <w:sz w:val="24"/>
          <w:rFonts w:ascii="Garamond" w:hAnsi="Garamond"/>
        </w:rPr>
        <w:t xml:space="preserve"> </w:t>
      </w:r>
    </w:p>
    <w:p w14:paraId="3035F5D8"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Sans préjudice du paragraphe 9, les emballages primaires non réutilisables en provenance d’autres États membres de l’Union européenne ou de pays tiers qui ont été marqués d’un symbole spécifique à l’origine peuvent être mis sur le marché avec ce symbole.</w:t>
      </w:r>
      <w:r>
        <w:rPr>
          <w:sz w:val="24"/>
          <w:rFonts w:ascii="Garamond" w:hAnsi="Garamond"/>
        </w:rPr>
        <w:t xml:space="preserve"> </w:t>
      </w:r>
    </w:p>
    <w:p w14:paraId="21253B2F"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Les emballages gérés dans le cadre du système de dépôt visé à l’article 23-C doivent porter le symbole défini dans une ordonnance qui doit être approuvée par les membres du gouvernement responsables des questions économiques et environnementales.</w:t>
      </w:r>
    </w:p>
    <w:p w14:paraId="2C5C3A24"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Afin de faciliter la collecte, la réutilisation et la valorisation, incluant le recyclage, les emballages indiquent la nature du ou des matériaux d’emballage utilisés, aux fins d’identification et de classification par leur secteur, conformément au système d’identification établi par la Décision n° 97/129/CE de la Commission du 28 janvier 1997, dont le système est défini à l’Annexe IX du présent Décret-Loi et dont il fait partie intégrante.</w:t>
      </w:r>
    </w:p>
    <w:p w14:paraId="692F362A"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t xml:space="preserve">Afin de promouvoir la séparation correcte des déchets et d’accroître les niveaux et la qualité du recyclage, </w:t>
      </w:r>
      <w:bookmarkStart w:id="7" w:name="_Hlk61624722"/>
      <w:r>
        <w:t xml:space="preserve">les emballages recyclables mis sur le marché doivent porter des instructions de tri appropriées, </w:t>
      </w:r>
      <w:bookmarkEnd w:id="7"/>
      <w:r>
        <w:t xml:space="preserve">en particulier la couleur de la boîte de recyclage dans laquelle ils doivent être placés, conformément aux conditions à déterminer par l’Ordonnance des membres du Gouvernement chargés des questions économiques et environnementales.</w:t>
      </w:r>
    </w:p>
    <w:p w14:paraId="533DE736"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Le marquage visé au paragraphe précédent doit satisfaire aux exigences suivantes:</w:t>
      </w:r>
    </w:p>
    <w:p w14:paraId="08DBE96C"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Il peut être présenté par iconographie ou par écrit, ou les deux;</w:t>
      </w:r>
    </w:p>
    <w:p w14:paraId="77968FCD"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Il doit être imprimé sous une forme visible, lisible et indélébile.</w:t>
      </w:r>
    </w:p>
    <w:p w14:paraId="661794D2"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L’emballage primaire et l’emballage secondaire destinés au consommateur sont couverts par l’obligation de marquage visée au paragraphe 5.</w:t>
      </w:r>
    </w:p>
    <w:p w14:paraId="31B5251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Les emballages dont les dimensions ne permettent pas le marquage conformément au paragraphe 6 sont exemptés de l’obligation visée au paragraphe 5.</w:t>
      </w:r>
    </w:p>
    <w:p w14:paraId="0D5DA7CC" w14:textId="07B00E1C" w:rsidR="006D6021" w:rsidRPr="008B3D7C"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Afin de clarifier l’information des consommateurs et de promouvoir le transfert correct des déchets d’emballages, la mise sur le marché d’emballages recyclables et réutilisables portant le symbole « tidy-man » est interdite à compter de la date d’entrée en vigueur de l’obligation prévue au paragraphe 5.</w:t>
      </w:r>
    </w:p>
    <w:p w14:paraId="5CFB03EA" w14:textId="77777777" w:rsidR="006D6021" w:rsidRPr="008E5B84" w:rsidRDefault="00311339">
      <w:pPr>
        <w:widowControl w:val="0"/>
        <w:numPr>
          <w:ilvl w:val="0"/>
          <w:numId w:val="4"/>
        </w:numPr>
        <w:spacing w:after="120" w:line="360" w:lineRule="auto"/>
        <w:ind w:right="567"/>
        <w:jc w:val="both"/>
        <w:rPr>
          <w:sz w:val="24"/>
          <w:szCs w:val="24"/>
          <w:rFonts w:ascii="Garamond" w:hAnsi="Garamond"/>
        </w:rPr>
      </w:pPr>
      <w:r>
        <w:rPr>
          <w:sz w:val="24"/>
          <w:rFonts w:ascii="Garamond" w:hAnsi="Garamond"/>
        </w:rPr>
        <w:t xml:space="preserve">L’ordonnance visée au paragraphe 5 est publiée au plus tard le 31 décembre 2022, fixant une période transitoire pour le respect de l’obligation de marquage d’au moins un an.</w:t>
      </w:r>
      <w:r>
        <w:rPr>
          <w:sz w:val="24"/>
          <w:rFonts w:ascii="Garamond" w:hAnsi="Garamond"/>
        </w:rPr>
        <w:t xml:space="preserve"> </w:t>
      </w:r>
    </w:p>
    <w:p w14:paraId="2B5AE871" w14:textId="77777777" w:rsidR="006D6021" w:rsidRPr="008E5B84" w:rsidRDefault="0031133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Article 90</w:t>
      </w:r>
    </w:p>
    <w:p w14:paraId="5993F2D8" w14:textId="679E6390" w:rsidR="006D6021" w:rsidRPr="008E5B84" w:rsidRDefault="00BB199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w:t>
      </w:r>
    </w:p>
    <w:p w14:paraId="1BD8205D" w14:textId="1A72943D"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1 – [...].</w:t>
      </w:r>
    </w:p>
    <w:p w14:paraId="4D5E45BC" w14:textId="264AD440"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2 – L'accomplissement des actes suivants constitue une infraction administrative grave punissable conformément à la Législation relative aux Infractions Administratives:</w:t>
      </w:r>
    </w:p>
    <w:p w14:paraId="34A60EBF" w14:textId="26983D8A" w:rsidR="006D6021"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1F789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6331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05824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3D56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2FDC02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BC28BB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177A22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593CF5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28600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BC6BC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7EA91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290F3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C38F47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064F8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D256B3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8E3AE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766C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025FBF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40613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DF3C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B239DF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6F8F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2E3F6D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E82248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BFF0E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8A0F7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A7FDC2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62DF6D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64AB0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D01A8C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3B4721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8ADFF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6BEAB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BD54DA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10FE05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700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61AB7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9F70C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5AAF43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7C96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581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A67ED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FD8B5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D7B2B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EF16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42035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87A0E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535D9B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DEE736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CF525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97F9A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5242A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D3F49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5AD1E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F3308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E916B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18C53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53AAC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CC34B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0E49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41D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F2D2B9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EE4E4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3E78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A382E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E0BA6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D5C7C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0FEF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5517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162670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1743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9079DF" w14:textId="3E22BD35"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L’exercice de l’activité de traitement des déchets par les exploitants qui ne satisfont pas aux exigences ou normes de qualification applicables conformément à l’article 8, paragraphes 1, 5 et 6;</w:t>
      </w:r>
      <w:r>
        <w:rPr>
          <w:sz w:val="24"/>
          <w:rFonts w:ascii="Garamond" w:hAnsi="Garamond"/>
        </w:rPr>
        <w:t xml:space="preserve"> </w:t>
      </w:r>
    </w:p>
    <w:p w14:paraId="7EA03A99" w14:textId="76D22DF1"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Non-respect de l’obligation de marquage des emballages conformément à l’article 23, paragraphe 11, et à l’article 28, paragraphe 3.</w:t>
      </w:r>
    </w:p>
    <w:p w14:paraId="63F4F092" w14:textId="77777777" w:rsidR="006D6021" w:rsidRPr="008E5B84" w:rsidRDefault="00311339" w:rsidP="008E5B84">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3 – L'exécution des actes suivants constitue une infraction administrative légère en matière d'environnement, punissable conformément à la Loi-Cadre sur les Infractions Administratives en matière d'Environnement:</w:t>
      </w:r>
    </w:p>
    <w:p w14:paraId="717D1B1F" w14:textId="6632C3C4" w:rsidR="00AE3FD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786638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DAF0A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4EE665"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5E9A59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82066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A3C0C2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AC497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88AD3E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0F16E2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91B075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F63BA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D5C26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372D1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6CAD88E"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EE26E5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AFE6A2"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A2FA5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E63E2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BEAAE8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535C3B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1FB1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329FF90"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D3E144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19D916A"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4E02EE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93628B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429CEE4" w14:textId="7C04ACFC"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Non-respect de l’obligation d’identifier sur l’emballage le ou les matériaux d’emballage utilisés conformément à l’article 28, paragraphe 4;</w:t>
      </w:r>
    </w:p>
    <w:p w14:paraId="52F2A95D" w14:textId="5A6D3D93"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Non-respect de l’obligation d’identifier la destination de l’emballage lorsqu’il est recyclable conformément à l’article 28, paragraphes 5 et 6;</w:t>
      </w:r>
    </w:p>
    <w:p w14:paraId="6D3571B6" w14:textId="2BE01E53" w:rsidR="007C12A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L’utilisation du symbole «tidy-man» sur les emballages recyclables et réutilisables, en violation de l’article 28 paragraphe 9.</w:t>
      </w:r>
      <w:r>
        <w:rPr>
          <w:sz w:val="24"/>
          <w:rFonts w:ascii="Garamond" w:hAnsi="Garamond"/>
        </w:rPr>
        <w:t xml:space="preserve"> </w:t>
      </w:r>
    </w:p>
    <w:p w14:paraId="7C8C6BB9" w14:textId="1CA7F2E5"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4 -</w:t>
      </w:r>
      <w:r>
        <w:rPr>
          <w:sz w:val="24"/>
          <w:rFonts w:ascii="Garamond" w:hAnsi="Garamond"/>
        </w:rPr>
        <w:tab/>
      </w:r>
      <w:r>
        <w:rPr>
          <w:sz w:val="24"/>
          <w:rFonts w:ascii="Garamond" w:hAnsi="Garamond"/>
        </w:rPr>
        <w:t xml:space="preserve">[…].</w:t>
      </w:r>
    </w:p>
    <w:p w14:paraId="320DA334" w14:textId="78F12E10"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5 -</w:t>
      </w:r>
      <w:r>
        <w:rPr>
          <w:sz w:val="24"/>
          <w:rFonts w:ascii="Garamond" w:hAnsi="Garamond"/>
        </w:rPr>
        <w:tab/>
      </w:r>
      <w:r>
        <w:rPr>
          <w:sz w:val="24"/>
          <w:rFonts w:ascii="Garamond" w:hAnsi="Garamond"/>
        </w:rPr>
        <w:t xml:space="preserve">[…].</w:t>
      </w:r>
    </w:p>
    <w:p w14:paraId="503ACA32" w14:textId="77777777"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6 -</w:t>
      </w:r>
      <w:r>
        <w:rPr>
          <w:sz w:val="24"/>
          <w:rFonts w:ascii="Garamond" w:hAnsi="Garamond"/>
        </w:rPr>
        <w:tab/>
      </w:r>
      <w:r>
        <w:rPr>
          <w:sz w:val="24"/>
          <w:rFonts w:ascii="Garamond" w:hAnsi="Garamond"/>
        </w:rPr>
        <w:t xml:space="preserve">[…].</w:t>
      </w:r>
      <w:r>
        <w:rPr>
          <w:sz w:val="24"/>
          <w:rFonts w:ascii="Garamond" w:hAnsi="Garamond"/>
        </w:rPr>
        <w:t xml:space="preserve"> </w:t>
      </w:r>
    </w:p>
    <w:p w14:paraId="425838E4" w14:textId="5781235B" w:rsidR="006D6021" w:rsidRPr="008E5B84"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7 -</w:t>
      </w:r>
      <w:r>
        <w:rPr>
          <w:sz w:val="24"/>
          <w:rFonts w:ascii="Garamond" w:hAnsi="Garamond"/>
        </w:rPr>
        <w:tab/>
      </w:r>
      <w:r>
        <w:rPr>
          <w:sz w:val="24"/>
          <w:rFonts w:ascii="Garamond" w:hAnsi="Garamond"/>
        </w:rPr>
        <w:t xml:space="preserve">[…].»</w:t>
      </w:r>
    </w:p>
    <w:p w14:paraId="4D8B501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Article 3</w:t>
      </w:r>
    </w:p>
    <w:p w14:paraId="748BF38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t xml:space="preserve">Ajout au </w:t>
      </w:r>
      <w:hyperlink r:id="rId22" w:tooltip="Décret-Loi n° 152-D/2017" w:history="1">
        <w:r>
          <w:rPr>
            <w:sz w:val="24"/>
            <w:rFonts w:ascii="Garamond" w:hAnsi="Garamond"/>
          </w:rPr>
          <w:t xml:space="preserve">Décret-Loi n° 152-D/2017</w:t>
        </w:r>
      </w:hyperlink>
      <w:r>
        <w:t xml:space="preserve">  du 11 décembre</w:t>
      </w:r>
    </w:p>
    <w:p w14:paraId="380A1081" w14:textId="6C021E2E" w:rsidR="006D6021" w:rsidRPr="008E5B84" w:rsidRDefault="00311339">
      <w:pPr>
        <w:shd w:val="clear" w:color="auto" w:fill="FFFFFF"/>
        <w:suppressAutoHyphens w:val="0"/>
        <w:spacing w:after="225" w:line="390" w:lineRule="atLeast"/>
        <w:jc w:val="both"/>
        <w:textAlignment w:val="auto"/>
        <w:rPr>
          <w:sz w:val="24"/>
          <w:szCs w:val="24"/>
          <w:rFonts w:ascii="Garamond" w:hAnsi="Garamond"/>
        </w:rPr>
      </w:pPr>
      <w:r>
        <w:t xml:space="preserve">L’article 20-A est ajouté au </w:t>
      </w:r>
      <w:hyperlink r:id="rId23" w:tooltip="Décret-Loi n° 152-D/2017" w:history="1">
        <w:r>
          <w:rPr>
            <w:sz w:val="24"/>
            <w:rFonts w:ascii="Garamond" w:hAnsi="Garamond"/>
          </w:rPr>
          <w:t xml:space="preserve">Décret-Loi n° 152-D/2017</w:t>
        </w:r>
      </w:hyperlink>
      <w:r>
        <w:t xml:space="preserve"> du 11 décembre, dans son libellé actuel, par la formulation suivante:</w:t>
      </w:r>
    </w:p>
    <w:p w14:paraId="752800F2"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«Article 20-A</w:t>
      </w:r>
    </w:p>
    <w:p w14:paraId="1AB94D2F"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Responsabilité du prestataire de services de mise en réseau intermédiaire</w:t>
      </w:r>
      <w:r>
        <w:rPr>
          <w:sz w:val="24"/>
          <w:rFonts w:ascii="Garamond" w:hAnsi="Garamond"/>
        </w:rPr>
        <w:t xml:space="preserve"> </w:t>
      </w:r>
    </w:p>
    <w:p w14:paraId="51D2D4EC"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Le fournisseur intermédiaire de services de communication informatisés non considérés comme producteurs aux fins du présent Décret-Loi, mais qui facilite, par l’utilisation d’une interface électronique telle qu’un marché, une plate-forme, un portail ou un dispositif similaire, la vente ou la livraison à distance de produits couverts par le principe de responsabilité élargie du producteur pour le compte d’un tiers, demande ces informations pour prouver le respect des obligations relatives:</w:t>
      </w:r>
    </w:p>
    <w:p w14:paraId="203F3B33"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L’entrée et la soumission annuelle des données au SIRER conformément à l’article 19, paragraphe 1;</w:t>
      </w:r>
    </w:p>
    <w:p w14:paraId="34CEE8B9"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Adoption de l’un des systèmes prévus à l’article 7 paragraphe 1 pour le type ou la catégorie de produits disponibles sur la plate-forme.</w:t>
      </w:r>
    </w:p>
    <w:p w14:paraId="00C2C8D8"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Aux fins du paragraphe précédent, le fournisseur intermédiaire de services de communication assistée par ordinateur exige les informations concernées comme condition préalable à l’enregistrement sur la plate-forme et aux fins de la procédure contractuelle, puis une mise à jour annuelle de ces informations.</w:t>
      </w:r>
    </w:p>
    <w:p w14:paraId="4B9FAC75" w14:textId="77777777" w:rsidR="006D6021"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Le fournisseur intermédiaire de services de communication assistée par ordinateur qui facilite, par l’utilisation d’une interface électronique telle qu’un marché, une plate-forme, un portail ou un dispositif similaire, la vente à distance ou la livraison de pièces usagées de DEEE et de VFV en vue de leur réutilisation, demande au vendeur des informations prouvant le respect de l’obligation de veiller à ce que les pièces utilisées proviennent d’opérateurs de démontage agréés, et exige notamment des informations sur le numéro du licencié de l’opérateur de l’opérateur de l’opérateur mis à disposition.»</w:t>
      </w:r>
    </w:p>
    <w:p w14:paraId="41D1684A" w14:textId="77777777" w:rsidR="00E262CE" w:rsidRPr="008E5B84" w:rsidRDefault="00E262CE" w:rsidP="002E3B2F">
      <w:pPr>
        <w:spacing w:after="0" w:line="360" w:lineRule="auto"/>
        <w:ind w:left="993"/>
        <w:jc w:val="both"/>
        <w:rPr>
          <w:rFonts w:ascii="Garamond" w:hAnsi="Garamond"/>
          <w:sz w:val="24"/>
          <w:szCs w:val="24"/>
        </w:rPr>
      </w:pPr>
    </w:p>
    <w:p w14:paraId="6416550A"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Article 4</w:t>
      </w:r>
    </w:p>
    <w:p w14:paraId="47C9561F"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Dispositions transitoires</w:t>
      </w:r>
      <w:r>
        <w:rPr>
          <w:sz w:val="24"/>
          <w:rFonts w:ascii="Garamond" w:hAnsi="Garamond"/>
        </w:rPr>
        <w:t xml:space="preserve"> </w:t>
      </w:r>
    </w:p>
    <w:p w14:paraId="11F9B5E9" w14:textId="77777777" w:rsidR="006D6021" w:rsidRPr="008E5B84" w:rsidRDefault="00311339" w:rsidP="008E5B84">
      <w:pPr>
        <w:pStyle w:val="ListParagraph"/>
        <w:widowControl w:val="0"/>
        <w:numPr>
          <w:ilvl w:val="0"/>
          <w:numId w:val="7"/>
        </w:numPr>
        <w:spacing w:after="120" w:line="360" w:lineRule="auto"/>
        <w:ind w:left="993" w:hanging="709"/>
        <w:jc w:val="both"/>
        <w:rPr>
          <w:sz w:val="24"/>
          <w:szCs w:val="24"/>
          <w:rFonts w:ascii="Garamond" w:hAnsi="Garamond"/>
        </w:rPr>
      </w:pPr>
      <w:r>
        <w:rPr>
          <w:sz w:val="24"/>
          <w:rFonts w:ascii="Garamond" w:hAnsi="Garamond"/>
        </w:rPr>
        <w:t xml:space="preserve">Les dispositions de l’article 8, paragraphe 5, du Décret-Loi n° 152-D/2017 du 11 décembre, tel que modifié par le présent Décret-Loi, s’appliquent un an après l’entrée en vigueur du présent Décret-Loi.</w:t>
      </w:r>
      <w:r>
        <w:rPr>
          <w:sz w:val="24"/>
          <w:rFonts w:ascii="Garamond" w:hAnsi="Garamond"/>
        </w:rPr>
        <w:t xml:space="preserve"> </w:t>
      </w:r>
    </w:p>
    <w:p w14:paraId="33C46C89"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Les dispositions de l’article 8, paragraphe 6, du Décret-Loi n° 152-D/2017 du 11 décembre, tel que modifié par le présent Décret-Loi, s’appliquent deux ans après l’entrée en vigueur du présent Décret-Loi.</w:t>
      </w:r>
    </w:p>
    <w:p w14:paraId="118482CA"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La première année d’exécution de l’obligation prévue à l’article 8 paragraphe 8 du Décret-Loi n° 152-D/2017 du 11 décembre, tel que modifié par le présent Décret-Loi, est de 2022 pour l’année 2021, sans préjudice des dispositions du paragraphe 9 dudit article, et à condition qu’il y ait, à cette date, des vérificateurs qualifiés.</w:t>
      </w:r>
    </w:p>
    <w:p w14:paraId="239A29A5"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Les dispositions de l’article 28, paragraphe 4, du Décret-Loi n° 152-D/2017 du 11 décembre, tel que modifié par le présent Décret-Loi, s’appliquent deux ans après l’entrée en vigueur du présent Décret-Loi.</w:t>
      </w:r>
    </w:p>
    <w:p w14:paraId="561C5A3C" w14:textId="77777777" w:rsidR="00FA19BE" w:rsidRDefault="00FA19BE">
      <w:pPr>
        <w:jc w:val="center"/>
        <w:rPr>
          <w:rFonts w:ascii="Garamond" w:hAnsi="Garamond"/>
          <w:sz w:val="24"/>
          <w:szCs w:val="24"/>
        </w:rPr>
      </w:pPr>
    </w:p>
    <w:p w14:paraId="3AA09853" w14:textId="77777777" w:rsidR="00FA19BE" w:rsidRPr="008E5B84" w:rsidRDefault="00FA19BE" w:rsidP="00FA19BE">
      <w:pPr>
        <w:jc w:val="center"/>
        <w:rPr>
          <w:sz w:val="24"/>
          <w:szCs w:val="24"/>
          <w:rFonts w:ascii="Garamond" w:hAnsi="Garamond"/>
        </w:rPr>
      </w:pPr>
      <w:r>
        <w:rPr>
          <w:sz w:val="24"/>
          <w:rFonts w:ascii="Garamond" w:hAnsi="Garamond"/>
        </w:rPr>
        <w:t xml:space="preserve">Article 5</w:t>
      </w:r>
    </w:p>
    <w:p w14:paraId="3E008870" w14:textId="2B7749B8" w:rsidR="00FA19BE" w:rsidRPr="008E5B84" w:rsidRDefault="00FA19BE" w:rsidP="00FA19BE">
      <w:pPr>
        <w:jc w:val="center"/>
        <w:rPr>
          <w:sz w:val="24"/>
          <w:szCs w:val="24"/>
          <w:rFonts w:ascii="Garamond" w:hAnsi="Garamond"/>
        </w:rPr>
      </w:pPr>
      <w:r>
        <w:rPr>
          <w:sz w:val="24"/>
          <w:rFonts w:ascii="Garamond" w:hAnsi="Garamond"/>
        </w:rPr>
        <w:t xml:space="preserve">Abrogation</w:t>
      </w:r>
    </w:p>
    <w:p w14:paraId="357EF3D3" w14:textId="36BD9C91" w:rsidR="00FA19BE" w:rsidRPr="008E5B84" w:rsidRDefault="00FA19BE" w:rsidP="00FA19BE">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L’article 28, paragraphe 1, du Décret-Loi n° 152-D/2017 du 11 décembre, tel que modifié par les Lois n° 69/2018 du 26 décembre et 41/2019 du 21 juin, par le Décret-Loi n° 86/2020 du 14 octobre et modifié et publié à nouveau par le Décret-Loi n° 102-D/2020 du 10 décembre, est abrogé.</w:t>
      </w:r>
      <w:r>
        <w:rPr>
          <w:sz w:val="24"/>
          <w:rFonts w:ascii="Garamond" w:hAnsi="Garamond"/>
        </w:rPr>
        <w:t xml:space="preserve"> </w:t>
      </w:r>
    </w:p>
    <w:p w14:paraId="18BEA12B" w14:textId="77777777" w:rsidR="00FA19BE" w:rsidRDefault="00FA19BE">
      <w:pPr>
        <w:jc w:val="center"/>
        <w:rPr>
          <w:rFonts w:ascii="Garamond" w:hAnsi="Garamond"/>
          <w:sz w:val="24"/>
          <w:szCs w:val="24"/>
        </w:rPr>
      </w:pPr>
    </w:p>
    <w:p w14:paraId="2595911C" w14:textId="07A0F7C4" w:rsidR="006D6021" w:rsidRPr="008E5B84" w:rsidRDefault="00311339">
      <w:pPr>
        <w:jc w:val="center"/>
        <w:rPr>
          <w:sz w:val="24"/>
          <w:szCs w:val="24"/>
          <w:rFonts w:ascii="Garamond" w:hAnsi="Garamond"/>
        </w:rPr>
      </w:pPr>
      <w:r>
        <w:rPr>
          <w:sz w:val="24"/>
          <w:rFonts w:ascii="Garamond" w:hAnsi="Garamond"/>
        </w:rPr>
        <w:t xml:space="preserve">Article 6</w:t>
      </w:r>
    </w:p>
    <w:p w14:paraId="75EC9DA9" w14:textId="77777777" w:rsidR="006D6021" w:rsidRPr="008E5B84" w:rsidRDefault="00311339">
      <w:pPr>
        <w:jc w:val="center"/>
        <w:rPr>
          <w:sz w:val="24"/>
          <w:szCs w:val="24"/>
          <w:rFonts w:ascii="Garamond" w:hAnsi="Garamond"/>
        </w:rPr>
      </w:pPr>
      <w:r>
        <w:rPr>
          <w:sz w:val="24"/>
          <w:rFonts w:ascii="Garamond" w:hAnsi="Garamond"/>
        </w:rPr>
        <w:t xml:space="preserve">Entrée en vigueur</w:t>
      </w:r>
    </w:p>
    <w:p w14:paraId="116948F8" w14:textId="77777777" w:rsidR="006D6021" w:rsidRPr="008E5B84" w:rsidRDefault="00311339" w:rsidP="008E5B84">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Le présent Décret-Loi entre en vigueur à la date suivante de sa publication.</w:t>
      </w:r>
      <w:r>
        <w:rPr>
          <w:sz w:val="24"/>
          <w:rFonts w:ascii="Garamond" w:hAnsi="Garamond"/>
        </w:rPr>
        <w:t xml:space="preserve"> </w:t>
      </w:r>
    </w:p>
    <w:sectPr w:rsidR="006D6021" w:rsidRPr="008E5B8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514C" w14:textId="77777777" w:rsidR="00071555" w:rsidRDefault="00071555">
      <w:pPr>
        <w:spacing w:after="0"/>
      </w:pPr>
      <w:r>
        <w:separator/>
      </w:r>
    </w:p>
  </w:endnote>
  <w:endnote w:type="continuationSeparator" w:id="0">
    <w:p w14:paraId="3A09787D" w14:textId="77777777" w:rsidR="00071555" w:rsidRDefault="0007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DC03" w14:textId="77777777" w:rsidR="00071555" w:rsidRDefault="00071555">
      <w:pPr>
        <w:spacing w:after="0"/>
      </w:pPr>
      <w:r>
        <w:rPr>
          <w:color w:val="000000"/>
        </w:rPr>
        <w:separator/>
      </w:r>
    </w:p>
  </w:footnote>
  <w:footnote w:type="continuationSeparator" w:id="0">
    <w:p w14:paraId="66F4E6EC" w14:textId="77777777" w:rsidR="00071555" w:rsidRDefault="00071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57"/>
    <w:multiLevelType w:val="multilevel"/>
    <w:tmpl w:val="D05AC05A"/>
    <w:lvl w:ilvl="0">
      <w:start w:val="6"/>
      <w:numFmt w:val="decimal"/>
      <w:lvlText w:val="%1 -"/>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B0D"/>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0F392368"/>
    <w:multiLevelType w:val="multilevel"/>
    <w:tmpl w:val="F1BEC4E6"/>
    <w:lvl w:ilvl="0">
      <w:start w:val="1"/>
      <w:numFmt w:val="lowerLetter"/>
      <w:lvlText w:val="%1)"/>
      <w:lvlJc w:val="left"/>
      <w:pPr>
        <w:ind w:left="644" w:hanging="360"/>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3CE25F0"/>
    <w:multiLevelType w:val="multilevel"/>
    <w:tmpl w:val="45E6EE42"/>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AC33B5"/>
    <w:multiLevelType w:val="multilevel"/>
    <w:tmpl w:val="D7103C30"/>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F1C07"/>
    <w:multiLevelType w:val="multilevel"/>
    <w:tmpl w:val="E982D0B8"/>
    <w:lvl w:ilvl="0">
      <w:start w:val="1"/>
      <w:numFmt w:val="decimal"/>
      <w:lvlText w:val="%1 - "/>
      <w:lvlJc w:val="righ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7E471E"/>
    <w:multiLevelType w:val="multilevel"/>
    <w:tmpl w:val="30E8A17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5F63389"/>
    <w:multiLevelType w:val="multilevel"/>
    <w:tmpl w:val="BC00FD0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C659A2"/>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21"/>
    <w:rsid w:val="00071555"/>
    <w:rsid w:val="00166DDB"/>
    <w:rsid w:val="001C005C"/>
    <w:rsid w:val="00221984"/>
    <w:rsid w:val="002E3B2F"/>
    <w:rsid w:val="00311339"/>
    <w:rsid w:val="00381105"/>
    <w:rsid w:val="00401FF0"/>
    <w:rsid w:val="005370FE"/>
    <w:rsid w:val="00595413"/>
    <w:rsid w:val="005E437A"/>
    <w:rsid w:val="006D6021"/>
    <w:rsid w:val="00774954"/>
    <w:rsid w:val="007C12A7"/>
    <w:rsid w:val="007E1034"/>
    <w:rsid w:val="00815E10"/>
    <w:rsid w:val="008518A0"/>
    <w:rsid w:val="008600E0"/>
    <w:rsid w:val="008B3D7C"/>
    <w:rsid w:val="008E5B84"/>
    <w:rsid w:val="00913675"/>
    <w:rsid w:val="009207B5"/>
    <w:rsid w:val="009C3B2B"/>
    <w:rsid w:val="00A14A5D"/>
    <w:rsid w:val="00AB6977"/>
    <w:rsid w:val="00AC1D9E"/>
    <w:rsid w:val="00AE3FD7"/>
    <w:rsid w:val="00BB1999"/>
    <w:rsid w:val="00BC4ADA"/>
    <w:rsid w:val="00BD1E18"/>
    <w:rsid w:val="00C57444"/>
    <w:rsid w:val="00CD351B"/>
    <w:rsid w:val="00DB12E4"/>
    <w:rsid w:val="00E262CE"/>
    <w:rsid w:val="00E94D66"/>
    <w:rsid w:val="00FA19BE"/>
    <w:rsid w:val="00FB0FBD"/>
    <w:rsid w:val="00FB3CFA"/>
    <w:rsid w:val="00FD44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EA0"/>
  <w15:docId w15:val="{CB9A8596-23B0-4A3D-8DE0-4AA2AE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4">
    <w:name w:val="Título 4"/>
    <w:basedOn w:val="Normal"/>
    <w:next w:val="Normal"/>
    <w:pPr>
      <w:ind w:firstLine="284"/>
      <w:jc w:val="center"/>
      <w:outlineLvl w:val="3"/>
    </w:pPr>
    <w:rPr>
      <w:rFonts w:ascii="Times New Roman" w:hAnsi="Times New Roman"/>
      <w:sz w:val="20"/>
    </w:rPr>
  </w:style>
  <w:style w:type="character" w:customStyle="1" w:styleId="Ttulo4Carter">
    <w:name w:val="Título 4 Caráter"/>
    <w:basedOn w:val="DefaultParagraphFont"/>
    <w:rPr>
      <w:rFonts w:ascii="Times New Roman" w:hAnsi="Times New Roman" w:cs="Times New Roman"/>
      <w:sz w:val="20"/>
    </w:rPr>
  </w:style>
  <w:style w:type="paragraph" w:styleId="ListParagraph">
    <w:name w:val="List Paragraph"/>
    <w:basedOn w:val="Normal"/>
    <w:pPr>
      <w:ind w:left="720"/>
    </w:pPr>
  </w:style>
  <w:style w:type="character" w:customStyle="1" w:styleId="PargrafodaListaCarter">
    <w:name w:val="Parágrafo da Lista Caráte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TextodebaloCarter">
    <w:name w:val="Texto de balão Caráte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TextodecomentrioCarter">
    <w:name w:val="Texto de comentário Caráter"/>
    <w:basedOn w:val="DefaultParagraphFont"/>
    <w:rPr>
      <w:sz w:val="20"/>
      <w:szCs w:val="20"/>
    </w:rPr>
  </w:style>
  <w:style w:type="paragraph" w:styleId="CommentSubject">
    <w:name w:val="annotation subject"/>
    <w:basedOn w:val="CommentText"/>
    <w:next w:val="CommentText"/>
    <w:rPr>
      <w:b/>
      <w:bCs/>
    </w:rPr>
  </w:style>
  <w:style w:type="character" w:customStyle="1" w:styleId="AssuntodecomentrioCarter">
    <w:name w:val="Assunto de comentário Caráter"/>
    <w:basedOn w:val="TextodecomentrioCarter"/>
    <w:rPr>
      <w:b/>
      <w:bCs/>
      <w:sz w:val="20"/>
      <w:szCs w:val="20"/>
    </w:rPr>
  </w:style>
  <w:style w:type="character" w:styleId="Hyperlink">
    <w:name w:val="Hyperlink"/>
    <w:basedOn w:val="DefaultParagraphFont"/>
    <w:rPr>
      <w:color w:val="0563C1"/>
      <w:u w:val="single"/>
    </w:rPr>
  </w:style>
  <w:style w:type="character" w:customStyle="1" w:styleId="MenoNoResolvida">
    <w:name w:val="Menção Não Resolvida"/>
    <w:basedOn w:val="DefaultParagraphFont"/>
    <w:rPr>
      <w:color w:val="605E5C"/>
      <w:shd w:val="clear" w:color="auto" w:fill="E1DFDD"/>
    </w:rPr>
  </w:style>
  <w:style w:type="paragraph" w:customStyle="1" w:styleId="Default">
    <w:name w:val="Default"/>
    <w:pPr>
      <w:autoSpaceDE w:val="0"/>
      <w:spacing w:after="0"/>
      <w:textAlignment w:val="auto"/>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
<Relationships xmlns="http://schemas.openxmlformats.org/package/2006/relationships"><Relationship Id="rId8" Type="http://schemas.openxmlformats.org/officeDocument/2006/relationships/hyperlink" Target="https://dre.pt/web/guest/pesquisa/-/search/114337042/details/normal?l=1" TargetMode="External"/><Relationship Id="rId13" Type="http://schemas.openxmlformats.org/officeDocument/2006/relationships/hyperlink" Target="https://dre.pt/application/external/eurolex?12L0019" TargetMode="External"/><Relationship Id="rId18" Type="http://schemas.openxmlformats.org/officeDocument/2006/relationships/hyperlink" Target="https://dre.pt/web/guest/pesquisa/-/search/117484671/details/normal?l=1" TargetMode="External"/><Relationship Id="rId3" Type="http://schemas.openxmlformats.org/officeDocument/2006/relationships/styles" Target="styles.xml"/><Relationship Id="rId21" Type="http://schemas.openxmlformats.org/officeDocument/2006/relationships/hyperlink" Target="https://dre.pt/web/guest/pesquisa/-/search/114337042/details/normal?l=1" TargetMode="External"/><Relationship Id="rId7" Type="http://schemas.openxmlformats.org/officeDocument/2006/relationships/endnotes" Target="endnotes.xml"/><Relationship Id="rId12" Type="http://schemas.openxmlformats.org/officeDocument/2006/relationships/hyperlink" Target="https://dre.pt/application/external/eurolex?06L0066" TargetMode="External"/><Relationship Id="rId17" Type="http://schemas.openxmlformats.org/officeDocument/2006/relationships/hyperlink" Target="https://dre.pt/web/guest/pesquisa/-/search/114337042/details/normal?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e.pt/web/guest/pesquisa/-/search/114337042/details/normal?l=1" TargetMode="External"/><Relationship Id="rId20" Type="http://schemas.openxmlformats.org/officeDocument/2006/relationships/hyperlink" Target="https://dre.pt/web/guest/pesquisa/-/search/145359680/details/norma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external/eurolex?00L00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e.pt/application/external/eurolex?15L1535" TargetMode="External"/><Relationship Id="rId23" Type="http://schemas.openxmlformats.org/officeDocument/2006/relationships/hyperlink" Target="https://dre.pt/web/guest/pesquisa/-/search/114337042/details/normal?l=1" TargetMode="External"/><Relationship Id="rId10" Type="http://schemas.openxmlformats.org/officeDocument/2006/relationships/hyperlink" Target="https://dre.pt/application/external/eurolex?18L0852" TargetMode="External"/><Relationship Id="rId19" Type="http://schemas.openxmlformats.org/officeDocument/2006/relationships/hyperlink" Target="https://dre.pt/web/guest/pesquisa/-/search/122627506/details/normal?l=1" TargetMode="External"/><Relationship Id="rId4" Type="http://schemas.openxmlformats.org/officeDocument/2006/relationships/settings" Target="settings.xml"/><Relationship Id="rId9" Type="http://schemas.openxmlformats.org/officeDocument/2006/relationships/hyperlink" Target="https://dre.pt/application/external/eurolex?94L0062" TargetMode="External"/><Relationship Id="rId14" Type="http://schemas.openxmlformats.org/officeDocument/2006/relationships/hyperlink" Target="https://dre.pt/application/external/eurolex?18L0849" TargetMode="External"/><Relationship Id="rId22" Type="http://schemas.openxmlformats.org/officeDocument/2006/relationships/hyperlink" Target="https://dre.pt/web/guest/pesquisa/-/search/114337042/details/normal?l=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0415-889B-4084-922C-B491886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2233</Words>
  <Characters>12730</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GSEAMB</dc:creator>
  <dc:description/>
  <cp:lastModifiedBy>Dimitris</cp:lastModifiedBy>
  <cp:revision>10</cp:revision>
  <dcterms:created xsi:type="dcterms:W3CDTF">2021-02-18T16:42:00Z</dcterms:created>
  <dcterms:modified xsi:type="dcterms:W3CDTF">2021-03-01T14:11:00Z</dcterms:modified>
</cp:coreProperties>
</file>