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A1AE" w14:textId="77777777" w:rsidR="008157F1" w:rsidRDefault="00493FBD">
      <w:pPr>
        <w:pStyle w:val="zamik"/>
        <w:pBdr>
          <w:top w:val="none" w:sz="0" w:space="24" w:color="auto"/>
        </w:pBdr>
        <w:spacing w:after="210"/>
        <w:jc w:val="both"/>
        <w:rPr>
          <w:rFonts w:ascii="Arial" w:eastAsia="Arial" w:hAnsi="Arial" w:cs="Arial"/>
          <w:sz w:val="21"/>
          <w:szCs w:val="21"/>
        </w:rPr>
      </w:pPr>
      <w:r>
        <w:rPr>
          <w:rFonts w:ascii="Arial" w:hAnsi="Arial"/>
          <w:sz w:val="21"/>
        </w:rPr>
        <w:t>Pamatojoties uz Elektronisko sakaru likuma 228. panta septīto daļu (Slovēnijas Republikas Oficiālais Vēstnesis, Nr. 130/22 un 18/23 – ZDU-1O), digitālās pārveides ministrs, vienojoties ar iekšlietu ministru, aizsardzības ministru un Slovēnijas Izlūkošanas un drošības aģentūras direktoru, izdod šos noteikumus.</w:t>
      </w:r>
    </w:p>
    <w:p w14:paraId="6FE67D74" w14:textId="77777777" w:rsidR="008157F1" w:rsidRDefault="00493FBD">
      <w:pPr>
        <w:pStyle w:val="center"/>
        <w:spacing w:before="210" w:after="210"/>
        <w:rPr>
          <w:rFonts w:ascii="Arial" w:eastAsia="Arial" w:hAnsi="Arial" w:cs="Arial"/>
          <w:b/>
          <w:bCs/>
          <w:caps/>
          <w:sz w:val="21"/>
          <w:szCs w:val="21"/>
        </w:rPr>
      </w:pPr>
      <w:r>
        <w:rPr>
          <w:rFonts w:ascii="Arial" w:hAnsi="Arial"/>
          <w:b/>
          <w:caps/>
          <w:sz w:val="21"/>
        </w:rPr>
        <w:t>Noteikumi par iekārtām un saskarnēm sakaru likumīgai pārtveršanai</w:t>
      </w:r>
    </w:p>
    <w:p w14:paraId="7867C4E5" w14:textId="77777777" w:rsidR="008157F1" w:rsidRDefault="008157F1">
      <w:pPr>
        <w:pStyle w:val="center"/>
        <w:spacing w:before="210" w:after="210"/>
        <w:rPr>
          <w:rFonts w:ascii="Arial" w:eastAsia="Arial" w:hAnsi="Arial" w:cs="Arial"/>
          <w:b/>
          <w:bCs/>
          <w:caps/>
          <w:sz w:val="21"/>
          <w:szCs w:val="21"/>
        </w:rPr>
      </w:pPr>
    </w:p>
    <w:p w14:paraId="3FF98BD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1. pants</w:t>
      </w:r>
    </w:p>
    <w:p w14:paraId="63767A50"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(Saturs)</w:t>
      </w:r>
    </w:p>
    <w:p w14:paraId="533F4CA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Noteikumi nosaka likumīgai sakaru pārtveršanai piemērotas saskarnes un iekārtu funkcionalitāti, ko operators nodrošina elektronisko sakaru tiesiskās kontroles vajadzībām Slovēnijas Republikā.</w:t>
      </w:r>
    </w:p>
    <w:p w14:paraId="3E6C19E7"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Šie noteikumi ir pieņemti, ņemot vērā informācijas sniegšanas procedūru standartu un tehnisko noteikumu jomā saskaņā ar Eiropas Parlamenta un Padomes 2015. gada 9. septembra Direktīvu (ES) 2015/1535, ar ko nosaka informācijas sniegšanas kārtību tehnisko noteikumu un Informācijas sabiedrības pakalpojumu noteikumu jomā (OV L 241, 17.  9. 2015., 1. lpp.).</w:t>
      </w:r>
    </w:p>
    <w:p w14:paraId="542A8317"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2. pants</w:t>
      </w:r>
    </w:p>
    <w:p w14:paraId="7DF3F0D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(Terminu nozīme)</w:t>
      </w:r>
    </w:p>
    <w:p w14:paraId="126AEF4D"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Šajos noteikumos izmantotajiem terminiem ir šāda nozīme:</w:t>
      </w:r>
    </w:p>
    <w:p w14:paraId="2B6B213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“Nodošanas saskarne” ir saskarne operatora pusē, kas ļauj pārsūtīt pārtveršanas rezultātus kompetentajai iestādei.</w:t>
      </w:r>
    </w:p>
    <w:p w14:paraId="47E6C07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“Publisks komunikāciju tīkls” ir elektronisko sakaru tīkls, ko pilnībā vai galvenokārt izmanto, lai nodrošinātu publisko sakaru pakalpojumus, kas ļauj pārraidīt informāciju starp tīkla pieslēgumpunktiem.</w:t>
      </w:r>
    </w:p>
    <w:p w14:paraId="7A7305A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“Kontrolēts pieslēgumpunkts” ir pieslēgumpunkts, uz kuru attiecas elektronisko sakaru juridiskā kontrole.</w:t>
      </w:r>
    </w:p>
    <w:p w14:paraId="29AD934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4.      “Rīkojuma transkripcija” ir dokuments, kas izdots saskaņā ar Elektronisko sakaru likuma 228. pantu (Slovēnijas Republikas Oficiālais Vēstnesis Nr. 130/22 un 18/23-ZDU-1O, turpmāk tekstā — likums). </w:t>
      </w:r>
    </w:p>
    <w:p w14:paraId="02F7743E"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Paziņojums, kas pārtverts saziņas juridiskās pārtveršanas kontekstā, ir paziņojums, kas:</w:t>
      </w:r>
    </w:p>
    <w:p w14:paraId="6A332E8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ir no kontrolēta pieslēguma punkta vai beidzas tajā,</w:t>
      </w:r>
    </w:p>
    <w:p w14:paraId="488C3614"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tiek novirzīts uz kontrolētu pieslēgumpunktu un uz laiku tiek glabāts uzglabāšanas ierīcē,</w:t>
      </w:r>
    </w:p>
    <w:p w14:paraId="4603699E"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lastRenderedPageBreak/>
        <w:t>tiek novirzīts no kontrolētā pieslēgumpunkta uz uzglabāšanas ierīcēm vai tiek pieprasīts no tā no kontrolētā pieslēguma punkta, vai</w:t>
      </w:r>
    </w:p>
    <w:p w14:paraId="0BF7AFC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tiek novirzīts no kontrolētā pieslēgumpunkta uz citu pieslēgumpunktu publiskajā sakaru tīklā vai citā galiekārtā vai šķērso citu operatoru publiskos sakaru tīklus.</w:t>
      </w:r>
    </w:p>
    <w:p w14:paraId="381E8BC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“Kompetentā iestāde” ir iestāde, kas īsteno elektroniskās saziņas juridiskās kontroles pasākumu saskaņā ar tiesību aktiem, kas reglamentē kriminālprocesu, vai tiesību aktiem, kas reglamentē Slovēnijas Izlūkošanas un drošības aģentūru.</w:t>
      </w:r>
    </w:p>
    <w:p w14:paraId="06E442A2"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“Pārtverto sakaru dati” ir signalizēšana un cita informācija, kas nepieciešama, lai izveidotu un īstenotu īpašu ar pārtvertu komunikāciju saistītu publisko sakaru pakalpojumu, piemēram, informācija par izsaukto vai izsaukuma pieslēgumpunktu vai citu lietotāja identifikatoru, informāciju par saziņas laiku un ilgumu un lietotāja atrašanās vietu.</w:t>
      </w:r>
    </w:p>
    <w:p w14:paraId="7DDCFA5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8.      “Pieslēgumpunkts” ir tīkla pieslēgumpunkts vai cits publiskā sakaru tīkla punkts.</w:t>
      </w:r>
    </w:p>
    <w:p w14:paraId="217C01D8"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9.      “Pārtvertās saziņas saturs” ir informācija, ar kuru apmainās divi vai vairāki publisko sakaru pakalpojumu lietotāji, izņemot pārtvertās saziņas datus.</w:t>
      </w:r>
    </w:p>
    <w:p w14:paraId="2D5F7E3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10.   “Elektronisko sakaru juridiskā kontrole” ir elektronisko sakaru kontroles pasākums, kas ietver visu komunikācijas veidu juridisko pārtveršanu un kontroli un nodrošināšanu publiskajā komunikāciju tīklā, ko veic kompetentās iestādes saskaņā ar tiesību aktiem, kas reglamentē kriminālprocesu, vai tiesību aktiem, kas reglamentē Slovēnijas Izlūkošanas un drošības aģentūru.</w:t>
      </w:r>
    </w:p>
    <w:p w14:paraId="437A7134"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11.   “Saziņas juridiskā pārtveršana” ir procedūra, kas noteikta, pamatojoties uz krimināllikumu vai Slovēnijas Izlūkošanas un drošības aģentūru reglamentējošajiem tiesību aktiem, kurā tiek apkopots saturs, apstākļi un fakti, kas saistīti ar saziņu konkrētā publiskā komunikāciju tīkla punktā.</w:t>
      </w:r>
    </w:p>
    <w:p w14:paraId="4B55B49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3. pants</w:t>
      </w:r>
    </w:p>
    <w:p w14:paraId="31FD5FB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(Pamatprasības)</w:t>
      </w:r>
    </w:p>
    <w:p w14:paraId="604CDF8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Operators savā elektronisko sakaru tīklā uzstāda tādas saskarnes un iekārtas, kas pēc rīkojuma transkripcijas saņemšanas var nodrošināt sakaru juridisku pārtveršanu konkrētā kontrolētā pieslēgumpunktā tādā veidā, apjomā un laikā, kā norādīts pasūtījuma transkripcijā.</w:t>
      </w:r>
    </w:p>
    <w:p w14:paraId="0028B3F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Operators savā elektronisko sakaru tīklā nodrošina tādu tīkla mezglu skaitu un izvietojumu, kuros ir uzstādīta sakaru juridiskās pārtveršanas iekārta, lai pārtveršanas rezultāti tiktu vienmēr un līdzvērtīgi nodrošināti no katra kontrolētā pieslēguma punkta, kas uz laiku vai pastāvīgi izmanto operatora publisko sakaru tīklu vai pakalpojumu.</w:t>
      </w:r>
    </w:p>
    <w:p w14:paraId="348C9D6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Saziņas juridiskā pārtveršana tiek veikta tā, lai pārtvertajā saziņā iesaistītās personas un citas nepilnvarotas personas neuzskatītu, ka tiek veikta saziņas juridiskā pārtveršana. Ierīču un iekārtu izmantošana sakaru juridiskās pārtveršanas īstenošanai nedrīkst mainīt pārtverto sakaru vai citu publisko sakaru pakalpojumu darbības raksturlielumus vai kvalitāti.</w:t>
      </w:r>
    </w:p>
    <w:p w14:paraId="117EC19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Sakaru juridiskās pārtveršanas iekārtas un saskarnes nodrošina sakaru juridisku pārtveršanu konkrētā kontrolētā pieslēgumpunktā uzreiz pēc tam, kad beidzies atļautais elektronisko sakaru juridiskās kontroles ilgums šajā pieslēgumpunktā vai kad operators saņem paziņojumu, ka ir izbeigta šā pieslēguma punkta elektronisko sakaru juridiskā kontrole.</w:t>
      </w:r>
    </w:p>
    <w:p w14:paraId="46D4E7C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(5) Operators nodrošina šādu aprīkojumu un saskarni, lai visas kompetentās iestādes vienlaikus varētu veikt elektronisko sakaru juridisko kontroli.</w:t>
      </w:r>
    </w:p>
    <w:p w14:paraId="70CC08FE"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4. pants</w:t>
      </w:r>
    </w:p>
    <w:p w14:paraId="5E81DA5A"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(Aprīkojuma un pārtveršanas rezultāti)</w:t>
      </w:r>
    </w:p>
    <w:p w14:paraId="36A2A60F"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Operators izmanto šādas iekārtas, lai papildus pārtvertās saziņas saturam sniegtu kompetentajai iestādei šādu informāciju par pārtverto saziņu:</w:t>
      </w:r>
    </w:p>
    <w:p w14:paraId="18C94E7D"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kontrolētā pieslēguma punkta numuru vai citu apzīmējumu, vai lietotāja identifikatoru;</w:t>
      </w:r>
    </w:p>
    <w:p w14:paraId="7DD4DE5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pieslēguma punkta numuru vai citu apzīmējumu:</w:t>
      </w:r>
    </w:p>
    <w:p w14:paraId="6A635E2A"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ar kuru kontrolētais pieslēgumpunkts mēģina izveidot savienojumu, pat ja savienojuma izveide nav notikusi, vai</w:t>
      </w:r>
    </w:p>
    <w:p w14:paraId="01205D15"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kas vēlas izveidot savienojumu ar kontrolētu pieslēgumpunktu, pat ja savienojums nav veiksmīgi izveidots vai ja pārtvertais savienojums no kontrolētā pieslēguma punkta ir novirzīts citur, vai ja tas ir vērsts uz glabāšanas ierīci (datu glabāšanas ierīci);</w:t>
      </w:r>
    </w:p>
    <w:p w14:paraId="519FB0B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maršruta maiņas gadījumā — arī visu to pieslēguma punktu numurus vai citus apzīmējumus, uz kuriem pāradresēti pārtvertie sakari;</w:t>
      </w:r>
    </w:p>
    <w:p w14:paraId="764B3E43"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4.      informāciju par kontrolētajā pieslēgumpunktā izmantoto publisko sakaru pakalpojumu veidu vai tā īpašībām;</w:t>
      </w:r>
    </w:p>
    <w:p w14:paraId="3FA0773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tehniskus iemeslus savienojuma iespējamai izbeigšanai starp kontrolēto pieslēgumpunktu un jebkuru citu pieslēguma punktu vai to, ka nav konstatēts savienojums ar kontrolēto pieslēgumpunktu;</w:t>
      </w:r>
    </w:p>
    <w:p w14:paraId="0A0A61F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visdetalizētāko pieejamo informāciju par kontrolētā pieslēguma punkta atrašanās vietu, ja tas ir kontrolēts pieslēgumpunkts mobilo publisko sakaru tīklos;</w:t>
      </w:r>
    </w:p>
    <w:p w14:paraId="4B5CB9D6"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datumu un laiku, kad noticis mēģinājums pārtvert paziņojumu, ja savienojums nav izveidots, un pārtvertās saziņas sākuma un beigu datumu un laiku un ilgums, ja savienojums ir bijis veiksmīgs.</w:t>
      </w:r>
    </w:p>
    <w:p w14:paraId="3F522BAC"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Iepriekšējā punktā minētos datus operators sniedz arī:</w:t>
      </w:r>
    </w:p>
    <w:p w14:paraId="4E6232A9"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ja kontrolētais pieslēgumpunkts ir iekļauts savienojumā, kas izveidots starp vairākiem pieslēgumpunktiem;</w:t>
      </w:r>
    </w:p>
    <w:p w14:paraId="283E5AA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ja no kontrolētā pieslēgumpunkta ir izveidoti savienojumi ar vairākiem pieslēgumpunktiem.</w:t>
      </w:r>
    </w:p>
    <w:p w14:paraId="7B29A48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Ja tehnisku iemeslu dēļ operators nesniedz visus pārtveršanas rezultātus savā publiskajā sakaru tīklā, tas nekavējoties informē kompetento iestādi.</w:t>
      </w:r>
    </w:p>
    <w:p w14:paraId="07995DF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Korelācijai starp pārtvertās saziņas saturu un saistītajiem pārtvertajiem komunikācijas datiem jābūt unikālai.</w:t>
      </w:r>
    </w:p>
    <w:p w14:paraId="21B6392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5. pants</w:t>
      </w:r>
    </w:p>
    <w:p w14:paraId="66BC3D8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(Nodošanas saskarne)</w:t>
      </w:r>
    </w:p>
    <w:p w14:paraId="5E91372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Neatkarīgi no šo noteikumu 3. panta otrajā daļā minēto mezglu skaita operators parasti nodrošina vienu nodošanas saskarni.</w:t>
      </w:r>
    </w:p>
    <w:p w14:paraId="03FD246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Uzskata, ka operators ir izpildījis likuma 228. panta sestās daļas noteikumus, ja tas nodrošina nodošanas saskarni kopā ar citu operatoru vai operatoriem vai ja tas savieno savu tīklu ar cita operatora nodošanas saskarni. Šādā gadījumā operators nodrošina, ka visi pārtveršanas rezultātu ģenerēšanai vajadzīgie dati ir pieejami nodošanas saskarnei.</w:t>
      </w:r>
    </w:p>
    <w:p w14:paraId="216AC329"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Nodošanas saskarne jāīsteno tā, lai:</w:t>
      </w:r>
    </w:p>
    <w:p w14:paraId="17CDCEC5"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xml:space="preserve">— </w:t>
      </w:r>
      <w:r>
        <w:rPr>
          <w:rFonts w:ascii="Arial" w:hAnsi="Arial"/>
          <w:sz w:val="21"/>
        </w:rPr>
        <w:tab/>
      </w:r>
      <w:r>
        <w:rPr>
          <w:rFonts w:ascii="Arial" w:hAnsi="Arial"/>
          <w:sz w:val="21"/>
        </w:rPr>
        <w:tab/>
        <w:t>tā kompetentajai iestādei sniedz pārtveršanas rezultātus visā elektronisko sakaru juridiskās kontroles laikā konkrētā kontrolētā pieslēgumpunktā,</w:t>
      </w:r>
    </w:p>
    <w:p w14:paraId="4D820AF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xml:space="preserve">— </w:t>
      </w:r>
      <w:r>
        <w:rPr>
          <w:rFonts w:ascii="Arial" w:hAnsi="Arial"/>
          <w:sz w:val="21"/>
        </w:rPr>
        <w:tab/>
      </w:r>
      <w:r>
        <w:rPr>
          <w:rFonts w:ascii="Arial" w:hAnsi="Arial"/>
          <w:sz w:val="21"/>
        </w:rPr>
        <w:tab/>
        <w:t>sakaru kvalitāte nodošanas saskarnē nav zemāka par attiecīgo pārtverto sakaru kvalitāti,</w:t>
      </w:r>
    </w:p>
    <w:p w14:paraId="10ECB1A8"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xml:space="preserve">— </w:t>
      </w:r>
      <w:r>
        <w:rPr>
          <w:rFonts w:ascii="Arial" w:hAnsi="Arial"/>
          <w:sz w:val="21"/>
        </w:rPr>
        <w:tab/>
      </w:r>
      <w:r>
        <w:rPr>
          <w:rFonts w:ascii="Arial" w:hAnsi="Arial"/>
          <w:sz w:val="21"/>
        </w:rPr>
        <w:tab/>
        <w:t>pārtveršanas rezultātu pārraidei un piegādei var izmantot vispārēji pieejamus un izmantojamus pārraides maršrutus un pārraides protokolus,</w:t>
      </w:r>
    </w:p>
    <w:p w14:paraId="6368256A"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xml:space="preserve">— </w:t>
      </w:r>
      <w:r>
        <w:rPr>
          <w:rFonts w:ascii="Arial" w:hAnsi="Arial"/>
          <w:sz w:val="21"/>
        </w:rPr>
        <w:tab/>
      </w:r>
      <w:r>
        <w:rPr>
          <w:rFonts w:ascii="Arial" w:hAnsi="Arial"/>
          <w:sz w:val="21"/>
        </w:rPr>
        <w:tab/>
        <w:t>standarti SIST ES 201 671, SIST-TS ETSI/TS 102 232 SIST-TS ETSI/TS 103 280 ir ņemti vērā attiecībā uz publiskiem sakaru tīkliem vai publiskiem sakaru pakalpojumiem.</w:t>
      </w:r>
    </w:p>
    <w:p w14:paraId="2D7033DE"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Ja operators kodē, saspiež vai šifrē sakarus savā publiskajā sakaru tīklā, tas nodrošina, ka pārtveršanas rezultāti nodošanas saskarnē ir nekodēti, nesaspiesti vai nešifrēti.</w:t>
      </w:r>
    </w:p>
    <w:p w14:paraId="448295C1" w14:textId="77777777" w:rsidR="008157F1" w:rsidRDefault="00493FBD">
      <w:pPr>
        <w:pStyle w:val="center"/>
        <w:pBdr>
          <w:top w:val="none" w:sz="0" w:space="24" w:color="auto"/>
        </w:pBdr>
        <w:spacing w:before="210" w:after="210"/>
        <w:rPr>
          <w:rFonts w:ascii="Arial" w:eastAsia="Arial" w:hAnsi="Arial" w:cs="Arial"/>
          <w:caps/>
          <w:sz w:val="21"/>
          <w:szCs w:val="21"/>
        </w:rPr>
      </w:pPr>
      <w:r>
        <w:rPr>
          <w:rFonts w:ascii="Arial" w:hAnsi="Arial"/>
          <w:caps/>
          <w:sz w:val="21"/>
        </w:rPr>
        <w:t>NOBEIGUMA NOTEIKUMI</w:t>
      </w:r>
    </w:p>
    <w:p w14:paraId="60B7D93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6. pants</w:t>
      </w:r>
    </w:p>
    <w:p w14:paraId="0815E7FC"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(Lietošanas pārtraukšana)</w:t>
      </w:r>
    </w:p>
    <w:p w14:paraId="4B71547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Noteikumus par iekārtām un saskarnēm sakaru juridiskajai pārtveršanai (Slovēnijas Republikas Oficiālais Vēstnesis, Nr. 89/13 un Nr. 189/21 — ZDU-1M) beidz piemērot dienā, kad šie noteikumi stājas spēkā.</w:t>
      </w:r>
    </w:p>
    <w:p w14:paraId="55C20942"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7. pants</w:t>
      </w:r>
    </w:p>
    <w:p w14:paraId="0FEA136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(Stāšanās spēkā)</w:t>
      </w:r>
    </w:p>
    <w:p w14:paraId="21F6210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Šie noteikumi stājas spēkā piecpadsmitajā dienā pēc to publicēšanas Slovēnijas Republikas Oficiālajā Vēstnesī.</w:t>
      </w:r>
    </w:p>
    <w:p w14:paraId="7A5D79CE" w14:textId="77777777" w:rsidR="008157F1" w:rsidRDefault="00493FBD">
      <w:pPr>
        <w:pStyle w:val="evidencnastevilka"/>
        <w:spacing w:before="210" w:after="210"/>
        <w:rPr>
          <w:rFonts w:ascii="Arial" w:eastAsia="Arial" w:hAnsi="Arial" w:cs="Arial"/>
          <w:sz w:val="21"/>
          <w:szCs w:val="21"/>
        </w:rPr>
      </w:pPr>
      <w:r>
        <w:rPr>
          <w:rFonts w:ascii="Arial" w:hAnsi="Arial"/>
          <w:sz w:val="21"/>
        </w:rPr>
        <w:lastRenderedPageBreak/>
        <w:t>Nr. 007-32/2023/51</w:t>
      </w:r>
    </w:p>
    <w:p w14:paraId="6F16CE7E" w14:textId="77777777" w:rsidR="008157F1" w:rsidRDefault="00493FBD">
      <w:pPr>
        <w:pStyle w:val="krajdatumsprejetja"/>
        <w:spacing w:before="210" w:after="210"/>
        <w:rPr>
          <w:rFonts w:ascii="Arial" w:eastAsia="Arial" w:hAnsi="Arial" w:cs="Arial"/>
          <w:sz w:val="21"/>
          <w:szCs w:val="21"/>
        </w:rPr>
      </w:pPr>
      <w:r>
        <w:rPr>
          <w:rFonts w:ascii="Arial" w:hAnsi="Arial"/>
          <w:sz w:val="21"/>
        </w:rPr>
        <w:t>Ļubļanā, 2023. gada 22. novembrī</w:t>
      </w:r>
    </w:p>
    <w:p w14:paraId="58FC9EF3" w14:textId="77777777" w:rsidR="008157F1" w:rsidRDefault="00493FBD">
      <w:pPr>
        <w:pStyle w:val="evidencnastevilka"/>
        <w:spacing w:before="210" w:after="210"/>
        <w:rPr>
          <w:rFonts w:ascii="Arial" w:eastAsia="Arial" w:hAnsi="Arial" w:cs="Arial"/>
          <w:sz w:val="21"/>
          <w:szCs w:val="21"/>
        </w:rPr>
      </w:pPr>
      <w:r>
        <w:rPr>
          <w:rFonts w:ascii="Arial" w:hAnsi="Arial"/>
          <w:sz w:val="21"/>
        </w:rPr>
        <w:t>EVA 2023-3150-0009</w:t>
      </w:r>
    </w:p>
    <w:p w14:paraId="6E6AAE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Dr. Emilija STOJMENOVA DUH</w:t>
      </w:r>
      <w:r>
        <w:rPr>
          <w:rFonts w:ascii="Arial" w:hAnsi="Arial"/>
          <w:sz w:val="21"/>
        </w:rPr>
        <w:br/>
        <w:t>Digitālās pārveides</w:t>
      </w:r>
      <w:r>
        <w:rPr>
          <w:rFonts w:ascii="Arial" w:hAnsi="Arial"/>
          <w:sz w:val="21"/>
        </w:rPr>
        <w:br/>
        <w:t>ministre</w:t>
      </w:r>
    </w:p>
    <w:p w14:paraId="0DBF4A8E" w14:textId="77777777" w:rsidR="008157F1" w:rsidRDefault="00493FBD">
      <w:pPr>
        <w:pStyle w:val="podpisnik"/>
        <w:spacing w:before="210" w:after="210"/>
        <w:ind w:left="5669"/>
        <w:rPr>
          <w:rFonts w:ascii="Arial" w:eastAsia="Arial" w:hAnsi="Arial" w:cs="Arial"/>
          <w:sz w:val="21"/>
          <w:szCs w:val="21"/>
        </w:rPr>
      </w:pPr>
      <w:r>
        <w:rPr>
          <w:rFonts w:ascii="Arial" w:hAnsi="Arial"/>
          <w:sz w:val="21"/>
        </w:rPr>
        <w:t>ES piekrītu!</w:t>
      </w:r>
    </w:p>
    <w:p w14:paraId="7E9BE9A5"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Boštjan POKLUKAR</w:t>
      </w:r>
      <w:r>
        <w:rPr>
          <w:rFonts w:ascii="Arial" w:hAnsi="Arial"/>
          <w:sz w:val="21"/>
        </w:rPr>
        <w:br/>
        <w:t>iekšlietu ministrs</w:t>
      </w:r>
    </w:p>
    <w:p w14:paraId="3E5F6A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Marjan ŠAREC</w:t>
      </w:r>
      <w:r>
        <w:rPr>
          <w:rFonts w:ascii="Arial" w:hAnsi="Arial"/>
          <w:sz w:val="21"/>
        </w:rPr>
        <w:br/>
        <w:t>aizsardzības ministrs</w:t>
      </w:r>
    </w:p>
    <w:p w14:paraId="6D8F6C37"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Joško KADIVNIK</w:t>
      </w:r>
      <w:r>
        <w:rPr>
          <w:rFonts w:ascii="Arial" w:hAnsi="Arial"/>
          <w:sz w:val="21"/>
        </w:rPr>
        <w:br/>
        <w:t>Slovēnijas Izlūkošanas un drošības aģentūras</w:t>
      </w:r>
      <w:r>
        <w:rPr>
          <w:rFonts w:ascii="Arial" w:hAnsi="Arial"/>
          <w:sz w:val="21"/>
        </w:rPr>
        <w:br/>
        <w:t>direktors</w:t>
      </w:r>
    </w:p>
    <w:p w14:paraId="32376EB8"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93FBD"/>
    <w:rsid w:val="005E71B5"/>
    <w:rsid w:val="00621566"/>
    <w:rsid w:val="008157F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3B46"/>
  <w15:docId w15:val="{426B9CB5-3F67-4B58-AB7D-FCDF913C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8103</Characters>
  <Application>Microsoft Office Word</Application>
  <DocSecurity>0</DocSecurity>
  <Lines>147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PRAV14963 NPB0</dc:title>
  <dc:creator>Jožica Škof Nikolič</dc:creator>
  <cp:keywords>class='Internal'</cp:keywords>
  <cp:lastModifiedBy>Ragnhild Efraimsson</cp:lastModifiedBy>
  <cp:revision>2</cp:revision>
  <dcterms:created xsi:type="dcterms:W3CDTF">2024-08-14T12:26:00Z</dcterms:created>
  <dcterms:modified xsi:type="dcterms:W3CDTF">2024-08-14T12:26:00Z</dcterms:modified>
</cp:coreProperties>
</file>