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D986" w14:textId="4A6170B3" w:rsidR="00976331" w:rsidRPr="003D37C6" w:rsidRDefault="003D37C6" w:rsidP="00F6024B">
      <w:pPr>
        <w:jc w:val="right"/>
        <w:rPr>
          <w:rFonts w:asciiTheme="minorHAnsi" w:hAnsiTheme="minorHAnsi"/>
          <w:lang w:val="en-US"/>
        </w:rPr>
      </w:pPr>
      <w:r w:rsidRPr="003D37C6">
        <w:rPr>
          <w:rFonts w:asciiTheme="minorHAnsi" w:hAnsiTheme="minorHAnsi"/>
          <w:lang w:val="en-US"/>
        </w:rPr>
        <w:t>18-12-2023</w:t>
      </w:r>
    </w:p>
    <w:p w14:paraId="21AECB17" w14:textId="77777777" w:rsidR="002D4AC9" w:rsidRPr="003D37C6" w:rsidRDefault="002D4AC9" w:rsidP="002D4AC9">
      <w:pPr>
        <w:spacing w:line="276" w:lineRule="auto"/>
        <w:jc w:val="center"/>
        <w:rPr>
          <w:lang w:val="en-US"/>
        </w:rPr>
      </w:pPr>
    </w:p>
    <w:p w14:paraId="49B1E9ED" w14:textId="77777777" w:rsidR="00393CA0" w:rsidRPr="003D37C6" w:rsidRDefault="00393CA0" w:rsidP="00393CA0">
      <w:pPr>
        <w:rPr>
          <w:lang w:val="en-US"/>
        </w:rPr>
      </w:pPr>
    </w:p>
    <w:p w14:paraId="371199AE" w14:textId="38C46C8B" w:rsidR="009F626C" w:rsidRPr="003D37C6" w:rsidRDefault="003D37C6" w:rsidP="00393CA0">
      <w:pPr>
        <w:pStyle w:val="Manchet"/>
        <w:rPr>
          <w:lang w:val="en-US"/>
        </w:rPr>
      </w:pPr>
      <w:r>
        <w:rPr>
          <w:rFonts w:asciiTheme="minorHAnsi" w:eastAsia="Times New Roman" w:hAnsiTheme="minorHAnsi"/>
          <w:b/>
          <w:bCs/>
          <w:i w:val="0"/>
          <w:color w:val="330066" w:themeColor="accent1"/>
          <w:sz w:val="28"/>
          <w:szCs w:val="28"/>
          <w:lang w:val="en-US"/>
        </w:rPr>
        <w:t>Alkohol &amp; Samfund´s</w:t>
      </w:r>
      <w:r w:rsidRPr="003D37C6">
        <w:rPr>
          <w:rFonts w:asciiTheme="minorHAnsi" w:eastAsia="Times New Roman" w:hAnsiTheme="minorHAnsi"/>
          <w:b/>
          <w:bCs/>
          <w:i w:val="0"/>
          <w:color w:val="330066" w:themeColor="accent1"/>
          <w:sz w:val="28"/>
          <w:szCs w:val="28"/>
          <w:lang w:val="en-US"/>
        </w:rPr>
        <w:t xml:space="preserve"> Position on Finnish Government proposal to parliament for an act amending section 17 of the Alcohol Act (2023/0543/FI)</w:t>
      </w:r>
    </w:p>
    <w:p w14:paraId="1F62BDF5" w14:textId="77777777" w:rsidR="003D37C6" w:rsidRDefault="003D37C6" w:rsidP="002245B7">
      <w:pPr>
        <w:spacing w:line="276" w:lineRule="auto"/>
        <w:rPr>
          <w:rStyle w:val="Svagfremhvning"/>
          <w:lang w:val="en-US"/>
        </w:rPr>
      </w:pPr>
    </w:p>
    <w:p w14:paraId="21FD6F4B" w14:textId="586B32CD" w:rsidR="0014101F" w:rsidRPr="005F16FE" w:rsidRDefault="0014101F" w:rsidP="002245B7">
      <w:pPr>
        <w:spacing w:line="276" w:lineRule="auto"/>
        <w:rPr>
          <w:rFonts w:cstheme="minorHAnsi"/>
          <w:lang w:val="en-US"/>
        </w:rPr>
      </w:pPr>
      <w:r w:rsidRPr="005F16FE">
        <w:rPr>
          <w:rStyle w:val="Svagfremhvning"/>
          <w:i w:val="0"/>
          <w:iCs w:val="0"/>
          <w:lang w:val="en-US"/>
        </w:rPr>
        <w:t>In Denmark we experience the consequences of a liberal retail</w:t>
      </w:r>
      <w:r w:rsidR="005F16FE">
        <w:rPr>
          <w:rStyle w:val="Svagfremhvning"/>
          <w:i w:val="0"/>
          <w:iCs w:val="0"/>
          <w:lang w:val="en-US"/>
        </w:rPr>
        <w:t xml:space="preserve"> </w:t>
      </w:r>
      <w:r w:rsidRPr="005F16FE">
        <w:rPr>
          <w:rStyle w:val="Svagfremhvning"/>
          <w:i w:val="0"/>
          <w:iCs w:val="0"/>
          <w:lang w:val="en-US"/>
        </w:rPr>
        <w:t>sales regulation, which contributes to</w:t>
      </w:r>
      <w:r w:rsidR="005F16FE">
        <w:rPr>
          <w:rStyle w:val="Svagfremhvning"/>
          <w:i w:val="0"/>
          <w:iCs w:val="0"/>
          <w:lang w:val="en-US"/>
        </w:rPr>
        <w:t xml:space="preserve"> high intak</w:t>
      </w:r>
      <w:r w:rsidR="005F16FE">
        <w:rPr>
          <w:rStyle w:val="Svagfremhvning"/>
          <w:i w:val="0"/>
          <w:iCs w:val="0"/>
          <w:lang w:val="en-US"/>
        </w:rPr>
        <w:t>e</w:t>
      </w:r>
      <w:r w:rsidR="005F16FE">
        <w:rPr>
          <w:rStyle w:val="Svagfremhvning"/>
          <w:i w:val="0"/>
          <w:iCs w:val="0"/>
          <w:lang w:val="en-US"/>
        </w:rPr>
        <w:t xml:space="preserve"> of alcohol in the </w:t>
      </w:r>
      <w:r w:rsidR="005F16FE">
        <w:rPr>
          <w:rStyle w:val="Svagfremhvning"/>
          <w:i w:val="0"/>
          <w:iCs w:val="0"/>
          <w:lang w:val="en-US"/>
        </w:rPr>
        <w:t>Danish</w:t>
      </w:r>
      <w:r w:rsidR="005F16FE">
        <w:rPr>
          <w:rStyle w:val="Svagfremhvning"/>
          <w:i w:val="0"/>
          <w:iCs w:val="0"/>
          <w:lang w:val="en-US"/>
        </w:rPr>
        <w:t xml:space="preserve"> population, which </w:t>
      </w:r>
      <w:r w:rsidR="005F16FE">
        <w:rPr>
          <w:rStyle w:val="Svagfremhvning"/>
          <w:i w:val="0"/>
          <w:iCs w:val="0"/>
          <w:lang w:val="en-US"/>
        </w:rPr>
        <w:t>contribute</w:t>
      </w:r>
      <w:r w:rsidR="005F16FE">
        <w:rPr>
          <w:rStyle w:val="Svagfremhvning"/>
          <w:i w:val="0"/>
          <w:iCs w:val="0"/>
          <w:lang w:val="en-US"/>
        </w:rPr>
        <w:t xml:space="preserve"> to</w:t>
      </w:r>
      <w:r w:rsidRPr="005F16FE">
        <w:rPr>
          <w:rStyle w:val="Svagfremhvning"/>
          <w:i w:val="0"/>
          <w:iCs w:val="0"/>
          <w:lang w:val="en-US"/>
        </w:rPr>
        <w:t xml:space="preserve"> </w:t>
      </w:r>
      <w:r w:rsidR="005F16FE" w:rsidRPr="005F16FE">
        <w:rPr>
          <w:rStyle w:val="Svagfremhvning"/>
          <w:i w:val="0"/>
          <w:iCs w:val="0"/>
          <w:lang w:val="en-US"/>
        </w:rPr>
        <w:t>alcohol</w:t>
      </w:r>
      <w:r w:rsidR="005F16FE">
        <w:rPr>
          <w:rStyle w:val="Svagfremhvning"/>
          <w:i w:val="0"/>
          <w:iCs w:val="0"/>
          <w:lang w:val="en-US"/>
        </w:rPr>
        <w:t>-</w:t>
      </w:r>
      <w:r w:rsidR="005F16FE" w:rsidRPr="005F16FE">
        <w:rPr>
          <w:rStyle w:val="Svagfremhvning"/>
          <w:i w:val="0"/>
          <w:iCs w:val="0"/>
          <w:lang w:val="en-US"/>
        </w:rPr>
        <w:t>relate</w:t>
      </w:r>
      <w:r w:rsidR="005F16FE">
        <w:rPr>
          <w:rStyle w:val="Svagfremhvning"/>
          <w:i w:val="0"/>
          <w:iCs w:val="0"/>
          <w:lang w:val="en-US"/>
        </w:rPr>
        <w:t>d</w:t>
      </w:r>
      <w:r w:rsidRPr="005F16FE">
        <w:rPr>
          <w:rStyle w:val="Svagfremhvning"/>
          <w:i w:val="0"/>
          <w:iCs w:val="0"/>
          <w:lang w:val="en-US"/>
        </w:rPr>
        <w:t xml:space="preserve"> death</w:t>
      </w:r>
      <w:r w:rsidR="005F16FE">
        <w:rPr>
          <w:rStyle w:val="Svagfremhvning"/>
          <w:i w:val="0"/>
          <w:iCs w:val="0"/>
          <w:lang w:val="en-US"/>
        </w:rPr>
        <w:t>s</w:t>
      </w:r>
      <w:r w:rsidRPr="005F16FE">
        <w:rPr>
          <w:rStyle w:val="Svagfremhvning"/>
          <w:i w:val="0"/>
          <w:iCs w:val="0"/>
          <w:lang w:val="en-US"/>
        </w:rPr>
        <w:t xml:space="preserve">, </w:t>
      </w:r>
      <w:r w:rsidR="005F16FE" w:rsidRPr="005F16FE">
        <w:rPr>
          <w:rStyle w:val="Svagfremhvning"/>
          <w:i w:val="0"/>
          <w:iCs w:val="0"/>
          <w:lang w:val="en-US"/>
        </w:rPr>
        <w:t>accidents</w:t>
      </w:r>
      <w:r w:rsidR="005F16FE">
        <w:rPr>
          <w:rStyle w:val="Svagfremhvning"/>
          <w:i w:val="0"/>
          <w:iCs w:val="0"/>
          <w:lang w:val="en-US"/>
        </w:rPr>
        <w:t xml:space="preserve"> </w:t>
      </w:r>
      <w:r w:rsidRPr="005F16FE">
        <w:rPr>
          <w:rStyle w:val="Svagfremhvning"/>
          <w:i w:val="0"/>
          <w:iCs w:val="0"/>
          <w:lang w:val="en-US"/>
        </w:rPr>
        <w:t>and harms. It is a concern</w:t>
      </w:r>
      <w:r w:rsidR="00126CC6">
        <w:rPr>
          <w:rStyle w:val="Svagfremhvning"/>
          <w:i w:val="0"/>
          <w:iCs w:val="0"/>
          <w:lang w:val="en-US"/>
        </w:rPr>
        <w:t xml:space="preserve"> to Alkohol &amp; Samfund</w:t>
      </w:r>
      <w:r w:rsidRPr="005F16FE">
        <w:rPr>
          <w:rStyle w:val="Svagfremhvning"/>
          <w:i w:val="0"/>
          <w:iCs w:val="0"/>
          <w:lang w:val="en-US"/>
        </w:rPr>
        <w:t xml:space="preserve"> if Finland government decide to change </w:t>
      </w:r>
      <w:r w:rsidRPr="005F16FE">
        <w:rPr>
          <w:rFonts w:cstheme="minorHAnsi"/>
          <w:lang w:val="en-US"/>
        </w:rPr>
        <w:t xml:space="preserve">the </w:t>
      </w:r>
      <w:r w:rsidR="005F16FE" w:rsidRPr="005F16FE">
        <w:rPr>
          <w:rFonts w:cstheme="minorHAnsi"/>
          <w:lang w:val="en-US"/>
        </w:rPr>
        <w:t>licensed</w:t>
      </w:r>
      <w:r w:rsidRPr="005F16FE">
        <w:rPr>
          <w:rFonts w:cstheme="minorHAnsi"/>
          <w:lang w:val="en-US"/>
        </w:rPr>
        <w:t xml:space="preserve"> retail sales of fermented alcoholic beverages containing</w:t>
      </w:r>
      <w:r w:rsidR="00126CC6">
        <w:rPr>
          <w:rFonts w:cstheme="minorHAnsi"/>
          <w:lang w:val="en-US"/>
        </w:rPr>
        <w:t xml:space="preserve"> from 5.5 to</w:t>
      </w:r>
      <w:r w:rsidRPr="005F16FE">
        <w:rPr>
          <w:rFonts w:cstheme="minorHAnsi"/>
          <w:lang w:val="en-US"/>
        </w:rPr>
        <w:t xml:space="preserve"> 8.0 per cent by volume</w:t>
      </w:r>
      <w:r w:rsidRPr="005F16FE">
        <w:rPr>
          <w:rFonts w:cstheme="minorHAnsi"/>
          <w:lang w:val="en-US"/>
        </w:rPr>
        <w:t xml:space="preserve">. This will not </w:t>
      </w:r>
      <w:r w:rsidR="005F16FE">
        <w:rPr>
          <w:rFonts w:cstheme="minorHAnsi"/>
          <w:lang w:val="en-US"/>
        </w:rPr>
        <w:t xml:space="preserve">only </w:t>
      </w:r>
      <w:r w:rsidRPr="005F16FE">
        <w:rPr>
          <w:rFonts w:cstheme="minorHAnsi"/>
          <w:lang w:val="en-US"/>
        </w:rPr>
        <w:t xml:space="preserve">affect the public health in Finland, but it can also have consequences for policy making in other countries regarding public health and alcohol </w:t>
      </w:r>
      <w:r w:rsidR="005F16FE" w:rsidRPr="005F16FE">
        <w:rPr>
          <w:rFonts w:cstheme="minorHAnsi"/>
          <w:lang w:val="en-US"/>
        </w:rPr>
        <w:t>prevention</w:t>
      </w:r>
      <w:r w:rsidRPr="005F16FE">
        <w:rPr>
          <w:rFonts w:cstheme="minorHAnsi"/>
          <w:lang w:val="en-US"/>
        </w:rPr>
        <w:t xml:space="preserve"> policies</w:t>
      </w:r>
      <w:r w:rsidR="005F16FE">
        <w:rPr>
          <w:rFonts w:cstheme="minorHAnsi"/>
          <w:lang w:val="en-US"/>
        </w:rPr>
        <w:t xml:space="preserve">, because </w:t>
      </w:r>
      <w:r w:rsidR="00126CC6">
        <w:rPr>
          <w:rFonts w:cstheme="minorHAnsi"/>
          <w:lang w:val="en-US"/>
        </w:rPr>
        <w:t xml:space="preserve">liberalization of alcohol </w:t>
      </w:r>
      <w:r w:rsidR="005F16FE">
        <w:rPr>
          <w:rFonts w:cstheme="minorHAnsi"/>
          <w:lang w:val="en-US"/>
        </w:rPr>
        <w:t>polic</w:t>
      </w:r>
      <w:r w:rsidR="00126CC6">
        <w:rPr>
          <w:rFonts w:cstheme="minorHAnsi"/>
          <w:lang w:val="en-US"/>
        </w:rPr>
        <w:t>ies</w:t>
      </w:r>
      <w:r w:rsidR="005F16FE">
        <w:rPr>
          <w:rFonts w:cstheme="minorHAnsi"/>
          <w:lang w:val="en-US"/>
        </w:rPr>
        <w:t xml:space="preserve"> </w:t>
      </w:r>
      <w:r w:rsidR="00126CC6">
        <w:rPr>
          <w:rFonts w:cstheme="minorHAnsi"/>
          <w:lang w:val="en-US"/>
        </w:rPr>
        <w:t>is</w:t>
      </w:r>
      <w:r w:rsidR="005F16FE">
        <w:rPr>
          <w:rFonts w:cstheme="minorHAnsi"/>
          <w:lang w:val="en-US"/>
        </w:rPr>
        <w:t xml:space="preserve"> a step in the wrong direction.</w:t>
      </w:r>
    </w:p>
    <w:p w14:paraId="0C12A5B8" w14:textId="171A9377" w:rsidR="00126CC6" w:rsidRPr="00126CC6" w:rsidRDefault="005F16FE" w:rsidP="00126CC6">
      <w:pPr>
        <w:spacing w:line="276" w:lineRule="auto"/>
        <w:rPr>
          <w:rFonts w:cstheme="minorHAnsi"/>
          <w:lang w:val="en-US"/>
        </w:rPr>
      </w:pPr>
      <w:r w:rsidRPr="005F16FE">
        <w:rPr>
          <w:rFonts w:cstheme="minorHAnsi"/>
          <w:lang w:val="en-US"/>
        </w:rPr>
        <w:t>Al</w:t>
      </w:r>
      <w:r>
        <w:rPr>
          <w:rFonts w:cstheme="minorHAnsi"/>
          <w:lang w:val="en-US"/>
        </w:rPr>
        <w:t>k</w:t>
      </w:r>
      <w:r w:rsidRPr="005F16FE">
        <w:rPr>
          <w:rFonts w:cstheme="minorHAnsi"/>
          <w:lang w:val="en-US"/>
        </w:rPr>
        <w:t>ohol &amp; Samfund advocate</w:t>
      </w:r>
      <w:r w:rsidR="00126CC6">
        <w:rPr>
          <w:rFonts w:cstheme="minorHAnsi"/>
          <w:lang w:val="en-US"/>
        </w:rPr>
        <w:t>s</w:t>
      </w:r>
      <w:r w:rsidRPr="005F16FE">
        <w:rPr>
          <w:rFonts w:cstheme="minorHAnsi"/>
          <w:lang w:val="en-US"/>
        </w:rPr>
        <w:t xml:space="preserve"> for WHO</w:t>
      </w:r>
      <w:r w:rsidR="00126CC6">
        <w:rPr>
          <w:rFonts w:cstheme="minorHAnsi"/>
          <w:lang w:val="en-US"/>
        </w:rPr>
        <w:t>’s</w:t>
      </w:r>
      <w:r w:rsidRPr="005F16FE">
        <w:rPr>
          <w:rFonts w:cstheme="minorHAnsi"/>
          <w:lang w:val="en-US"/>
        </w:rPr>
        <w:t xml:space="preserve"> </w:t>
      </w:r>
      <w:r w:rsidR="00126CC6">
        <w:rPr>
          <w:rFonts w:cstheme="minorHAnsi"/>
          <w:lang w:val="en-US"/>
        </w:rPr>
        <w:t>“B</w:t>
      </w:r>
      <w:r w:rsidRPr="005F16FE">
        <w:rPr>
          <w:rFonts w:cstheme="minorHAnsi"/>
          <w:lang w:val="en-US"/>
        </w:rPr>
        <w:t xml:space="preserve">est </w:t>
      </w:r>
      <w:r w:rsidR="00126CC6">
        <w:rPr>
          <w:rFonts w:cstheme="minorHAnsi"/>
          <w:lang w:val="en-US"/>
        </w:rPr>
        <w:t>B</w:t>
      </w:r>
      <w:r w:rsidRPr="005F16FE">
        <w:rPr>
          <w:rFonts w:cstheme="minorHAnsi"/>
          <w:lang w:val="en-US"/>
        </w:rPr>
        <w:t>uys</w:t>
      </w:r>
      <w:r w:rsidR="00126CC6">
        <w:rPr>
          <w:rFonts w:cstheme="minorHAnsi"/>
          <w:lang w:val="en-US"/>
        </w:rPr>
        <w:t>”</w:t>
      </w:r>
      <w:r w:rsidRPr="005F16FE">
        <w:rPr>
          <w:rFonts w:cstheme="minorHAnsi"/>
          <w:lang w:val="en-US"/>
        </w:rPr>
        <w:t>, regarding reducing the availability of alcohol, reducing prices and banning alcohol advertisement.</w:t>
      </w:r>
      <w:r>
        <w:rPr>
          <w:rFonts w:cstheme="minorHAnsi"/>
          <w:lang w:val="en-US"/>
        </w:rPr>
        <w:t xml:space="preserve"> </w:t>
      </w:r>
      <w:r w:rsidR="00126CC6">
        <w:rPr>
          <w:rFonts w:cstheme="minorHAnsi"/>
          <w:lang w:val="en-US"/>
        </w:rPr>
        <w:t xml:space="preserve">Therefore Alkohol &amp; Samfund supports Eurocares response to </w:t>
      </w:r>
      <w:r w:rsidR="00126CC6" w:rsidRPr="00126CC6">
        <w:rPr>
          <w:rFonts w:cstheme="minorHAnsi"/>
          <w:lang w:val="en-US"/>
        </w:rPr>
        <w:t>the Finish Government proposal for an act amending section 17 of the Alcohol Act</w:t>
      </w:r>
      <w:r w:rsidR="00126CC6">
        <w:rPr>
          <w:rFonts w:cstheme="minorHAnsi"/>
          <w:lang w:val="en-US"/>
        </w:rPr>
        <w:t>:</w:t>
      </w:r>
    </w:p>
    <w:p w14:paraId="4A997105" w14:textId="4E7F7E07" w:rsidR="003D37C6" w:rsidRPr="00126CC6" w:rsidRDefault="003D37C6" w:rsidP="00126CC6">
      <w:pPr>
        <w:pStyle w:val="Overskrift2"/>
        <w:rPr>
          <w:lang w:val="en-US"/>
        </w:rPr>
      </w:pPr>
      <w:r w:rsidRPr="00126CC6">
        <w:rPr>
          <w:lang w:val="en-US"/>
        </w:rPr>
        <w:t>Background</w:t>
      </w:r>
    </w:p>
    <w:p w14:paraId="7B91B856" w14:textId="7E11AE66" w:rsidR="003D37C6" w:rsidRPr="003D37C6" w:rsidRDefault="003D37C6" w:rsidP="003D37C6">
      <w:pPr>
        <w:jc w:val="both"/>
        <w:rPr>
          <w:rFonts w:cstheme="minorHAnsi"/>
          <w:lang w:val="en-US"/>
        </w:rPr>
      </w:pPr>
      <w:r w:rsidRPr="003D37C6">
        <w:rPr>
          <w:rFonts w:cstheme="minorHAnsi"/>
          <w:lang w:val="en-US"/>
        </w:rPr>
        <w:t>The Finnish government-owned alcohol company currently has an exclusive right to the retail sales of alcoholic beverages containing more than 5.5 per cent of ethyl alcohol by volume. The retail sale of alcoholic beverages containing more than 2.8 per cent and not more than 5.5 per cent of ethyl alcohol by volume is subject to a licence from the authorities.</w:t>
      </w:r>
    </w:p>
    <w:p w14:paraId="2059AE2F" w14:textId="77777777" w:rsidR="003D37C6" w:rsidRPr="003D37C6" w:rsidRDefault="003D37C6" w:rsidP="003D37C6">
      <w:pPr>
        <w:jc w:val="both"/>
        <w:rPr>
          <w:rFonts w:cstheme="minorHAnsi"/>
          <w:lang w:val="en-US"/>
        </w:rPr>
      </w:pPr>
      <w:r w:rsidRPr="003D37C6">
        <w:rPr>
          <w:rFonts w:cstheme="minorHAnsi"/>
          <w:lang w:val="en-US"/>
        </w:rPr>
        <w:t>The exclusive retail sale right of the alcohol company would be modified by allowing the licenced retail sales of fermented alcoholic beverages containing more than 5.5 per cent and not more than 8.0 per cent by volume in addition to the beverages referred to above. The proposed Act is planned to enter into force at the beginning of 2024 at the earliest.</w:t>
      </w:r>
    </w:p>
    <w:p w14:paraId="2B7C0D21" w14:textId="77777777" w:rsidR="003D37C6" w:rsidRPr="003D37C6" w:rsidRDefault="003D37C6" w:rsidP="003D37C6">
      <w:pPr>
        <w:jc w:val="both"/>
        <w:rPr>
          <w:rFonts w:cstheme="minorHAnsi"/>
          <w:lang w:val="en-US"/>
        </w:rPr>
      </w:pPr>
      <w:r w:rsidRPr="003D37C6">
        <w:rPr>
          <w:rFonts w:cstheme="minorHAnsi"/>
          <w:lang w:val="en-US"/>
        </w:rPr>
        <w:t>The proposal relates to the Government Programme of Prime Minister Petteri Orpo’s Government, one of the aims of which is to open the market and increase competition. In this respect, it has been agreed that the Government will reform Finland’s alcohol policy towards a more European direction and continue the overall reform of the Alcohol Act carried out in 2018. The amendment at hand is just one of the steps taken. In 2025, the government will proceed looking at the liberalisation of the sale of wine with an ethanol content by volume of up to 15 per cent.</w:t>
      </w:r>
    </w:p>
    <w:p w14:paraId="51106C7A" w14:textId="77777777" w:rsidR="003D37C6" w:rsidRPr="003D37C6" w:rsidRDefault="003D37C6" w:rsidP="003D37C6">
      <w:pPr>
        <w:jc w:val="both"/>
        <w:rPr>
          <w:rFonts w:cstheme="minorHAnsi"/>
          <w:lang w:val="en-US"/>
        </w:rPr>
      </w:pPr>
      <w:r w:rsidRPr="003D37C6">
        <w:rPr>
          <w:rFonts w:cstheme="minorHAnsi"/>
          <w:lang w:val="en-US"/>
        </w:rPr>
        <w:t xml:space="preserve">The Government of Finland has notified the European Commission about the proposed amendment to the Finnish alcohol law. The purpose of this notification procedure is to ensure that the notified acts comply with EU law and the principles of the internal market. </w:t>
      </w:r>
      <w:r w:rsidRPr="003D37C6">
        <w:rPr>
          <w:lang w:val="en-US"/>
        </w:rPr>
        <w:t xml:space="preserve">In the EU, cancer is the leading cause of death, with alcohol contributing substantially to alcohol-attributable deaths, and impacting over 200 diseases. In this context, </w:t>
      </w:r>
      <w:r w:rsidRPr="003D37C6">
        <w:rPr>
          <w:rFonts w:cstheme="minorHAnsi"/>
          <w:lang w:val="en-US"/>
        </w:rPr>
        <w:t>Article 9</w:t>
      </w:r>
      <w:r w:rsidRPr="003D37C6">
        <w:rPr>
          <w:lang w:val="en-US"/>
        </w:rPr>
        <w:t xml:space="preserve"> of the </w:t>
      </w:r>
      <w:r w:rsidRPr="003D37C6">
        <w:rPr>
          <w:rFonts w:cstheme="minorHAnsi"/>
          <w:lang w:val="en-US"/>
        </w:rPr>
        <w:t xml:space="preserve">Treaty on the Functioning of the European Union (TFEU) requires that the EU also takes into account the protection of human health in all its policies and activities. </w:t>
      </w:r>
    </w:p>
    <w:p w14:paraId="7E1E54B7" w14:textId="77777777" w:rsidR="003D37C6" w:rsidRPr="003D37C6" w:rsidRDefault="003D37C6" w:rsidP="003D37C6">
      <w:pPr>
        <w:jc w:val="both"/>
        <w:rPr>
          <w:lang w:val="en-US"/>
        </w:rPr>
      </w:pPr>
      <w:r w:rsidRPr="003D37C6">
        <w:rPr>
          <w:lang w:val="en-US"/>
        </w:rPr>
        <w:lastRenderedPageBreak/>
        <w:t>Over the last years, alcohol consumption was decreasing in Finland</w:t>
      </w:r>
      <w:r>
        <w:rPr>
          <w:rStyle w:val="Fodnotehenvisning"/>
        </w:rPr>
        <w:footnoteReference w:id="1"/>
      </w:r>
      <w:r w:rsidRPr="003D37C6">
        <w:rPr>
          <w:lang w:val="en-US"/>
        </w:rPr>
        <w:t xml:space="preserve">. The aim of this proposal, and the future initiatives considered, is to reverse this trend since increasing sales means increasing alcohol consumption and its harm to society. This sets a dangerous precedent in the EU where a Member State is taking action directly contradicting the Europe’s Beating Cancer Plan to reduce alcohol consumption.  </w:t>
      </w:r>
    </w:p>
    <w:p w14:paraId="6CA4ECDC" w14:textId="19F6CF78" w:rsidR="003D37C6" w:rsidRPr="003D37C6" w:rsidRDefault="003D37C6" w:rsidP="00126CC6">
      <w:pPr>
        <w:pStyle w:val="Overskrift2"/>
      </w:pPr>
      <w:r w:rsidRPr="003D37C6">
        <w:t>Alkohol &amp; Samfund</w:t>
      </w:r>
      <w:r w:rsidRPr="003D37C6">
        <w:t xml:space="preserve"> is very concerned about the negative health, social, and economic impact of this proposal for the following reasons:</w:t>
      </w:r>
    </w:p>
    <w:p w14:paraId="0E1FA1D8" w14:textId="77777777" w:rsidR="003D37C6" w:rsidRPr="003D37C6" w:rsidRDefault="003D37C6" w:rsidP="003D37C6">
      <w:pPr>
        <w:pStyle w:val="Listeafsnit"/>
        <w:numPr>
          <w:ilvl w:val="0"/>
          <w:numId w:val="49"/>
        </w:numPr>
        <w:jc w:val="both"/>
        <w:rPr>
          <w:lang w:val="en-US"/>
        </w:rPr>
      </w:pPr>
      <w:r w:rsidRPr="003D37C6">
        <w:rPr>
          <w:b/>
          <w:bCs/>
          <w:lang w:val="en-US"/>
        </w:rPr>
        <w:t xml:space="preserve">Alcohol consumption is a serious public health matter: </w:t>
      </w:r>
      <w:r w:rsidRPr="003D37C6">
        <w:rPr>
          <w:lang w:val="en-US"/>
        </w:rPr>
        <w:t>Alcohol, classified as a Group 1 carcinogen by the International Agency for Research on Cancer, poses significant health and societal challenges. Its consumption and associated burden of disease are particularly pronounced in the WHO European Region, where alcohol-related deaths account for one in every ten fatalities annually.</w:t>
      </w:r>
      <w:r w:rsidRPr="003D37C6">
        <w:rPr>
          <w:b/>
          <w:bCs/>
          <w:lang w:val="en-US"/>
        </w:rPr>
        <w:t xml:space="preserve"> </w:t>
      </w:r>
      <w:r w:rsidRPr="003D37C6">
        <w:rPr>
          <w:lang w:val="en-US"/>
        </w:rPr>
        <w:t>The negative effects of alcohol, including weakened immunity and increased healthcare costs, place immense financial pressure on social and health-care systems.</w:t>
      </w:r>
    </w:p>
    <w:p w14:paraId="6E90A0ED" w14:textId="77777777" w:rsidR="003D37C6" w:rsidRPr="003D37C6" w:rsidRDefault="003D37C6" w:rsidP="003D37C6">
      <w:pPr>
        <w:pStyle w:val="Listeafsnit"/>
        <w:ind w:left="360"/>
        <w:jc w:val="both"/>
        <w:rPr>
          <w:lang w:val="en-US"/>
        </w:rPr>
      </w:pPr>
    </w:p>
    <w:p w14:paraId="3D7A8C8C" w14:textId="77777777" w:rsidR="003D37C6" w:rsidRPr="003D37C6" w:rsidRDefault="003D37C6" w:rsidP="003D37C6">
      <w:pPr>
        <w:pStyle w:val="Listeafsnit"/>
        <w:numPr>
          <w:ilvl w:val="0"/>
          <w:numId w:val="49"/>
        </w:numPr>
        <w:jc w:val="both"/>
        <w:rPr>
          <w:lang w:val="en-US"/>
        </w:rPr>
      </w:pPr>
      <w:r w:rsidRPr="003D37C6">
        <w:rPr>
          <w:b/>
          <w:bCs/>
          <w:lang w:val="en-US"/>
        </w:rPr>
        <w:t xml:space="preserve">Detrimental Impact on Well-being and Economic Growth: </w:t>
      </w:r>
      <w:r w:rsidRPr="003D37C6">
        <w:rPr>
          <w:lang w:val="en-US"/>
        </w:rPr>
        <w:t xml:space="preserve">The Finnish Government's proposed amendments are anticipated to negatively affect the well-being of the population and to undermine economic growth, which is contrary to the stated objectives. </w:t>
      </w:r>
      <w:r w:rsidRPr="003D37C6">
        <w:rPr>
          <w:rFonts w:cstheme="minorHAnsi"/>
          <w:lang w:val="en-US"/>
        </w:rPr>
        <w:t>The rationale behind relaxing alcohol legislation to boost sales and consumption for economic growth is unlikely to yield the intended outcomes. According to OECD</w:t>
      </w:r>
      <w:r w:rsidRPr="00977035">
        <w:rPr>
          <w:rStyle w:val="Fodnotehenvisning"/>
          <w:rFonts w:cstheme="minorHAnsi"/>
        </w:rPr>
        <w:footnoteReference w:id="2"/>
      </w:r>
      <w:r w:rsidRPr="003D37C6">
        <w:rPr>
          <w:rFonts w:cstheme="minorHAnsi"/>
          <w:lang w:val="en-US"/>
        </w:rPr>
        <w:t>, the predicted population health outcomes in the absence of effective interventions will lead to the loss of 1.9 years of health-adjusted life expectancy (HALE) and an annual reduction of 2.9% in Finland's GDP between 2020 and 2050, a substantial economic loss. Comparable impacts are expected in the EU and Sweden, with adverse effects on labour force employment and productivity. The proposal to relax alcohol control measures, leading to increased alcohol sales and consumption, is poised to exacerbate foreseen losses in well-being, life expectancy, economic growth, and productivity in Finland. OECD strongly recommends that governments intensify efforts to address the detrimental impacts of alcohol consumption rather than diminish them. Finland's notification thus exhibits internal inconsistencies and misguided motivations, providing grounds for rejecting the proposed changes.</w:t>
      </w:r>
    </w:p>
    <w:p w14:paraId="216EB8CB" w14:textId="77777777" w:rsidR="003D37C6" w:rsidRPr="003D37C6" w:rsidRDefault="003D37C6" w:rsidP="003D37C6">
      <w:pPr>
        <w:pStyle w:val="Listeafsnit"/>
        <w:ind w:left="360"/>
        <w:jc w:val="both"/>
        <w:rPr>
          <w:lang w:val="en-US"/>
        </w:rPr>
      </w:pPr>
    </w:p>
    <w:p w14:paraId="2FB406BC" w14:textId="77777777" w:rsidR="003D37C6" w:rsidRPr="003D37C6" w:rsidRDefault="003D37C6" w:rsidP="003D37C6">
      <w:pPr>
        <w:pStyle w:val="Listeafsnit"/>
        <w:numPr>
          <w:ilvl w:val="0"/>
          <w:numId w:val="49"/>
        </w:numPr>
        <w:jc w:val="both"/>
        <w:rPr>
          <w:lang w:val="en-US"/>
        </w:rPr>
      </w:pPr>
      <w:r w:rsidRPr="003D37C6">
        <w:rPr>
          <w:b/>
          <w:bCs/>
          <w:lang w:val="en-US"/>
        </w:rPr>
        <w:t xml:space="preserve">Weakening the Finnish monopoly Systems will be detrimental to Finnish people and society: </w:t>
      </w:r>
      <w:r w:rsidRPr="003D37C6">
        <w:rPr>
          <w:lang w:val="en-US"/>
        </w:rPr>
        <w:t>T</w:t>
      </w:r>
      <w:r w:rsidRPr="003D37C6">
        <w:rPr>
          <w:rFonts w:cstheme="minorHAnsi"/>
          <w:lang w:val="en-US"/>
        </w:rPr>
        <w:t xml:space="preserve">here is solid and compelling evidence that alcohol monopolies hold significant advantages for public health and welfare by way of limiting the availability of alcohol </w:t>
      </w:r>
      <w:r w:rsidRPr="00977035">
        <w:rPr>
          <w:rStyle w:val="Fodnotehenvisning"/>
          <w:rFonts w:cstheme="minorHAnsi"/>
        </w:rPr>
        <w:footnoteReference w:id="3"/>
      </w:r>
      <w:r w:rsidRPr="003D37C6">
        <w:rPr>
          <w:rFonts w:cstheme="minorHAnsi"/>
          <w:lang w:val="en-US"/>
        </w:rPr>
        <w:t xml:space="preserve"> </w:t>
      </w:r>
      <w:r w:rsidRPr="00977035">
        <w:rPr>
          <w:rStyle w:val="Fodnotehenvisning"/>
          <w:rFonts w:cstheme="minorHAnsi"/>
        </w:rPr>
        <w:footnoteReference w:id="4"/>
      </w:r>
      <w:r w:rsidRPr="003D37C6">
        <w:rPr>
          <w:rFonts w:cstheme="minorHAnsi"/>
          <w:lang w:val="en-US"/>
        </w:rPr>
        <w:t xml:space="preserve"> </w:t>
      </w:r>
      <w:r w:rsidRPr="00977035">
        <w:rPr>
          <w:rStyle w:val="Fodnotehenvisning"/>
          <w:rFonts w:cstheme="minorHAnsi"/>
        </w:rPr>
        <w:footnoteReference w:id="5"/>
      </w:r>
      <w:r w:rsidRPr="003D37C6">
        <w:rPr>
          <w:rFonts w:cstheme="minorHAnsi"/>
          <w:lang w:val="en-US"/>
        </w:rPr>
        <w:t xml:space="preserve">. </w:t>
      </w:r>
      <w:r w:rsidRPr="003D37C6">
        <w:rPr>
          <w:lang w:val="en-US"/>
        </w:rPr>
        <w:t>Monopoly systems, implemented in over 20 regions and countries around the world</w:t>
      </w:r>
      <w:r>
        <w:rPr>
          <w:rStyle w:val="Fodnotehenvisning"/>
        </w:rPr>
        <w:footnoteReference w:id="6"/>
      </w:r>
      <w:r w:rsidRPr="003D37C6">
        <w:rPr>
          <w:lang w:val="en-US"/>
        </w:rPr>
        <w:t xml:space="preserve"> prove effective in limiting alcohol availability. The regulation of state-owned retailers, such as Alko in Finland, allows for additional control mechanisms like restrictions on opening hours and advertising bans, making it more difficult and less appealing for underage drinkers to purchase alcohol. Deviation from a true monopoly system risk increasing alcohol accessibility, leading to adverse consequences such as heightened healthcare and criminal justice burdens. Modeling and scenario forecasting </w:t>
      </w:r>
      <w:r w:rsidRPr="003D37C6">
        <w:rPr>
          <w:lang w:val="en-US"/>
        </w:rPr>
        <w:lastRenderedPageBreak/>
        <w:t xml:space="preserve">demonstrate potential increases in sales volume, per capita alcohol use, and associated hospital admissions and deaths. Echoing this, the </w:t>
      </w:r>
      <w:r w:rsidRPr="003D37C6">
        <w:rPr>
          <w:rFonts w:cstheme="minorHAnsi"/>
          <w:lang w:val="en-US"/>
        </w:rPr>
        <w:t>Finnish Institute for Health and Welfare is of the view that the Finnish alcohol retail monopoly needs to be protected</w:t>
      </w:r>
      <w:r>
        <w:rPr>
          <w:rStyle w:val="Fodnotehenvisning"/>
          <w:rFonts w:cstheme="minorHAnsi"/>
        </w:rPr>
        <w:footnoteReference w:id="7"/>
      </w:r>
      <w:r w:rsidRPr="003D37C6">
        <w:rPr>
          <w:rFonts w:cstheme="minorHAnsi"/>
          <w:lang w:val="en-US"/>
        </w:rPr>
        <w:t>. In the case of Finland specifically, the studies show that if Alko, the Finish alcohol retail monopoly, was abolished or even weakened, it would increase people’s and communities’ vulnerability to greater harm, including a 14% rise in alcohol deaths</w:t>
      </w:r>
      <w:r>
        <w:rPr>
          <w:rStyle w:val="Fodnotehenvisning"/>
          <w:rFonts w:cstheme="minorHAnsi"/>
        </w:rPr>
        <w:footnoteReference w:id="8"/>
      </w:r>
      <w:r w:rsidRPr="003D37C6">
        <w:rPr>
          <w:rFonts w:cstheme="minorHAnsi"/>
          <w:lang w:val="en-US"/>
        </w:rPr>
        <w:t>. Alcohol related deaths, disabilities, absence or low productivity at work, among other things, are all major costs on the economy.</w:t>
      </w:r>
    </w:p>
    <w:p w14:paraId="28731C9C" w14:textId="77777777" w:rsidR="003D37C6" w:rsidRPr="003D37C6" w:rsidRDefault="003D37C6" w:rsidP="003D37C6">
      <w:pPr>
        <w:pStyle w:val="Listeafsnit"/>
        <w:ind w:left="360"/>
        <w:jc w:val="both"/>
        <w:rPr>
          <w:lang w:val="en-US"/>
        </w:rPr>
      </w:pPr>
    </w:p>
    <w:p w14:paraId="631D5CFE" w14:textId="77777777" w:rsidR="003D37C6" w:rsidRPr="003D37C6" w:rsidRDefault="003D37C6" w:rsidP="003D37C6">
      <w:pPr>
        <w:pStyle w:val="Listeafsnit"/>
        <w:numPr>
          <w:ilvl w:val="0"/>
          <w:numId w:val="49"/>
        </w:numPr>
        <w:spacing w:before="0" w:after="0"/>
        <w:jc w:val="both"/>
        <w:rPr>
          <w:lang w:val="en-US"/>
        </w:rPr>
      </w:pPr>
      <w:r w:rsidRPr="003D37C6">
        <w:rPr>
          <w:b/>
          <w:bCs/>
          <w:lang w:val="en-US"/>
        </w:rPr>
        <w:t xml:space="preserve">The impact assessment was not done appropriately: </w:t>
      </w:r>
      <w:r w:rsidRPr="003D37C6">
        <w:rPr>
          <w:lang w:val="en-US"/>
        </w:rPr>
        <w:t xml:space="preserve">The impact assessment of the proposed amendment (2023/0543/FI) is focused on advancing alcohol sales to create conditions for growth in the domestic market, but it lacks scrutiny regarding health, well-being, and competition policy. Alcohol, being a leading cause of preventable deaths globally, necessitates a comprehensive evaluation from a public health perspective, including stakeholder consultation which has not taken place. The importance of this cannot be overstated given the potential impact of this proposal on the well-being of young people. The majority of young people in Finland give preference to the type of alcohol under discussion.  </w:t>
      </w:r>
    </w:p>
    <w:p w14:paraId="788571AF" w14:textId="77777777" w:rsidR="003D37C6" w:rsidRPr="003D37C6" w:rsidRDefault="003D37C6" w:rsidP="003D37C6">
      <w:pPr>
        <w:spacing w:after="0"/>
        <w:jc w:val="both"/>
        <w:rPr>
          <w:lang w:val="en-US"/>
        </w:rPr>
      </w:pPr>
    </w:p>
    <w:p w14:paraId="3267389E" w14:textId="77777777" w:rsidR="003D37C6" w:rsidRPr="003D37C6" w:rsidRDefault="003D37C6" w:rsidP="003D37C6">
      <w:pPr>
        <w:pStyle w:val="Listeafsnit"/>
        <w:numPr>
          <w:ilvl w:val="0"/>
          <w:numId w:val="49"/>
        </w:numPr>
        <w:spacing w:before="0" w:after="0"/>
        <w:jc w:val="both"/>
        <w:rPr>
          <w:lang w:val="en-US"/>
        </w:rPr>
      </w:pPr>
      <w:r w:rsidRPr="003D37C6">
        <w:rPr>
          <w:b/>
          <w:bCs/>
          <w:lang w:val="en-US"/>
        </w:rPr>
        <w:t xml:space="preserve">Violation of International Commitments: </w:t>
      </w:r>
      <w:r w:rsidRPr="003D37C6">
        <w:rPr>
          <w:rFonts w:cstheme="minorHAnsi"/>
          <w:lang w:val="en-US"/>
        </w:rPr>
        <w:t>The proposed amendments undermine Finland's commitment to the World Health Organization (WHO) and contravene The European Framework for Action on Alcohol 2022-2025—a commitment jointly adopted by Finland and all member states of the European region of WHO in 2022. The European Framework for Action on Alcohol 2022–2025 encourages Member States to prioritize actions regulating alcohol availability, with a particular emphasis on state-operated alcohol outlets. The public health risks associated with suggested deregulation are substantial, with evidence supporting the advantages of alcohol monopolies in limiting alcohol availability.</w:t>
      </w:r>
    </w:p>
    <w:p w14:paraId="3CF3CA8F" w14:textId="77777777" w:rsidR="003D37C6" w:rsidRPr="003D37C6" w:rsidRDefault="003D37C6" w:rsidP="003D37C6">
      <w:pPr>
        <w:spacing w:after="0"/>
        <w:jc w:val="both"/>
        <w:rPr>
          <w:lang w:val="en-US"/>
        </w:rPr>
      </w:pPr>
    </w:p>
    <w:p w14:paraId="6FAE9C86" w14:textId="77777777" w:rsidR="003D37C6" w:rsidRPr="003D37C6" w:rsidRDefault="003D37C6" w:rsidP="003D37C6">
      <w:pPr>
        <w:pStyle w:val="Listeafsnit"/>
        <w:numPr>
          <w:ilvl w:val="0"/>
          <w:numId w:val="49"/>
        </w:numPr>
        <w:jc w:val="both"/>
        <w:rPr>
          <w:lang w:val="en-US"/>
        </w:rPr>
      </w:pPr>
      <w:r w:rsidRPr="003D37C6">
        <w:rPr>
          <w:b/>
          <w:bCs/>
          <w:lang w:val="en-US"/>
        </w:rPr>
        <w:t>Contradiction to EU Treaties:</w:t>
      </w:r>
      <w:r w:rsidRPr="003D37C6">
        <w:rPr>
          <w:rFonts w:cstheme="minorHAnsi"/>
          <w:lang w:val="en-US"/>
        </w:rPr>
        <w:t xml:space="preserve"> Finland's proposed amendments stand in direct contradiction to the treaties of the European Union, particularly Article 3 of the Treaty on European Union (TEU) and related articles in the TFEU. The TEU emphasizes the Union's core objectives, including the promotion of peace, values, and well-being, while the TFEU outlines responsibilities of Member States to align economic policies with the Union's objectives. Finland's proposed amendments, including changes in alcohol legislation, conflict with overarching aims and obligations, including the protection of the rights of the child.</w:t>
      </w:r>
    </w:p>
    <w:p w14:paraId="18B7B2F3" w14:textId="77777777" w:rsidR="003D37C6" w:rsidRPr="003D37C6" w:rsidRDefault="003D37C6" w:rsidP="003D37C6">
      <w:pPr>
        <w:jc w:val="both"/>
        <w:rPr>
          <w:b/>
          <w:bCs/>
          <w:lang w:val="en-US"/>
        </w:rPr>
      </w:pPr>
    </w:p>
    <w:p w14:paraId="5A58C7E7" w14:textId="77777777" w:rsidR="003D37C6" w:rsidRPr="003D37C6" w:rsidRDefault="003D37C6" w:rsidP="00126CC6">
      <w:pPr>
        <w:pStyle w:val="Overskrift2"/>
      </w:pPr>
      <w:r w:rsidRPr="003D37C6">
        <w:t>Conclusion:</w:t>
      </w:r>
    </w:p>
    <w:p w14:paraId="1AF9C887" w14:textId="77777777" w:rsidR="003D37C6" w:rsidRPr="003D37C6" w:rsidRDefault="003D37C6" w:rsidP="003D37C6">
      <w:pPr>
        <w:jc w:val="both"/>
        <w:rPr>
          <w:rFonts w:cstheme="minorHAnsi"/>
          <w:lang w:val="en-US"/>
        </w:rPr>
      </w:pPr>
      <w:r w:rsidRPr="003D37C6">
        <w:rPr>
          <w:rFonts w:cstheme="minorHAnsi"/>
          <w:lang w:val="en-US"/>
        </w:rPr>
        <w:t xml:space="preserve">Finland's proposed amendments, driven by economic considerations, pose significant risks to public health, well-being, and economic stability. These amendments are at odds with international commitments and EU treaties. Preserving the current effective alcohol sale structure, rooted in public health, is crucial to avoid undue burdens on the public sector and ensure the well-being of Finnish citizens. Consequently, implementing the proposed amendments will increase the share of alcohol sales outside of the monopoly, thus undermining its role as an effective policy tool to reduce alcohol </w:t>
      </w:r>
      <w:r w:rsidRPr="003D37C6">
        <w:rPr>
          <w:rFonts w:cstheme="minorHAnsi"/>
          <w:lang w:val="en-US"/>
        </w:rPr>
        <w:lastRenderedPageBreak/>
        <w:t>related harm. Accessibility and consumption of alcohol will increase, leading to preventable harms to individuals and society. The European Commission should carefully evaluate the potential consequences of these amendments on Finland's alcohol policy and the consolidation of the retail trade sector.</w:t>
      </w:r>
    </w:p>
    <w:p w14:paraId="62310113" w14:textId="77777777" w:rsidR="003D37C6" w:rsidRPr="003D37C6" w:rsidRDefault="003D37C6" w:rsidP="002245B7">
      <w:pPr>
        <w:spacing w:line="276" w:lineRule="auto"/>
        <w:rPr>
          <w:rStyle w:val="Svagfremhvning"/>
          <w:lang w:val="en-US"/>
        </w:rPr>
      </w:pPr>
    </w:p>
    <w:sectPr w:rsidR="003D37C6" w:rsidRPr="003D37C6" w:rsidSect="00B7792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52C0" w14:textId="77777777" w:rsidR="00576FD8" w:rsidRDefault="00576FD8" w:rsidP="001D4041">
      <w:r>
        <w:separator/>
      </w:r>
    </w:p>
  </w:endnote>
  <w:endnote w:type="continuationSeparator" w:id="0">
    <w:p w14:paraId="321EFB44" w14:textId="77777777" w:rsidR="00576FD8" w:rsidRDefault="00576FD8" w:rsidP="001D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1ECC" w14:textId="77777777" w:rsidR="00A20D27" w:rsidRDefault="00A20D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636802"/>
      <w:docPartObj>
        <w:docPartGallery w:val="Page Numbers (Bottom of Page)"/>
        <w:docPartUnique/>
      </w:docPartObj>
    </w:sdtPr>
    <w:sdtEndPr>
      <w:rPr>
        <w:sz w:val="20"/>
        <w:szCs w:val="20"/>
      </w:rPr>
    </w:sdtEndPr>
    <w:sdtContent>
      <w:p w14:paraId="5303F8EA" w14:textId="77777777" w:rsidR="00B95C03" w:rsidRPr="00D32CE3" w:rsidRDefault="00B95C03">
        <w:pPr>
          <w:pStyle w:val="Sidefod"/>
          <w:jc w:val="right"/>
          <w:rPr>
            <w:sz w:val="20"/>
            <w:szCs w:val="20"/>
          </w:rPr>
        </w:pPr>
        <w:r w:rsidRPr="00F6024B">
          <w:rPr>
            <w:rFonts w:asciiTheme="minorHAnsi" w:hAnsiTheme="minorHAnsi"/>
            <w:sz w:val="20"/>
            <w:szCs w:val="20"/>
          </w:rPr>
          <w:fldChar w:fldCharType="begin"/>
        </w:r>
        <w:r w:rsidRPr="00F6024B">
          <w:rPr>
            <w:rFonts w:asciiTheme="minorHAnsi" w:hAnsiTheme="minorHAnsi"/>
            <w:sz w:val="20"/>
            <w:szCs w:val="20"/>
          </w:rPr>
          <w:instrText>PAGE   \* MERGEFORMAT</w:instrText>
        </w:r>
        <w:r w:rsidRPr="00F6024B">
          <w:rPr>
            <w:rFonts w:asciiTheme="minorHAnsi" w:hAnsiTheme="minorHAnsi"/>
            <w:sz w:val="20"/>
            <w:szCs w:val="20"/>
          </w:rPr>
          <w:fldChar w:fldCharType="separate"/>
        </w:r>
        <w:r w:rsidR="00A61C9A" w:rsidRPr="00F6024B">
          <w:rPr>
            <w:rFonts w:asciiTheme="minorHAnsi" w:hAnsiTheme="minorHAnsi"/>
            <w:noProof/>
            <w:sz w:val="20"/>
            <w:szCs w:val="20"/>
          </w:rPr>
          <w:t>1</w:t>
        </w:r>
        <w:r w:rsidRPr="00F6024B">
          <w:rPr>
            <w:rFonts w:asciiTheme="minorHAnsi" w:hAnsiTheme="minorHAnsi"/>
            <w:sz w:val="20"/>
            <w:szCs w:val="20"/>
          </w:rPr>
          <w:fldChar w:fldCharType="end"/>
        </w:r>
      </w:p>
    </w:sdtContent>
  </w:sdt>
  <w:p w14:paraId="5A710ADD" w14:textId="77777777" w:rsidR="00A20D27" w:rsidRDefault="00A20D27" w:rsidP="00976331">
    <w:pPr>
      <w:pStyle w:val="Sidefod"/>
      <w:jc w:val="right"/>
      <w:rPr>
        <w:rFonts w:asciiTheme="minorHAnsi" w:hAnsiTheme="minorHAnsi"/>
        <w:sz w:val="18"/>
        <w:szCs w:val="18"/>
      </w:rPr>
    </w:pPr>
    <w:r w:rsidRPr="00A20D27">
      <w:rPr>
        <w:rFonts w:asciiTheme="minorHAnsi" w:hAnsiTheme="minorHAnsi"/>
        <w:sz w:val="18"/>
        <w:szCs w:val="18"/>
      </w:rPr>
      <w:t>Alkohol &amp; Samfund, Høffdingsvej 36, stuen, 2500 Valby</w:t>
    </w:r>
  </w:p>
  <w:p w14:paraId="3DBAA2AB" w14:textId="77777777" w:rsidR="00B95C03" w:rsidRPr="00976331" w:rsidRDefault="00000000" w:rsidP="00976331">
    <w:pPr>
      <w:pStyle w:val="Sidefod"/>
      <w:jc w:val="right"/>
      <w:rPr>
        <w:sz w:val="18"/>
        <w:szCs w:val="18"/>
      </w:rPr>
    </w:pPr>
    <w:hyperlink w:history="1">
      <w:r w:rsidR="00B95C03" w:rsidRPr="00F6024B">
        <w:rPr>
          <w:rStyle w:val="Hyperlink"/>
          <w:rFonts w:asciiTheme="minorHAnsi" w:hAnsiTheme="minorHAnsi"/>
          <w:sz w:val="18"/>
          <w:szCs w:val="18"/>
        </w:rPr>
        <w:t>www.alkohologsamfund.dk</w:t>
      </w:r>
      <w:r w:rsidR="00B95C03" w:rsidRPr="0012467B">
        <w:rPr>
          <w:rStyle w:val="Hyperlink"/>
          <w:sz w:val="18"/>
          <w:szCs w:val="18"/>
        </w:rPr>
        <w:t xml:space="preserve"> </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EAE3" w14:textId="77777777" w:rsidR="00A20D27" w:rsidRDefault="00A20D2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1BA1" w14:textId="77777777" w:rsidR="00576FD8" w:rsidRDefault="00576FD8" w:rsidP="001D4041">
      <w:r>
        <w:separator/>
      </w:r>
    </w:p>
  </w:footnote>
  <w:footnote w:type="continuationSeparator" w:id="0">
    <w:p w14:paraId="2DFE393C" w14:textId="77777777" w:rsidR="00576FD8" w:rsidRDefault="00576FD8" w:rsidP="001D4041">
      <w:r>
        <w:continuationSeparator/>
      </w:r>
    </w:p>
  </w:footnote>
  <w:footnote w:id="1">
    <w:p w14:paraId="7B8EB430" w14:textId="77777777" w:rsidR="003D37C6" w:rsidRDefault="003D37C6" w:rsidP="003D37C6">
      <w:pPr>
        <w:pStyle w:val="Fodnotetekst"/>
        <w:rPr>
          <w:sz w:val="16"/>
          <w:szCs w:val="16"/>
        </w:rPr>
      </w:pPr>
      <w:r>
        <w:rPr>
          <w:rStyle w:val="Fodnotehenvisning"/>
          <w:sz w:val="16"/>
          <w:szCs w:val="16"/>
        </w:rPr>
        <w:footnoteRef/>
      </w:r>
      <w:r>
        <w:rPr>
          <w:sz w:val="16"/>
          <w:szCs w:val="16"/>
        </w:rPr>
        <w:t xml:space="preserve"> Finnish Institute For Health And Welfare, statistics and figures (https://thl.fi/en/web/thlfi-en/statistics-and-data/statistics-by-topic/statistical-publications/yearbook-of-alcohol-and-drug-statistics)</w:t>
      </w:r>
    </w:p>
  </w:footnote>
  <w:footnote w:id="2">
    <w:p w14:paraId="2CA38AC7" w14:textId="77777777" w:rsidR="003D37C6" w:rsidRPr="00F24ABD" w:rsidRDefault="003D37C6" w:rsidP="003D37C6">
      <w:pPr>
        <w:pStyle w:val="Fodnotetekst"/>
      </w:pPr>
      <w:r w:rsidRPr="00FC26DD">
        <w:rPr>
          <w:rStyle w:val="Fodnotehenvisning"/>
          <w:rFonts w:cstheme="minorHAnsi"/>
          <w:sz w:val="16"/>
          <w:szCs w:val="16"/>
        </w:rPr>
        <w:footnoteRef/>
      </w:r>
      <w:r w:rsidRPr="00FC26DD">
        <w:rPr>
          <w:rFonts w:cstheme="minorHAnsi"/>
          <w:sz w:val="16"/>
          <w:szCs w:val="16"/>
        </w:rPr>
        <w:t xml:space="preserve"> </w:t>
      </w:r>
      <w:r w:rsidRPr="00FC26DD">
        <w:rPr>
          <w:rFonts w:cstheme="minorHAnsi"/>
          <w:color w:val="404040"/>
          <w:sz w:val="16"/>
          <w:szCs w:val="16"/>
          <w:shd w:val="clear" w:color="auto" w:fill="F5F5F5"/>
        </w:rPr>
        <w:t xml:space="preserve">  </w:t>
      </w:r>
      <w:hyperlink r:id="rId1" w:history="1">
        <w:r w:rsidRPr="00FC26DD">
          <w:rPr>
            <w:rStyle w:val="Hyperlink"/>
            <w:rFonts w:cstheme="minorHAnsi"/>
            <w:sz w:val="16"/>
            <w:szCs w:val="16"/>
            <w:shd w:val="clear" w:color="auto" w:fill="F5F5F5"/>
          </w:rPr>
          <w:t>http://oecdpublichealthexplorer.org/#</w:t>
        </w:r>
      </w:hyperlink>
    </w:p>
  </w:footnote>
  <w:footnote w:id="3">
    <w:p w14:paraId="190FB928" w14:textId="77777777" w:rsidR="003D37C6" w:rsidRPr="00FC26DD" w:rsidRDefault="003D37C6" w:rsidP="003D37C6">
      <w:pPr>
        <w:pStyle w:val="Fodnotetekst"/>
        <w:jc w:val="both"/>
        <w:rPr>
          <w:rFonts w:cstheme="minorHAnsi"/>
          <w:sz w:val="16"/>
          <w:szCs w:val="16"/>
          <w:lang w:val="en-US"/>
        </w:rPr>
      </w:pPr>
      <w:r w:rsidRPr="00FC26DD">
        <w:rPr>
          <w:rStyle w:val="Fodnotehenvisning"/>
          <w:rFonts w:cstheme="minorHAnsi"/>
          <w:sz w:val="16"/>
          <w:szCs w:val="16"/>
        </w:rPr>
        <w:footnoteRef/>
      </w:r>
      <w:r w:rsidRPr="00FC26DD">
        <w:rPr>
          <w:rFonts w:cstheme="minorHAnsi"/>
          <w:sz w:val="16"/>
          <w:szCs w:val="16"/>
        </w:rPr>
        <w:t xml:space="preserve"> Room R. Alcohol monopolies: Scottish Health Action on Alcohol Problems; 2021 (https://www.shaap.org.uk/blog/332-alcoholmonopolies.html, accessed 10 August 2023).</w:t>
      </w:r>
    </w:p>
  </w:footnote>
  <w:footnote w:id="4">
    <w:p w14:paraId="0B3EE43D" w14:textId="77777777" w:rsidR="003D37C6" w:rsidRPr="00FF1FBE" w:rsidRDefault="003D37C6" w:rsidP="003D37C6">
      <w:pPr>
        <w:pStyle w:val="Fodnotetekst"/>
        <w:jc w:val="both"/>
        <w:rPr>
          <w:rFonts w:cstheme="minorHAnsi"/>
          <w:sz w:val="16"/>
          <w:szCs w:val="16"/>
          <w:lang w:val="en-US"/>
        </w:rPr>
      </w:pPr>
      <w:r w:rsidRPr="00FC26DD">
        <w:rPr>
          <w:rStyle w:val="Fodnotehenvisning"/>
          <w:rFonts w:cstheme="minorHAnsi"/>
          <w:sz w:val="16"/>
          <w:szCs w:val="16"/>
        </w:rPr>
        <w:footnoteRef/>
      </w:r>
      <w:r w:rsidRPr="00FC26DD">
        <w:rPr>
          <w:rFonts w:cstheme="minorHAnsi"/>
          <w:sz w:val="16"/>
          <w:szCs w:val="16"/>
        </w:rPr>
        <w:t xml:space="preserve"> Stockwell T, Sherk A, Norström T, Angus C, Ramstedt M, Andréasson S, et al. Estimating the public health impact of disbanding a government alcohol </w:t>
      </w:r>
      <w:r w:rsidRPr="00FF1FBE">
        <w:rPr>
          <w:rFonts w:cstheme="minorHAnsi"/>
          <w:sz w:val="16"/>
          <w:szCs w:val="16"/>
        </w:rPr>
        <w:t>monopoly: application of new methods to the case of Sweden. BMC Public Health. 2018;18(1):1400.</w:t>
      </w:r>
    </w:p>
  </w:footnote>
  <w:footnote w:id="5">
    <w:p w14:paraId="06C6AE30" w14:textId="77777777" w:rsidR="003D37C6" w:rsidRPr="00FF1FBE" w:rsidRDefault="003D37C6" w:rsidP="003D37C6">
      <w:pPr>
        <w:pStyle w:val="Fodnotetekst"/>
        <w:jc w:val="both"/>
        <w:rPr>
          <w:rFonts w:cstheme="minorHAnsi"/>
          <w:sz w:val="16"/>
          <w:szCs w:val="16"/>
          <w:lang w:val="en-US"/>
        </w:rPr>
      </w:pPr>
      <w:r w:rsidRPr="00FF1FBE">
        <w:rPr>
          <w:rStyle w:val="Fodnotehenvisning"/>
          <w:rFonts w:cstheme="minorHAnsi"/>
          <w:sz w:val="16"/>
          <w:szCs w:val="16"/>
        </w:rPr>
        <w:footnoteRef/>
      </w:r>
      <w:r w:rsidRPr="00FF1FBE">
        <w:rPr>
          <w:rFonts w:cstheme="minorHAnsi"/>
          <w:sz w:val="16"/>
          <w:szCs w:val="16"/>
        </w:rPr>
        <w:t xml:space="preserve"> Room R, Cisneros Örnberg J. Government monopoly as an instrument for public health and welfare: Lessons for cannabis from experience with alcohol monopolies. Int J Drug Policy. 2019;74:223–8.</w:t>
      </w:r>
    </w:p>
  </w:footnote>
  <w:footnote w:id="6">
    <w:p w14:paraId="0F15197E" w14:textId="77777777" w:rsidR="003D37C6" w:rsidRPr="005814FF" w:rsidRDefault="003D37C6" w:rsidP="003D37C6">
      <w:pPr>
        <w:pStyle w:val="Fodnotetekst"/>
        <w:rPr>
          <w:sz w:val="16"/>
          <w:szCs w:val="16"/>
          <w:lang w:val="en-US"/>
        </w:rPr>
      </w:pPr>
      <w:r w:rsidRPr="005814FF">
        <w:rPr>
          <w:rStyle w:val="Fodnotehenvisning"/>
          <w:sz w:val="16"/>
          <w:szCs w:val="16"/>
        </w:rPr>
        <w:footnoteRef/>
      </w:r>
      <w:r w:rsidRPr="005814FF">
        <w:rPr>
          <w:sz w:val="16"/>
          <w:szCs w:val="16"/>
        </w:rPr>
        <w:t xml:space="preserve"> </w:t>
      </w:r>
      <w:hyperlink r:id="rId2" w:history="1">
        <w:r w:rsidRPr="005814FF">
          <w:rPr>
            <w:rStyle w:val="Hyperlink"/>
            <w:sz w:val="16"/>
            <w:szCs w:val="16"/>
          </w:rPr>
          <w:t>Webinar: Alcohol monopolies: what does it take for alcohol monopolies to work? WHO's webinar of October 2023</w:t>
        </w:r>
      </w:hyperlink>
    </w:p>
  </w:footnote>
  <w:footnote w:id="7">
    <w:p w14:paraId="377FB723" w14:textId="77777777" w:rsidR="003D37C6" w:rsidRDefault="003D37C6" w:rsidP="003D37C6">
      <w:pPr>
        <w:pStyle w:val="Fodnotetekst"/>
        <w:rPr>
          <w:sz w:val="16"/>
          <w:szCs w:val="16"/>
          <w:lang w:val="en-US"/>
        </w:rPr>
      </w:pPr>
      <w:r>
        <w:rPr>
          <w:rStyle w:val="Fodnotehenvisning"/>
          <w:sz w:val="16"/>
          <w:szCs w:val="16"/>
        </w:rPr>
        <w:footnoteRef/>
      </w:r>
      <w:r>
        <w:rPr>
          <w:sz w:val="16"/>
          <w:szCs w:val="16"/>
        </w:rPr>
        <w:t xml:space="preserve"> Finnish Institute For Health And Welfare (https://thl.fi/sv/web/thlfi-sv/-/thl-alkos-monopolsystem-minskar-alkoholrelaterade-skador-och-darfor-lonar-det-sig-att-halla-fast-vid-det)</w:t>
      </w:r>
    </w:p>
  </w:footnote>
  <w:footnote w:id="8">
    <w:p w14:paraId="39A194AE" w14:textId="77777777" w:rsidR="003D37C6" w:rsidRPr="005814FF" w:rsidRDefault="003D37C6" w:rsidP="003D37C6">
      <w:pPr>
        <w:pStyle w:val="Fodnotetekst"/>
        <w:rPr>
          <w:lang w:val="en-US"/>
        </w:rPr>
      </w:pPr>
      <w:r>
        <w:rPr>
          <w:rStyle w:val="Fodnotehenvisning"/>
        </w:rPr>
        <w:footnoteRef/>
      </w:r>
      <w:r>
        <w:t xml:space="preserve"> </w:t>
      </w:r>
      <w:r>
        <w:rPr>
          <w:kern w:val="0"/>
          <w:sz w:val="16"/>
          <w:szCs w:val="16"/>
          <w14:ligatures w14:val="none"/>
        </w:rPr>
        <w:t>Finnish Institute For Health And Welfare (https://thl.fi/sv/web/thlfi-sv/-/thl-alkos-monopolsystem-minskar-alkoholrelaterade-skador-och-darfor-lonar-det-sig-att-halla-fast-vid-det)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6931" w14:textId="77777777" w:rsidR="00A20D27" w:rsidRDefault="00A20D2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55A" w14:textId="77777777" w:rsidR="00B95C03" w:rsidRDefault="001C76C0" w:rsidP="00D32CE3">
    <w:pPr>
      <w:pStyle w:val="Sidehoved"/>
      <w:tabs>
        <w:tab w:val="left" w:pos="1665"/>
      </w:tabs>
    </w:pPr>
    <w:r w:rsidRPr="00DF752E">
      <w:rPr>
        <w:noProof/>
      </w:rPr>
      <w:drawing>
        <wp:anchor distT="0" distB="0" distL="114300" distR="114300" simplePos="0" relativeHeight="251659264" behindDoc="1" locked="0" layoutInCell="1" allowOverlap="1" wp14:anchorId="1CC9B344" wp14:editId="00EF0782">
          <wp:simplePos x="0" y="0"/>
          <wp:positionH relativeFrom="margin">
            <wp:posOffset>5108331</wp:posOffset>
          </wp:positionH>
          <wp:positionV relativeFrom="paragraph">
            <wp:posOffset>-132715</wp:posOffset>
          </wp:positionV>
          <wp:extent cx="1079500" cy="528955"/>
          <wp:effectExtent l="0" t="0" r="0" b="4445"/>
          <wp:wrapTight wrapText="bothSides">
            <wp:wrapPolygon edited="0">
              <wp:start x="1144" y="778"/>
              <wp:lineTo x="0" y="14002"/>
              <wp:lineTo x="762" y="19448"/>
              <wp:lineTo x="1144" y="21004"/>
              <wp:lineTo x="19440" y="21004"/>
              <wp:lineTo x="20202" y="19448"/>
              <wp:lineTo x="20584" y="14780"/>
              <wp:lineTo x="20965" y="6223"/>
              <wp:lineTo x="20202" y="778"/>
              <wp:lineTo x="1144" y="778"/>
            </wp:wrapPolygon>
          </wp:wrapTight>
          <wp:docPr id="1" name="Billede 1" descr="U:\Alkohol &amp; Samfund - Data\Kommunikation\DESIGN\Logoer\Nye logoer\Alkohol &amp; Samfund_Aflevering_22.11.2018\Navnetr├ªk\RGB\PNG\Navnetr├ªk_RGB_Alkohol&amp;Samfund_Bla╠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kohol &amp; Samfund - Data\Kommunikation\DESIGN\Logoer\Nye logoer\Alkohol &amp; Samfund_Aflevering_22.11.2018\Navnetr├ªk\RGB\PNG\Navnetr├ªk_RGB_Alkohol&amp;Samfund_Bla╠è.png"/>
                  <pic:cNvPicPr>
                    <a:picLocks noChangeAspect="1" noChangeArrowheads="1"/>
                  </pic:cNvPicPr>
                </pic:nvPicPr>
                <pic:blipFill rotWithShape="1">
                  <a:blip r:embed="rId1">
                    <a:extLst>
                      <a:ext uri="{28A0092B-C50C-407E-A947-70E740481C1C}">
                        <a14:useLocalDpi xmlns:a14="http://schemas.microsoft.com/office/drawing/2010/main" val="0"/>
                      </a:ext>
                    </a:extLst>
                  </a:blip>
                  <a:srcRect l="9658" t="15401" r="9931" b="15942"/>
                  <a:stretch/>
                </pic:blipFill>
                <pic:spPr bwMode="auto">
                  <a:xfrm>
                    <a:off x="0" y="0"/>
                    <a:ext cx="1079500" cy="528955"/>
                  </a:xfrm>
                  <a:prstGeom prst="rect">
                    <a:avLst/>
                  </a:prstGeom>
                  <a:noFill/>
                  <a:ln>
                    <a:noFill/>
                  </a:ln>
                  <a:extLst>
                    <a:ext uri="{53640926-AAD7-44D8-BBD7-CCE9431645EC}">
                      <a14:shadowObscured xmlns:a14="http://schemas.microsoft.com/office/drawing/2010/main"/>
                    </a:ext>
                  </a:extLst>
                </pic:spPr>
              </pic:pic>
            </a:graphicData>
          </a:graphic>
        </wp:anchor>
      </w:drawing>
    </w:r>
    <w:r w:rsidR="00B95C03">
      <w:tab/>
    </w:r>
    <w:r w:rsidR="00B95C03">
      <w:tab/>
    </w:r>
    <w:r w:rsidR="00B95C03">
      <w:tab/>
    </w:r>
  </w:p>
  <w:p w14:paraId="42C5BEF2" w14:textId="77777777" w:rsidR="00B95C03" w:rsidRDefault="00B95C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5789" w14:textId="77777777" w:rsidR="00A20D27" w:rsidRDefault="00A20D2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6C1"/>
    <w:multiLevelType w:val="hybridMultilevel"/>
    <w:tmpl w:val="B0180F3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6F75072"/>
    <w:multiLevelType w:val="hybridMultilevel"/>
    <w:tmpl w:val="F6D4D402"/>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 w15:restartNumberingAfterBreak="0">
    <w:nsid w:val="0B865159"/>
    <w:multiLevelType w:val="hybridMultilevel"/>
    <w:tmpl w:val="D53CE8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47298C"/>
    <w:multiLevelType w:val="hybridMultilevel"/>
    <w:tmpl w:val="4202C9BC"/>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2463EA7"/>
    <w:multiLevelType w:val="hybridMultilevel"/>
    <w:tmpl w:val="B8562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AE42ED"/>
    <w:multiLevelType w:val="hybridMultilevel"/>
    <w:tmpl w:val="930CD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E507AB"/>
    <w:multiLevelType w:val="hybridMultilevel"/>
    <w:tmpl w:val="ACB04948"/>
    <w:lvl w:ilvl="0" w:tplc="CBE6AC9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6219DF"/>
    <w:multiLevelType w:val="hybridMultilevel"/>
    <w:tmpl w:val="1A0205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165FF4"/>
    <w:multiLevelType w:val="hybridMultilevel"/>
    <w:tmpl w:val="CCC64CEA"/>
    <w:lvl w:ilvl="0" w:tplc="CBE6AC9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ED033A"/>
    <w:multiLevelType w:val="hybridMultilevel"/>
    <w:tmpl w:val="96B0452C"/>
    <w:lvl w:ilvl="0" w:tplc="25381EAC">
      <w:start w:val="1"/>
      <w:numFmt w:val="decimal"/>
      <w:lvlText w:val="%1)"/>
      <w:lvlJc w:val="left"/>
      <w:pPr>
        <w:ind w:left="405" w:hanging="360"/>
      </w:pPr>
      <w:rPr>
        <w:rFonts w:hint="default"/>
        <w:b w:val="0"/>
        <w:sz w:val="32"/>
        <w:szCs w:val="32"/>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10" w15:restartNumberingAfterBreak="0">
    <w:nsid w:val="259445F1"/>
    <w:multiLevelType w:val="hybridMultilevel"/>
    <w:tmpl w:val="514C57FC"/>
    <w:lvl w:ilvl="0" w:tplc="9508B7F2">
      <w:numFmt w:val="bullet"/>
      <w:lvlText w:val="-"/>
      <w:lvlJc w:val="left"/>
      <w:pPr>
        <w:ind w:left="1080" w:hanging="360"/>
      </w:pPr>
      <w:rPr>
        <w:rFonts w:ascii="Calibri" w:eastAsiaTheme="minorHAns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7A9348E"/>
    <w:multiLevelType w:val="hybridMultilevel"/>
    <w:tmpl w:val="A800716C"/>
    <w:lvl w:ilvl="0" w:tplc="9FEA6956">
      <w:numFmt w:val="bullet"/>
      <w:lvlText w:val="-"/>
      <w:lvlJc w:val="left"/>
      <w:pPr>
        <w:ind w:left="1211" w:hanging="360"/>
      </w:pPr>
      <w:rPr>
        <w:rFonts w:ascii="Calibri" w:eastAsia="Calibri" w:hAnsi="Calibri"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2" w15:restartNumberingAfterBreak="0">
    <w:nsid w:val="28143AF1"/>
    <w:multiLevelType w:val="hybridMultilevel"/>
    <w:tmpl w:val="CD967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B42D22"/>
    <w:multiLevelType w:val="hybridMultilevel"/>
    <w:tmpl w:val="517C9AB4"/>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A763929"/>
    <w:multiLevelType w:val="hybridMultilevel"/>
    <w:tmpl w:val="204ED74A"/>
    <w:lvl w:ilvl="0" w:tplc="0632E75A">
      <w:start w:val="10"/>
      <w:numFmt w:val="bullet"/>
      <w:lvlText w:val="-"/>
      <w:lvlJc w:val="left"/>
      <w:pPr>
        <w:ind w:left="1146" w:hanging="360"/>
      </w:pPr>
      <w:rPr>
        <w:rFonts w:ascii="Calibri" w:eastAsia="Calibri"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5" w15:restartNumberingAfterBreak="0">
    <w:nsid w:val="2B2E2F1E"/>
    <w:multiLevelType w:val="hybridMultilevel"/>
    <w:tmpl w:val="8C203C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E4D058D"/>
    <w:multiLevelType w:val="hybridMultilevel"/>
    <w:tmpl w:val="340C0D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07D608B"/>
    <w:multiLevelType w:val="hybridMultilevel"/>
    <w:tmpl w:val="E144B1BE"/>
    <w:lvl w:ilvl="0" w:tplc="B15EF5A8">
      <w:start w:val="6"/>
      <w:numFmt w:val="bullet"/>
      <w:lvlText w:val="-"/>
      <w:lvlJc w:val="left"/>
      <w:pPr>
        <w:ind w:left="1146" w:hanging="360"/>
      </w:pPr>
      <w:rPr>
        <w:rFonts w:ascii="Calibri" w:eastAsia="Calibri"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8" w15:restartNumberingAfterBreak="0">
    <w:nsid w:val="31DC0E9D"/>
    <w:multiLevelType w:val="hybridMultilevel"/>
    <w:tmpl w:val="7A2673C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1E8494F"/>
    <w:multiLevelType w:val="hybridMultilevel"/>
    <w:tmpl w:val="963C1B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E03BB0"/>
    <w:multiLevelType w:val="hybridMultilevel"/>
    <w:tmpl w:val="13C4C1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5065832"/>
    <w:multiLevelType w:val="hybridMultilevel"/>
    <w:tmpl w:val="64F6A84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8596824"/>
    <w:multiLevelType w:val="hybridMultilevel"/>
    <w:tmpl w:val="F61AD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9163487"/>
    <w:multiLevelType w:val="hybridMultilevel"/>
    <w:tmpl w:val="9A76432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3B9458B4"/>
    <w:multiLevelType w:val="hybridMultilevel"/>
    <w:tmpl w:val="815AE4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8A26E9"/>
    <w:multiLevelType w:val="hybridMultilevel"/>
    <w:tmpl w:val="0B2E464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412F6976"/>
    <w:multiLevelType w:val="hybridMultilevel"/>
    <w:tmpl w:val="44AE46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2115336"/>
    <w:multiLevelType w:val="hybridMultilevel"/>
    <w:tmpl w:val="667E5054"/>
    <w:lvl w:ilvl="0" w:tplc="B9581022">
      <w:numFmt w:val="bullet"/>
      <w:lvlText w:val="-"/>
      <w:lvlJc w:val="left"/>
      <w:pPr>
        <w:ind w:left="1146" w:hanging="360"/>
      </w:pPr>
      <w:rPr>
        <w:rFonts w:ascii="Calibri" w:eastAsia="Calibri"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8" w15:restartNumberingAfterBreak="0">
    <w:nsid w:val="43AE1F36"/>
    <w:multiLevelType w:val="hybridMultilevel"/>
    <w:tmpl w:val="0B86818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44B04E2A"/>
    <w:multiLevelType w:val="hybridMultilevel"/>
    <w:tmpl w:val="D0E46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7891272"/>
    <w:multiLevelType w:val="hybridMultilevel"/>
    <w:tmpl w:val="88FCAE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1515F06"/>
    <w:multiLevelType w:val="hybridMultilevel"/>
    <w:tmpl w:val="88FCAE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3732FE2"/>
    <w:multiLevelType w:val="hybridMultilevel"/>
    <w:tmpl w:val="37EA7B7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546E485B"/>
    <w:multiLevelType w:val="multilevel"/>
    <w:tmpl w:val="315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124FF"/>
    <w:multiLevelType w:val="hybridMultilevel"/>
    <w:tmpl w:val="2834E14A"/>
    <w:lvl w:ilvl="0" w:tplc="BBF42396">
      <w:start w:val="1"/>
      <w:numFmt w:val="bullet"/>
      <w:lvlText w:val="-"/>
      <w:lvlJc w:val="left"/>
      <w:pPr>
        <w:ind w:left="1440" w:hanging="360"/>
      </w:pPr>
      <w:rPr>
        <w:rFonts w:ascii="Calibri" w:hAnsi="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15:restartNumberingAfterBreak="0">
    <w:nsid w:val="5B8553BD"/>
    <w:multiLevelType w:val="hybridMultilevel"/>
    <w:tmpl w:val="92EAB7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414447"/>
    <w:multiLevelType w:val="hybridMultilevel"/>
    <w:tmpl w:val="FA56636A"/>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37" w15:restartNumberingAfterBreak="0">
    <w:nsid w:val="65BD53C3"/>
    <w:multiLevelType w:val="hybridMultilevel"/>
    <w:tmpl w:val="4C5850E2"/>
    <w:lvl w:ilvl="0" w:tplc="81E255CE">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15:restartNumberingAfterBreak="0">
    <w:nsid w:val="65C50ED3"/>
    <w:multiLevelType w:val="hybridMultilevel"/>
    <w:tmpl w:val="10084F0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CB6BED"/>
    <w:multiLevelType w:val="hybridMultilevel"/>
    <w:tmpl w:val="79ECC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2F79B4"/>
    <w:multiLevelType w:val="hybridMultilevel"/>
    <w:tmpl w:val="3ACC225C"/>
    <w:lvl w:ilvl="0" w:tplc="671282EC">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2A74167"/>
    <w:multiLevelType w:val="hybridMultilevel"/>
    <w:tmpl w:val="705257C0"/>
    <w:lvl w:ilvl="0" w:tplc="CBE6AC9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30A135D"/>
    <w:multiLevelType w:val="hybridMultilevel"/>
    <w:tmpl w:val="58DA14E8"/>
    <w:lvl w:ilvl="0" w:tplc="0EFE692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3" w15:restartNumberingAfterBreak="0">
    <w:nsid w:val="74790F1E"/>
    <w:multiLevelType w:val="multilevel"/>
    <w:tmpl w:val="6F30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7722A9"/>
    <w:multiLevelType w:val="hybridMultilevel"/>
    <w:tmpl w:val="7480D130"/>
    <w:lvl w:ilvl="0" w:tplc="0406000F">
      <w:start w:val="1"/>
      <w:numFmt w:val="decimal"/>
      <w:lvlText w:val="%1."/>
      <w:lvlJc w:val="left"/>
      <w:pPr>
        <w:ind w:left="786" w:hanging="360"/>
      </w:pPr>
      <w:rPr>
        <w:rFonts w:hint="default"/>
      </w:rPr>
    </w:lvl>
    <w:lvl w:ilvl="1" w:tplc="04060001">
      <w:start w:val="1"/>
      <w:numFmt w:val="bullet"/>
      <w:lvlText w:val=""/>
      <w:lvlJc w:val="left"/>
      <w:pPr>
        <w:ind w:left="1506" w:hanging="360"/>
      </w:pPr>
      <w:rPr>
        <w:rFonts w:ascii="Symbol" w:hAnsi="Symbol" w:hint="default"/>
      </w:r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5" w15:restartNumberingAfterBreak="0">
    <w:nsid w:val="76254921"/>
    <w:multiLevelType w:val="hybridMultilevel"/>
    <w:tmpl w:val="BCCECD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7C74FFE"/>
    <w:multiLevelType w:val="hybridMultilevel"/>
    <w:tmpl w:val="A420DF20"/>
    <w:lvl w:ilvl="0" w:tplc="A186217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20CF6"/>
    <w:multiLevelType w:val="hybridMultilevel"/>
    <w:tmpl w:val="B8F4F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D5D3D37"/>
    <w:multiLevelType w:val="hybridMultilevel"/>
    <w:tmpl w:val="426CA3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26338101">
    <w:abstractNumId w:val="4"/>
  </w:num>
  <w:num w:numId="2" w16cid:durableId="12613894">
    <w:abstractNumId w:val="5"/>
  </w:num>
  <w:num w:numId="3" w16cid:durableId="22292782">
    <w:abstractNumId w:val="12"/>
  </w:num>
  <w:num w:numId="4" w16cid:durableId="962153252">
    <w:abstractNumId w:val="34"/>
  </w:num>
  <w:num w:numId="5" w16cid:durableId="862135892">
    <w:abstractNumId w:val="41"/>
  </w:num>
  <w:num w:numId="6" w16cid:durableId="1809738709">
    <w:abstractNumId w:val="9"/>
  </w:num>
  <w:num w:numId="7" w16cid:durableId="2012097750">
    <w:abstractNumId w:val="8"/>
  </w:num>
  <w:num w:numId="8" w16cid:durableId="232009907">
    <w:abstractNumId w:val="6"/>
  </w:num>
  <w:num w:numId="9" w16cid:durableId="2014334332">
    <w:abstractNumId w:val="7"/>
  </w:num>
  <w:num w:numId="10" w16cid:durableId="1879203055">
    <w:abstractNumId w:val="45"/>
  </w:num>
  <w:num w:numId="11" w16cid:durableId="1876917497">
    <w:abstractNumId w:val="44"/>
  </w:num>
  <w:num w:numId="12" w16cid:durableId="1068503610">
    <w:abstractNumId w:val="10"/>
  </w:num>
  <w:num w:numId="13" w16cid:durableId="2056657915">
    <w:abstractNumId w:val="32"/>
  </w:num>
  <w:num w:numId="14" w16cid:durableId="1360165130">
    <w:abstractNumId w:val="23"/>
  </w:num>
  <w:num w:numId="15" w16cid:durableId="1918009124">
    <w:abstractNumId w:val="37"/>
  </w:num>
  <w:num w:numId="16" w16cid:durableId="476188086">
    <w:abstractNumId w:val="28"/>
  </w:num>
  <w:num w:numId="17" w16cid:durableId="1408304547">
    <w:abstractNumId w:val="14"/>
  </w:num>
  <w:num w:numId="18" w16cid:durableId="1798062536">
    <w:abstractNumId w:val="20"/>
  </w:num>
  <w:num w:numId="19" w16cid:durableId="1977635973">
    <w:abstractNumId w:val="0"/>
  </w:num>
  <w:num w:numId="20" w16cid:durableId="694231381">
    <w:abstractNumId w:val="17"/>
  </w:num>
  <w:num w:numId="21" w16cid:durableId="1051463351">
    <w:abstractNumId w:val="1"/>
  </w:num>
  <w:num w:numId="22" w16cid:durableId="1231384506">
    <w:abstractNumId w:val="36"/>
  </w:num>
  <w:num w:numId="23" w16cid:durableId="252857969">
    <w:abstractNumId w:val="39"/>
  </w:num>
  <w:num w:numId="24" w16cid:durableId="1764688573">
    <w:abstractNumId w:val="27"/>
  </w:num>
  <w:num w:numId="25" w16cid:durableId="1778406346">
    <w:abstractNumId w:val="11"/>
  </w:num>
  <w:num w:numId="26" w16cid:durableId="1774789196">
    <w:abstractNumId w:val="43"/>
  </w:num>
  <w:num w:numId="27" w16cid:durableId="418530318">
    <w:abstractNumId w:val="33"/>
  </w:num>
  <w:num w:numId="28" w16cid:durableId="19421799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4659668">
    <w:abstractNumId w:val="3"/>
  </w:num>
  <w:num w:numId="30" w16cid:durableId="1137067676">
    <w:abstractNumId w:val="35"/>
  </w:num>
  <w:num w:numId="31" w16cid:durableId="529221685">
    <w:abstractNumId w:val="42"/>
  </w:num>
  <w:num w:numId="32" w16cid:durableId="1846018786">
    <w:abstractNumId w:val="22"/>
  </w:num>
  <w:num w:numId="33" w16cid:durableId="1242761901">
    <w:abstractNumId w:val="29"/>
  </w:num>
  <w:num w:numId="34" w16cid:durableId="568804760">
    <w:abstractNumId w:val="47"/>
  </w:num>
  <w:num w:numId="35" w16cid:durableId="1026105492">
    <w:abstractNumId w:val="48"/>
  </w:num>
  <w:num w:numId="36" w16cid:durableId="245655158">
    <w:abstractNumId w:val="24"/>
  </w:num>
  <w:num w:numId="37" w16cid:durableId="1584025946">
    <w:abstractNumId w:val="2"/>
  </w:num>
  <w:num w:numId="38" w16cid:durableId="51005825">
    <w:abstractNumId w:val="26"/>
  </w:num>
  <w:num w:numId="39" w16cid:durableId="1606957094">
    <w:abstractNumId w:val="30"/>
  </w:num>
  <w:num w:numId="40" w16cid:durableId="1026175398">
    <w:abstractNumId w:val="38"/>
  </w:num>
  <w:num w:numId="41" w16cid:durableId="787159326">
    <w:abstractNumId w:val="40"/>
  </w:num>
  <w:num w:numId="42" w16cid:durableId="935213894">
    <w:abstractNumId w:val="31"/>
  </w:num>
  <w:num w:numId="43" w16cid:durableId="669528336">
    <w:abstractNumId w:val="13"/>
  </w:num>
  <w:num w:numId="44" w16cid:durableId="1895117894">
    <w:abstractNumId w:val="16"/>
  </w:num>
  <w:num w:numId="45" w16cid:durableId="390663294">
    <w:abstractNumId w:val="18"/>
  </w:num>
  <w:num w:numId="46" w16cid:durableId="806706536">
    <w:abstractNumId w:val="15"/>
  </w:num>
  <w:num w:numId="47" w16cid:durableId="19747455">
    <w:abstractNumId w:val="21"/>
  </w:num>
  <w:num w:numId="48" w16cid:durableId="1918321560">
    <w:abstractNumId w:val="19"/>
  </w:num>
  <w:num w:numId="49" w16cid:durableId="211917650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06"/>
    <w:rsid w:val="00000E90"/>
    <w:rsid w:val="0002451C"/>
    <w:rsid w:val="00034FC6"/>
    <w:rsid w:val="000434D3"/>
    <w:rsid w:val="00046894"/>
    <w:rsid w:val="000550B4"/>
    <w:rsid w:val="00060E7B"/>
    <w:rsid w:val="00070FA7"/>
    <w:rsid w:val="00073F19"/>
    <w:rsid w:val="000760F6"/>
    <w:rsid w:val="00092C01"/>
    <w:rsid w:val="000943D3"/>
    <w:rsid w:val="0009559D"/>
    <w:rsid w:val="000A48A0"/>
    <w:rsid w:val="000A67CC"/>
    <w:rsid w:val="000B4730"/>
    <w:rsid w:val="000B595F"/>
    <w:rsid w:val="000B5E68"/>
    <w:rsid w:val="000C28C3"/>
    <w:rsid w:val="000E063A"/>
    <w:rsid w:val="000F48C0"/>
    <w:rsid w:val="000F6C29"/>
    <w:rsid w:val="001033B8"/>
    <w:rsid w:val="00104FB3"/>
    <w:rsid w:val="0011219D"/>
    <w:rsid w:val="00115EEF"/>
    <w:rsid w:val="0012694A"/>
    <w:rsid w:val="00126CC6"/>
    <w:rsid w:val="0014101F"/>
    <w:rsid w:val="00147F35"/>
    <w:rsid w:val="00196408"/>
    <w:rsid w:val="0019690C"/>
    <w:rsid w:val="001A18A9"/>
    <w:rsid w:val="001A434F"/>
    <w:rsid w:val="001A5B4F"/>
    <w:rsid w:val="001B3CAE"/>
    <w:rsid w:val="001C76C0"/>
    <w:rsid w:val="001D4041"/>
    <w:rsid w:val="001D60AC"/>
    <w:rsid w:val="001D7DF1"/>
    <w:rsid w:val="001E03B3"/>
    <w:rsid w:val="001E129B"/>
    <w:rsid w:val="001E35E2"/>
    <w:rsid w:val="001E3786"/>
    <w:rsid w:val="001E4CF4"/>
    <w:rsid w:val="001E5C88"/>
    <w:rsid w:val="001F1E0A"/>
    <w:rsid w:val="00206E48"/>
    <w:rsid w:val="002140D4"/>
    <w:rsid w:val="002245B7"/>
    <w:rsid w:val="00225E6C"/>
    <w:rsid w:val="00236B25"/>
    <w:rsid w:val="00245309"/>
    <w:rsid w:val="00251634"/>
    <w:rsid w:val="002742B3"/>
    <w:rsid w:val="0027592A"/>
    <w:rsid w:val="00284368"/>
    <w:rsid w:val="00285E0B"/>
    <w:rsid w:val="002B73BD"/>
    <w:rsid w:val="002D0AE2"/>
    <w:rsid w:val="002D4AC9"/>
    <w:rsid w:val="002E474D"/>
    <w:rsid w:val="002E60B1"/>
    <w:rsid w:val="002F1A1D"/>
    <w:rsid w:val="002F27B2"/>
    <w:rsid w:val="002F3241"/>
    <w:rsid w:val="002F7BD2"/>
    <w:rsid w:val="00316940"/>
    <w:rsid w:val="00316E05"/>
    <w:rsid w:val="00324827"/>
    <w:rsid w:val="00326A94"/>
    <w:rsid w:val="003303BF"/>
    <w:rsid w:val="00335C4F"/>
    <w:rsid w:val="003510E6"/>
    <w:rsid w:val="00353152"/>
    <w:rsid w:val="003536DE"/>
    <w:rsid w:val="0036729D"/>
    <w:rsid w:val="00393CA0"/>
    <w:rsid w:val="0039769A"/>
    <w:rsid w:val="003A34A9"/>
    <w:rsid w:val="003A4828"/>
    <w:rsid w:val="003A602D"/>
    <w:rsid w:val="003B5510"/>
    <w:rsid w:val="003B5856"/>
    <w:rsid w:val="003C063B"/>
    <w:rsid w:val="003C324D"/>
    <w:rsid w:val="003D1EAE"/>
    <w:rsid w:val="003D37C6"/>
    <w:rsid w:val="003D7415"/>
    <w:rsid w:val="003E5706"/>
    <w:rsid w:val="0041566A"/>
    <w:rsid w:val="00417261"/>
    <w:rsid w:val="0042754A"/>
    <w:rsid w:val="00430D83"/>
    <w:rsid w:val="00466792"/>
    <w:rsid w:val="004716E2"/>
    <w:rsid w:val="0047614A"/>
    <w:rsid w:val="00486C59"/>
    <w:rsid w:val="004874EA"/>
    <w:rsid w:val="00492226"/>
    <w:rsid w:val="0049787B"/>
    <w:rsid w:val="004D5B93"/>
    <w:rsid w:val="004D7ACA"/>
    <w:rsid w:val="004F49C1"/>
    <w:rsid w:val="004F587C"/>
    <w:rsid w:val="00504997"/>
    <w:rsid w:val="0051228D"/>
    <w:rsid w:val="00517AC4"/>
    <w:rsid w:val="00526B50"/>
    <w:rsid w:val="00530B57"/>
    <w:rsid w:val="005346DC"/>
    <w:rsid w:val="00540CD0"/>
    <w:rsid w:val="00545AFE"/>
    <w:rsid w:val="00545D3E"/>
    <w:rsid w:val="00550027"/>
    <w:rsid w:val="0055643F"/>
    <w:rsid w:val="00573F2B"/>
    <w:rsid w:val="00576FD8"/>
    <w:rsid w:val="00580AB3"/>
    <w:rsid w:val="00582DA8"/>
    <w:rsid w:val="00583137"/>
    <w:rsid w:val="005846ED"/>
    <w:rsid w:val="00585238"/>
    <w:rsid w:val="00586B9B"/>
    <w:rsid w:val="00591F15"/>
    <w:rsid w:val="00597D31"/>
    <w:rsid w:val="005A0B04"/>
    <w:rsid w:val="005A0C9F"/>
    <w:rsid w:val="005A3F43"/>
    <w:rsid w:val="005C00D0"/>
    <w:rsid w:val="005D25A4"/>
    <w:rsid w:val="005D3E77"/>
    <w:rsid w:val="005E39AD"/>
    <w:rsid w:val="005F16FE"/>
    <w:rsid w:val="005F1CEB"/>
    <w:rsid w:val="005F6AAC"/>
    <w:rsid w:val="00607B3F"/>
    <w:rsid w:val="00611ACC"/>
    <w:rsid w:val="00632AFE"/>
    <w:rsid w:val="006404C5"/>
    <w:rsid w:val="006451A1"/>
    <w:rsid w:val="00645C4E"/>
    <w:rsid w:val="006516BD"/>
    <w:rsid w:val="00656DFA"/>
    <w:rsid w:val="006573E1"/>
    <w:rsid w:val="00670956"/>
    <w:rsid w:val="00682696"/>
    <w:rsid w:val="00686390"/>
    <w:rsid w:val="006866EC"/>
    <w:rsid w:val="00691565"/>
    <w:rsid w:val="00692577"/>
    <w:rsid w:val="006977E0"/>
    <w:rsid w:val="006A00C8"/>
    <w:rsid w:val="006C2B53"/>
    <w:rsid w:val="006D62FD"/>
    <w:rsid w:val="006E6257"/>
    <w:rsid w:val="006F3AC1"/>
    <w:rsid w:val="00705B2D"/>
    <w:rsid w:val="00712FF0"/>
    <w:rsid w:val="00735922"/>
    <w:rsid w:val="00736305"/>
    <w:rsid w:val="0073682B"/>
    <w:rsid w:val="007463EB"/>
    <w:rsid w:val="0074645B"/>
    <w:rsid w:val="007719FE"/>
    <w:rsid w:val="007720A3"/>
    <w:rsid w:val="0077483B"/>
    <w:rsid w:val="00782E85"/>
    <w:rsid w:val="007975AF"/>
    <w:rsid w:val="00797DBC"/>
    <w:rsid w:val="007A4450"/>
    <w:rsid w:val="007B251B"/>
    <w:rsid w:val="007B2A7A"/>
    <w:rsid w:val="007C4238"/>
    <w:rsid w:val="007C5295"/>
    <w:rsid w:val="007D62E6"/>
    <w:rsid w:val="007E1749"/>
    <w:rsid w:val="007E2AB6"/>
    <w:rsid w:val="007E34C7"/>
    <w:rsid w:val="007E3911"/>
    <w:rsid w:val="007E46B6"/>
    <w:rsid w:val="007E6D69"/>
    <w:rsid w:val="007F1701"/>
    <w:rsid w:val="007F1F7B"/>
    <w:rsid w:val="007F3E32"/>
    <w:rsid w:val="007F4AE2"/>
    <w:rsid w:val="007F7450"/>
    <w:rsid w:val="00811861"/>
    <w:rsid w:val="00827074"/>
    <w:rsid w:val="0083468E"/>
    <w:rsid w:val="00837A70"/>
    <w:rsid w:val="008402A6"/>
    <w:rsid w:val="00843214"/>
    <w:rsid w:val="00843254"/>
    <w:rsid w:val="00846F88"/>
    <w:rsid w:val="00847EEC"/>
    <w:rsid w:val="00854DC1"/>
    <w:rsid w:val="00856CD0"/>
    <w:rsid w:val="00866926"/>
    <w:rsid w:val="008805F9"/>
    <w:rsid w:val="00882BD0"/>
    <w:rsid w:val="00884357"/>
    <w:rsid w:val="0089375A"/>
    <w:rsid w:val="008A1CAD"/>
    <w:rsid w:val="008A2CE2"/>
    <w:rsid w:val="008B2C3B"/>
    <w:rsid w:val="008C79F5"/>
    <w:rsid w:val="008D05DC"/>
    <w:rsid w:val="008D6349"/>
    <w:rsid w:val="008F42D6"/>
    <w:rsid w:val="00900D83"/>
    <w:rsid w:val="0090189C"/>
    <w:rsid w:val="0090525A"/>
    <w:rsid w:val="00906360"/>
    <w:rsid w:val="00917F32"/>
    <w:rsid w:val="0093744F"/>
    <w:rsid w:val="009416B8"/>
    <w:rsid w:val="00942A4A"/>
    <w:rsid w:val="009528E2"/>
    <w:rsid w:val="00960BA8"/>
    <w:rsid w:val="009650F9"/>
    <w:rsid w:val="0097417F"/>
    <w:rsid w:val="00976331"/>
    <w:rsid w:val="00976542"/>
    <w:rsid w:val="00983CF0"/>
    <w:rsid w:val="009945D0"/>
    <w:rsid w:val="00994A45"/>
    <w:rsid w:val="009B406A"/>
    <w:rsid w:val="009B4D22"/>
    <w:rsid w:val="009B63D1"/>
    <w:rsid w:val="009C2B61"/>
    <w:rsid w:val="009C7B3A"/>
    <w:rsid w:val="009D0FDC"/>
    <w:rsid w:val="009E0E98"/>
    <w:rsid w:val="009E57CB"/>
    <w:rsid w:val="009F626C"/>
    <w:rsid w:val="00A0431E"/>
    <w:rsid w:val="00A146A1"/>
    <w:rsid w:val="00A2008F"/>
    <w:rsid w:val="00A20D27"/>
    <w:rsid w:val="00A2634F"/>
    <w:rsid w:val="00A453FD"/>
    <w:rsid w:val="00A61C9A"/>
    <w:rsid w:val="00A74FE5"/>
    <w:rsid w:val="00A84F8B"/>
    <w:rsid w:val="00A85096"/>
    <w:rsid w:val="00A96E6F"/>
    <w:rsid w:val="00AA1934"/>
    <w:rsid w:val="00AA1BB6"/>
    <w:rsid w:val="00AA6B1E"/>
    <w:rsid w:val="00AB06F3"/>
    <w:rsid w:val="00AB5786"/>
    <w:rsid w:val="00AD669B"/>
    <w:rsid w:val="00AE359A"/>
    <w:rsid w:val="00AE4692"/>
    <w:rsid w:val="00AF2948"/>
    <w:rsid w:val="00B100AC"/>
    <w:rsid w:val="00B14F8F"/>
    <w:rsid w:val="00B17DAC"/>
    <w:rsid w:val="00B26331"/>
    <w:rsid w:val="00B439C1"/>
    <w:rsid w:val="00B55169"/>
    <w:rsid w:val="00B6179A"/>
    <w:rsid w:val="00B61E51"/>
    <w:rsid w:val="00B626B8"/>
    <w:rsid w:val="00B6707A"/>
    <w:rsid w:val="00B67FDF"/>
    <w:rsid w:val="00B7792D"/>
    <w:rsid w:val="00B830DA"/>
    <w:rsid w:val="00B85899"/>
    <w:rsid w:val="00B90F30"/>
    <w:rsid w:val="00B9183F"/>
    <w:rsid w:val="00B93A83"/>
    <w:rsid w:val="00B95C03"/>
    <w:rsid w:val="00BA1603"/>
    <w:rsid w:val="00BB1E01"/>
    <w:rsid w:val="00BC1CCD"/>
    <w:rsid w:val="00BC61EF"/>
    <w:rsid w:val="00BE4FA3"/>
    <w:rsid w:val="00C00C8E"/>
    <w:rsid w:val="00C029E2"/>
    <w:rsid w:val="00C03693"/>
    <w:rsid w:val="00C13945"/>
    <w:rsid w:val="00C20CDD"/>
    <w:rsid w:val="00C30287"/>
    <w:rsid w:val="00C3177F"/>
    <w:rsid w:val="00C327CE"/>
    <w:rsid w:val="00C52288"/>
    <w:rsid w:val="00C56FCA"/>
    <w:rsid w:val="00C60F5A"/>
    <w:rsid w:val="00C65193"/>
    <w:rsid w:val="00C65A53"/>
    <w:rsid w:val="00C65D7C"/>
    <w:rsid w:val="00C676A2"/>
    <w:rsid w:val="00C81178"/>
    <w:rsid w:val="00C91F68"/>
    <w:rsid w:val="00CA1039"/>
    <w:rsid w:val="00CD47CF"/>
    <w:rsid w:val="00CD5432"/>
    <w:rsid w:val="00CD54C5"/>
    <w:rsid w:val="00CF64D5"/>
    <w:rsid w:val="00D1147E"/>
    <w:rsid w:val="00D12D75"/>
    <w:rsid w:val="00D16819"/>
    <w:rsid w:val="00D2025B"/>
    <w:rsid w:val="00D2162D"/>
    <w:rsid w:val="00D21756"/>
    <w:rsid w:val="00D23345"/>
    <w:rsid w:val="00D24E6B"/>
    <w:rsid w:val="00D32CE3"/>
    <w:rsid w:val="00D36FAC"/>
    <w:rsid w:val="00D41018"/>
    <w:rsid w:val="00D41092"/>
    <w:rsid w:val="00D479E5"/>
    <w:rsid w:val="00D5153E"/>
    <w:rsid w:val="00D56DAB"/>
    <w:rsid w:val="00D67794"/>
    <w:rsid w:val="00D67B28"/>
    <w:rsid w:val="00D84EF3"/>
    <w:rsid w:val="00D936D6"/>
    <w:rsid w:val="00D97C1D"/>
    <w:rsid w:val="00DA22F6"/>
    <w:rsid w:val="00DB603A"/>
    <w:rsid w:val="00DB6D7B"/>
    <w:rsid w:val="00DC1C24"/>
    <w:rsid w:val="00DC3A0D"/>
    <w:rsid w:val="00DD64CD"/>
    <w:rsid w:val="00DE457F"/>
    <w:rsid w:val="00DF51CC"/>
    <w:rsid w:val="00E0516F"/>
    <w:rsid w:val="00E13999"/>
    <w:rsid w:val="00E1468A"/>
    <w:rsid w:val="00E1484C"/>
    <w:rsid w:val="00E165BE"/>
    <w:rsid w:val="00E16CB3"/>
    <w:rsid w:val="00E20F0B"/>
    <w:rsid w:val="00E45A0D"/>
    <w:rsid w:val="00E5681E"/>
    <w:rsid w:val="00E7530C"/>
    <w:rsid w:val="00E94267"/>
    <w:rsid w:val="00E94403"/>
    <w:rsid w:val="00EA0A04"/>
    <w:rsid w:val="00EA28C7"/>
    <w:rsid w:val="00EA344A"/>
    <w:rsid w:val="00EB32AC"/>
    <w:rsid w:val="00EC7B98"/>
    <w:rsid w:val="00ED167C"/>
    <w:rsid w:val="00EE09C1"/>
    <w:rsid w:val="00EE67CD"/>
    <w:rsid w:val="00F0373E"/>
    <w:rsid w:val="00F0532D"/>
    <w:rsid w:val="00F059DB"/>
    <w:rsid w:val="00F334D7"/>
    <w:rsid w:val="00F34F70"/>
    <w:rsid w:val="00F3768B"/>
    <w:rsid w:val="00F40C71"/>
    <w:rsid w:val="00F43D11"/>
    <w:rsid w:val="00F464AD"/>
    <w:rsid w:val="00F478F9"/>
    <w:rsid w:val="00F50B3A"/>
    <w:rsid w:val="00F50E8F"/>
    <w:rsid w:val="00F6024B"/>
    <w:rsid w:val="00F61744"/>
    <w:rsid w:val="00F62C0D"/>
    <w:rsid w:val="00F7135D"/>
    <w:rsid w:val="00F8299B"/>
    <w:rsid w:val="00F84F23"/>
    <w:rsid w:val="00F86BEA"/>
    <w:rsid w:val="00F90831"/>
    <w:rsid w:val="00F91EE8"/>
    <w:rsid w:val="00FC0A9A"/>
    <w:rsid w:val="00FC1A75"/>
    <w:rsid w:val="00FD5B3D"/>
    <w:rsid w:val="00FE50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684AA"/>
  <w15:docId w15:val="{5DE4AE60-DF0D-4E9F-BD33-EEB77D2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9A"/>
    <w:pPr>
      <w:spacing w:before="120" w:after="120"/>
    </w:pPr>
    <w:rPr>
      <w:rFonts w:ascii="Roboto" w:hAnsi="Roboto"/>
      <w:sz w:val="22"/>
      <w:szCs w:val="22"/>
      <w:lang w:eastAsia="en-US"/>
    </w:rPr>
  </w:style>
  <w:style w:type="paragraph" w:styleId="Overskrift1">
    <w:name w:val="heading 1"/>
    <w:basedOn w:val="Normal"/>
    <w:next w:val="Normal"/>
    <w:link w:val="Overskrift1Tegn"/>
    <w:autoRedefine/>
    <w:qFormat/>
    <w:rsid w:val="00393CA0"/>
    <w:pPr>
      <w:keepNext/>
      <w:spacing w:line="360" w:lineRule="auto"/>
      <w:outlineLvl w:val="0"/>
    </w:pPr>
    <w:rPr>
      <w:rFonts w:ascii="Roboto Black" w:eastAsia="Times New Roman" w:hAnsi="Roboto Black"/>
      <w:b/>
      <w:bCs/>
      <w:color w:val="330066" w:themeColor="accent1"/>
      <w:sz w:val="28"/>
      <w:szCs w:val="24"/>
      <w:lang w:eastAsia="da-DK"/>
    </w:rPr>
  </w:style>
  <w:style w:type="paragraph" w:styleId="Overskrift2">
    <w:name w:val="heading 2"/>
    <w:basedOn w:val="Normal"/>
    <w:next w:val="Normal"/>
    <w:link w:val="Overskrift2Tegn"/>
    <w:autoRedefine/>
    <w:uiPriority w:val="9"/>
    <w:unhideWhenUsed/>
    <w:qFormat/>
    <w:rsid w:val="00126CC6"/>
    <w:pPr>
      <w:keepNext/>
      <w:keepLines/>
      <w:spacing w:before="200" w:after="0" w:line="276" w:lineRule="auto"/>
      <w:outlineLvl w:val="1"/>
    </w:pPr>
    <w:rPr>
      <w:rFonts w:asciiTheme="minorHAnsi" w:eastAsiaTheme="majorEastAsia" w:hAnsiTheme="minorHAnsi" w:cstheme="minorHAnsi"/>
      <w:b/>
      <w:color w:val="330066" w:themeColor="accent1"/>
      <w:sz w:val="24"/>
      <w:szCs w:val="24"/>
      <w:lang w:eastAsia="da-DK"/>
    </w:rPr>
  </w:style>
  <w:style w:type="paragraph" w:styleId="Overskrift3">
    <w:name w:val="heading 3"/>
    <w:basedOn w:val="Normal"/>
    <w:next w:val="Normal"/>
    <w:link w:val="Overskrift3Tegn"/>
    <w:uiPriority w:val="9"/>
    <w:unhideWhenUsed/>
    <w:qFormat/>
    <w:rsid w:val="00AE359A"/>
    <w:pPr>
      <w:keepNext/>
      <w:keepLines/>
      <w:spacing w:before="40" w:after="0"/>
      <w:outlineLvl w:val="2"/>
    </w:pPr>
    <w:rPr>
      <w:rFonts w:asciiTheme="majorHAnsi" w:eastAsiaTheme="majorEastAsia" w:hAnsiTheme="majorHAnsi" w:cstheme="majorBidi"/>
      <w:color w:val="CC0066" w:themeColor="accent2"/>
      <w:sz w:val="26"/>
      <w:szCs w:val="26"/>
      <w:lang w:eastAsia="da-DK"/>
    </w:rPr>
  </w:style>
  <w:style w:type="paragraph" w:styleId="Overskrift8">
    <w:name w:val="heading 8"/>
    <w:basedOn w:val="Normal"/>
    <w:next w:val="Normal"/>
    <w:link w:val="Overskrift8Tegn"/>
    <w:uiPriority w:val="9"/>
    <w:semiHidden/>
    <w:unhideWhenUsed/>
    <w:qFormat/>
    <w:rsid w:val="00AE359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D4041"/>
    <w:rPr>
      <w:rFonts w:ascii="Tahoma" w:hAnsi="Tahoma" w:cs="Tahoma"/>
      <w:sz w:val="16"/>
      <w:szCs w:val="16"/>
    </w:rPr>
  </w:style>
  <w:style w:type="character" w:customStyle="1" w:styleId="MarkeringsbobletekstTegn">
    <w:name w:val="Markeringsbobletekst Tegn"/>
    <w:link w:val="Markeringsbobletekst"/>
    <w:uiPriority w:val="99"/>
    <w:semiHidden/>
    <w:rsid w:val="001D4041"/>
    <w:rPr>
      <w:rFonts w:ascii="Tahoma" w:hAnsi="Tahoma" w:cs="Tahoma"/>
      <w:sz w:val="16"/>
      <w:szCs w:val="16"/>
    </w:rPr>
  </w:style>
  <w:style w:type="paragraph" w:styleId="Sidehoved">
    <w:name w:val="header"/>
    <w:basedOn w:val="Normal"/>
    <w:link w:val="SidehovedTegn"/>
    <w:uiPriority w:val="99"/>
    <w:unhideWhenUsed/>
    <w:rsid w:val="001D4041"/>
    <w:pPr>
      <w:tabs>
        <w:tab w:val="center" w:pos="4819"/>
        <w:tab w:val="right" w:pos="9638"/>
      </w:tabs>
    </w:pPr>
  </w:style>
  <w:style w:type="character" w:customStyle="1" w:styleId="SidehovedTegn">
    <w:name w:val="Sidehoved Tegn"/>
    <w:basedOn w:val="Standardskrifttypeiafsnit"/>
    <w:link w:val="Sidehoved"/>
    <w:uiPriority w:val="99"/>
    <w:rsid w:val="001D4041"/>
  </w:style>
  <w:style w:type="paragraph" w:styleId="Sidefod">
    <w:name w:val="footer"/>
    <w:basedOn w:val="Normal"/>
    <w:link w:val="SidefodTegn"/>
    <w:uiPriority w:val="99"/>
    <w:unhideWhenUsed/>
    <w:rsid w:val="001D4041"/>
    <w:pPr>
      <w:tabs>
        <w:tab w:val="center" w:pos="4819"/>
        <w:tab w:val="right" w:pos="9638"/>
      </w:tabs>
    </w:pPr>
  </w:style>
  <w:style w:type="character" w:customStyle="1" w:styleId="SidefodTegn">
    <w:name w:val="Sidefod Tegn"/>
    <w:basedOn w:val="Standardskrifttypeiafsnit"/>
    <w:link w:val="Sidefod"/>
    <w:uiPriority w:val="99"/>
    <w:rsid w:val="001D4041"/>
  </w:style>
  <w:style w:type="character" w:styleId="Hyperlink">
    <w:name w:val="Hyperlink"/>
    <w:uiPriority w:val="99"/>
    <w:unhideWhenUsed/>
    <w:rsid w:val="00F0532D"/>
    <w:rPr>
      <w:color w:val="0000FF"/>
      <w:u w:val="single"/>
    </w:rPr>
  </w:style>
  <w:style w:type="character" w:customStyle="1" w:styleId="Overskrift1Tegn">
    <w:name w:val="Overskrift 1 Tegn"/>
    <w:link w:val="Overskrift1"/>
    <w:rsid w:val="00393CA0"/>
    <w:rPr>
      <w:rFonts w:ascii="Roboto Black" w:eastAsia="Times New Roman" w:hAnsi="Roboto Black"/>
      <w:b/>
      <w:bCs/>
      <w:color w:val="330066" w:themeColor="accent1"/>
      <w:sz w:val="28"/>
      <w:szCs w:val="24"/>
    </w:rPr>
  </w:style>
  <w:style w:type="paragraph" w:styleId="Brdtekst">
    <w:name w:val="Body Text"/>
    <w:basedOn w:val="Normal"/>
    <w:link w:val="BrdtekstTegn"/>
    <w:rsid w:val="00B93A83"/>
    <w:pPr>
      <w:spacing w:line="360" w:lineRule="auto"/>
      <w:jc w:val="both"/>
    </w:pPr>
    <w:rPr>
      <w:rFonts w:ascii="Verdana" w:eastAsia="Times New Roman" w:hAnsi="Verdana"/>
      <w:sz w:val="20"/>
      <w:szCs w:val="24"/>
      <w:lang w:eastAsia="da-DK"/>
    </w:rPr>
  </w:style>
  <w:style w:type="character" w:customStyle="1" w:styleId="BrdtekstTegn">
    <w:name w:val="Brødtekst Tegn"/>
    <w:link w:val="Brdtekst"/>
    <w:rsid w:val="00B93A83"/>
    <w:rPr>
      <w:rFonts w:ascii="Verdana" w:eastAsia="Times New Roman" w:hAnsi="Verdana"/>
      <w:szCs w:val="24"/>
    </w:rPr>
  </w:style>
  <w:style w:type="paragraph" w:styleId="Brdtekst2">
    <w:name w:val="Body Text 2"/>
    <w:basedOn w:val="Normal"/>
    <w:link w:val="Brdtekst2Tegn"/>
    <w:rsid w:val="00B93A83"/>
    <w:pPr>
      <w:spacing w:line="360" w:lineRule="auto"/>
      <w:jc w:val="both"/>
    </w:pPr>
    <w:rPr>
      <w:rFonts w:ascii="Verdana" w:eastAsia="Times New Roman" w:hAnsi="Verdana"/>
      <w:sz w:val="18"/>
      <w:szCs w:val="24"/>
      <w:lang w:eastAsia="da-DK"/>
    </w:rPr>
  </w:style>
  <w:style w:type="character" w:customStyle="1" w:styleId="Brdtekst2Tegn">
    <w:name w:val="Brødtekst 2 Tegn"/>
    <w:link w:val="Brdtekst2"/>
    <w:rsid w:val="00B93A83"/>
    <w:rPr>
      <w:rFonts w:ascii="Verdana" w:eastAsia="Times New Roman" w:hAnsi="Verdana"/>
      <w:sz w:val="18"/>
      <w:szCs w:val="24"/>
    </w:rPr>
  </w:style>
  <w:style w:type="paragraph" w:styleId="Listeafsnit">
    <w:name w:val="List Paragraph"/>
    <w:basedOn w:val="Normal"/>
    <w:uiPriority w:val="34"/>
    <w:qFormat/>
    <w:rsid w:val="00AE359A"/>
    <w:pPr>
      <w:ind w:left="720"/>
      <w:contextualSpacing/>
    </w:pPr>
  </w:style>
  <w:style w:type="table" w:styleId="Tabel-Gitter">
    <w:name w:val="Table Grid"/>
    <w:basedOn w:val="Tabel-Normal"/>
    <w:uiPriority w:val="39"/>
    <w:rsid w:val="00EB32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8Tegn">
    <w:name w:val="Overskrift 8 Tegn"/>
    <w:basedOn w:val="Standardskrifttypeiafsnit"/>
    <w:link w:val="Overskrift8"/>
    <w:uiPriority w:val="9"/>
    <w:semiHidden/>
    <w:rsid w:val="00AE359A"/>
    <w:rPr>
      <w:rFonts w:asciiTheme="majorHAnsi" w:eastAsiaTheme="majorEastAsia" w:hAnsiTheme="majorHAnsi" w:cstheme="majorBidi"/>
      <w:color w:val="272727" w:themeColor="text1" w:themeTint="D8"/>
      <w:sz w:val="21"/>
      <w:szCs w:val="21"/>
      <w:lang w:eastAsia="en-US"/>
    </w:rPr>
  </w:style>
  <w:style w:type="character" w:customStyle="1" w:styleId="uficommentbody">
    <w:name w:val="uficommentbody"/>
    <w:basedOn w:val="Standardskrifttypeiafsnit"/>
    <w:rsid w:val="003510E6"/>
  </w:style>
  <w:style w:type="character" w:customStyle="1" w:styleId="emoticontext">
    <w:name w:val="emoticon_text"/>
    <w:basedOn w:val="Standardskrifttypeiafsnit"/>
    <w:rsid w:val="003510E6"/>
  </w:style>
  <w:style w:type="character" w:customStyle="1" w:styleId="58cl">
    <w:name w:val="_58cl"/>
    <w:basedOn w:val="Standardskrifttypeiafsnit"/>
    <w:rsid w:val="003510E6"/>
  </w:style>
  <w:style w:type="character" w:customStyle="1" w:styleId="58cm">
    <w:name w:val="_58cm"/>
    <w:basedOn w:val="Standardskrifttypeiafsnit"/>
    <w:rsid w:val="003510E6"/>
  </w:style>
  <w:style w:type="paragraph" w:styleId="Ingenafstand">
    <w:name w:val="No Spacing"/>
    <w:uiPriority w:val="1"/>
    <w:qFormat/>
    <w:rsid w:val="00AE359A"/>
    <w:rPr>
      <w:rFonts w:ascii="Verdana" w:eastAsia="Times New Roman" w:hAnsi="Verdana"/>
      <w:sz w:val="22"/>
      <w:szCs w:val="22"/>
    </w:rPr>
  </w:style>
  <w:style w:type="paragraph" w:customStyle="1" w:styleId="Afsender-ModtagerNavn">
    <w:name w:val="Afsender-Modtager Navn"/>
    <w:basedOn w:val="Normal"/>
    <w:uiPriority w:val="5"/>
    <w:qFormat/>
    <w:rsid w:val="00AE359A"/>
    <w:pPr>
      <w:spacing w:line="240" w:lineRule="atLeast"/>
    </w:pPr>
    <w:rPr>
      <w:rFonts w:ascii="Arial" w:hAnsi="Arial" w:cs="Calibri"/>
      <w:b/>
      <w:sz w:val="20"/>
      <w:lang w:eastAsia="da-DK"/>
    </w:rPr>
  </w:style>
  <w:style w:type="character" w:styleId="Omtal">
    <w:name w:val="Mention"/>
    <w:basedOn w:val="Standardskrifttypeiafsnit"/>
    <w:uiPriority w:val="99"/>
    <w:semiHidden/>
    <w:unhideWhenUsed/>
    <w:rsid w:val="00976331"/>
    <w:rPr>
      <w:color w:val="2B579A"/>
      <w:shd w:val="clear" w:color="auto" w:fill="E6E6E6"/>
    </w:rPr>
  </w:style>
  <w:style w:type="character" w:customStyle="1" w:styleId="Overskrift3Tegn">
    <w:name w:val="Overskrift 3 Tegn"/>
    <w:basedOn w:val="Standardskrifttypeiafsnit"/>
    <w:link w:val="Overskrift3"/>
    <w:uiPriority w:val="9"/>
    <w:rsid w:val="00AE359A"/>
    <w:rPr>
      <w:rFonts w:asciiTheme="majorHAnsi" w:eastAsiaTheme="majorEastAsia" w:hAnsiTheme="majorHAnsi" w:cstheme="majorBidi"/>
      <w:color w:val="CC0066" w:themeColor="accent2"/>
      <w:sz w:val="26"/>
      <w:szCs w:val="26"/>
    </w:rPr>
  </w:style>
  <w:style w:type="character" w:styleId="BesgtLink">
    <w:name w:val="FollowedHyperlink"/>
    <w:basedOn w:val="Standardskrifttypeiafsnit"/>
    <w:uiPriority w:val="99"/>
    <w:semiHidden/>
    <w:unhideWhenUsed/>
    <w:rsid w:val="002B73BD"/>
    <w:rPr>
      <w:color w:val="CC0066" w:themeColor="followedHyperlink"/>
      <w:u w:val="single"/>
    </w:rPr>
  </w:style>
  <w:style w:type="paragraph" w:styleId="NormalWeb">
    <w:name w:val="Normal (Web)"/>
    <w:basedOn w:val="Normal"/>
    <w:uiPriority w:val="99"/>
    <w:unhideWhenUsed/>
    <w:rsid w:val="00E1468A"/>
    <w:rPr>
      <w:rFonts w:eastAsiaTheme="minorHAnsi" w:cs="Calibri"/>
      <w:lang w:eastAsia="da-DK"/>
    </w:rPr>
  </w:style>
  <w:style w:type="paragraph" w:styleId="Slutnotetekst">
    <w:name w:val="endnote text"/>
    <w:basedOn w:val="Normal"/>
    <w:link w:val="SlutnotetekstTegn"/>
    <w:uiPriority w:val="99"/>
    <w:semiHidden/>
    <w:unhideWhenUsed/>
    <w:rsid w:val="00E1468A"/>
    <w:rPr>
      <w:rFonts w:asciiTheme="majorHAnsi" w:eastAsiaTheme="minorHAnsi" w:hAnsiTheme="majorHAnsi" w:cstheme="minorBidi"/>
      <w:sz w:val="20"/>
      <w:szCs w:val="20"/>
    </w:rPr>
  </w:style>
  <w:style w:type="character" w:customStyle="1" w:styleId="SlutnotetekstTegn">
    <w:name w:val="Slutnotetekst Tegn"/>
    <w:basedOn w:val="Standardskrifttypeiafsnit"/>
    <w:link w:val="Slutnotetekst"/>
    <w:uiPriority w:val="99"/>
    <w:semiHidden/>
    <w:rsid w:val="00E1468A"/>
    <w:rPr>
      <w:rFonts w:asciiTheme="majorHAnsi" w:eastAsiaTheme="minorHAnsi" w:hAnsiTheme="majorHAnsi" w:cstheme="minorBidi"/>
      <w:lang w:eastAsia="en-US"/>
    </w:rPr>
  </w:style>
  <w:style w:type="character" w:styleId="Slutnotehenvisning">
    <w:name w:val="endnote reference"/>
    <w:basedOn w:val="Standardskrifttypeiafsnit"/>
    <w:uiPriority w:val="99"/>
    <w:semiHidden/>
    <w:unhideWhenUsed/>
    <w:rsid w:val="00E1468A"/>
    <w:rPr>
      <w:vertAlign w:val="superscript"/>
    </w:rPr>
  </w:style>
  <w:style w:type="paragraph" w:styleId="Titel">
    <w:name w:val="Title"/>
    <w:basedOn w:val="Normal"/>
    <w:next w:val="Normal"/>
    <w:link w:val="TitelTegn"/>
    <w:uiPriority w:val="10"/>
    <w:qFormat/>
    <w:rsid w:val="00AE359A"/>
    <w:pPr>
      <w:spacing w:before="0" w:after="0"/>
      <w:contextualSpacing/>
    </w:pPr>
    <w:rPr>
      <w:rFonts w:ascii="Roboto Slab" w:eastAsiaTheme="majorEastAsia" w:hAnsi="Roboto Slab" w:cstheme="majorBidi"/>
      <w:b/>
      <w:color w:val="26004C" w:themeColor="accent1" w:themeShade="BF"/>
      <w:spacing w:val="-10"/>
      <w:sz w:val="52"/>
      <w:szCs w:val="52"/>
      <w:lang w:eastAsia="da-DK"/>
    </w:rPr>
  </w:style>
  <w:style w:type="character" w:customStyle="1" w:styleId="TitelTegn">
    <w:name w:val="Titel Tegn"/>
    <w:basedOn w:val="Standardskrifttypeiafsnit"/>
    <w:link w:val="Titel"/>
    <w:uiPriority w:val="10"/>
    <w:rsid w:val="00AE359A"/>
    <w:rPr>
      <w:rFonts w:ascii="Roboto Slab" w:eastAsiaTheme="majorEastAsia" w:hAnsi="Roboto Slab" w:cstheme="majorBidi"/>
      <w:b/>
      <w:color w:val="26004C" w:themeColor="accent1" w:themeShade="BF"/>
      <w:spacing w:val="-10"/>
      <w:sz w:val="52"/>
      <w:szCs w:val="52"/>
    </w:rPr>
  </w:style>
  <w:style w:type="character" w:customStyle="1" w:styleId="Overskrift2Tegn">
    <w:name w:val="Overskrift 2 Tegn"/>
    <w:basedOn w:val="Standardskrifttypeiafsnit"/>
    <w:link w:val="Overskrift2"/>
    <w:uiPriority w:val="9"/>
    <w:rsid w:val="00126CC6"/>
    <w:rPr>
      <w:rFonts w:asciiTheme="minorHAnsi" w:eastAsiaTheme="majorEastAsia" w:hAnsiTheme="minorHAnsi" w:cstheme="minorHAnsi"/>
      <w:b/>
      <w:color w:val="330066" w:themeColor="accent1"/>
      <w:sz w:val="24"/>
      <w:szCs w:val="24"/>
    </w:rPr>
  </w:style>
  <w:style w:type="paragraph" w:customStyle="1" w:styleId="Manchet">
    <w:name w:val="Manchet"/>
    <w:basedOn w:val="Normal"/>
    <w:link w:val="ManchetTegn"/>
    <w:qFormat/>
    <w:rsid w:val="00393CA0"/>
    <w:pPr>
      <w:spacing w:line="276" w:lineRule="auto"/>
    </w:pPr>
    <w:rPr>
      <w:rFonts w:ascii="Roboto Slab" w:hAnsi="Roboto Slab" w:cstheme="minorHAnsi"/>
      <w:i/>
      <w:sz w:val="24"/>
      <w:szCs w:val="24"/>
      <w:lang w:eastAsia="da-DK"/>
    </w:rPr>
  </w:style>
  <w:style w:type="character" w:styleId="Svagfremhvning">
    <w:name w:val="Subtle Emphasis"/>
    <w:basedOn w:val="Standardskrifttypeiafsnit"/>
    <w:uiPriority w:val="19"/>
    <w:qFormat/>
    <w:rsid w:val="00393CA0"/>
    <w:rPr>
      <w:i/>
      <w:iCs/>
      <w:color w:val="404040" w:themeColor="text1" w:themeTint="BF"/>
    </w:rPr>
  </w:style>
  <w:style w:type="character" w:customStyle="1" w:styleId="ManchetTegn">
    <w:name w:val="Manchet Tegn"/>
    <w:basedOn w:val="Standardskrifttypeiafsnit"/>
    <w:link w:val="Manchet"/>
    <w:rsid w:val="00393CA0"/>
    <w:rPr>
      <w:rFonts w:ascii="Roboto Slab" w:hAnsi="Roboto Slab" w:cstheme="minorHAnsi"/>
      <w:i/>
      <w:sz w:val="24"/>
      <w:szCs w:val="24"/>
    </w:rPr>
  </w:style>
  <w:style w:type="paragraph" w:styleId="Fodnotetekst">
    <w:name w:val="footnote text"/>
    <w:basedOn w:val="Normal"/>
    <w:link w:val="FodnotetekstTegn"/>
    <w:uiPriority w:val="99"/>
    <w:semiHidden/>
    <w:unhideWhenUsed/>
    <w:rsid w:val="003D37C6"/>
    <w:pPr>
      <w:spacing w:before="0" w:after="0"/>
    </w:pPr>
    <w:rPr>
      <w:rFonts w:asciiTheme="minorHAnsi" w:eastAsiaTheme="minorHAnsi" w:hAnsiTheme="minorHAnsi" w:cstheme="minorBidi"/>
      <w:kern w:val="2"/>
      <w:sz w:val="20"/>
      <w:szCs w:val="20"/>
      <w:lang w:val="en-GB"/>
      <w14:ligatures w14:val="standardContextual"/>
    </w:rPr>
  </w:style>
  <w:style w:type="character" w:customStyle="1" w:styleId="FodnotetekstTegn">
    <w:name w:val="Fodnotetekst Tegn"/>
    <w:basedOn w:val="Standardskrifttypeiafsnit"/>
    <w:link w:val="Fodnotetekst"/>
    <w:uiPriority w:val="99"/>
    <w:semiHidden/>
    <w:rsid w:val="003D37C6"/>
    <w:rPr>
      <w:rFonts w:asciiTheme="minorHAnsi" w:eastAsiaTheme="minorHAnsi" w:hAnsiTheme="minorHAnsi" w:cstheme="minorBidi"/>
      <w:kern w:val="2"/>
      <w:lang w:val="en-GB" w:eastAsia="en-US"/>
      <w14:ligatures w14:val="standardContextual"/>
    </w:rPr>
  </w:style>
  <w:style w:type="character" w:styleId="Fodnotehenvisning">
    <w:name w:val="footnote reference"/>
    <w:basedOn w:val="Standardskrifttypeiafsnit"/>
    <w:uiPriority w:val="99"/>
    <w:semiHidden/>
    <w:unhideWhenUsed/>
    <w:rsid w:val="003D37C6"/>
    <w:rPr>
      <w:vertAlign w:val="superscript"/>
    </w:rPr>
  </w:style>
  <w:style w:type="paragraph" w:styleId="Korrektur">
    <w:name w:val="Revision"/>
    <w:hidden/>
    <w:uiPriority w:val="99"/>
    <w:semiHidden/>
    <w:rsid w:val="003D37C6"/>
    <w:rPr>
      <w:rFonts w:ascii="Roboto" w:hAnsi="Robo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9938">
      <w:bodyDiv w:val="1"/>
      <w:marLeft w:val="0"/>
      <w:marRight w:val="0"/>
      <w:marTop w:val="0"/>
      <w:marBottom w:val="0"/>
      <w:divBdr>
        <w:top w:val="none" w:sz="0" w:space="0" w:color="auto"/>
        <w:left w:val="none" w:sz="0" w:space="0" w:color="auto"/>
        <w:bottom w:val="none" w:sz="0" w:space="0" w:color="auto"/>
        <w:right w:val="none" w:sz="0" w:space="0" w:color="auto"/>
      </w:divBdr>
    </w:div>
    <w:div w:id="708650621">
      <w:bodyDiv w:val="1"/>
      <w:marLeft w:val="0"/>
      <w:marRight w:val="0"/>
      <w:marTop w:val="0"/>
      <w:marBottom w:val="0"/>
      <w:divBdr>
        <w:top w:val="none" w:sz="0" w:space="0" w:color="auto"/>
        <w:left w:val="none" w:sz="0" w:space="0" w:color="auto"/>
        <w:bottom w:val="none" w:sz="0" w:space="0" w:color="auto"/>
        <w:right w:val="none" w:sz="0" w:space="0" w:color="auto"/>
      </w:divBdr>
      <w:divsChild>
        <w:div w:id="1229731198">
          <w:marLeft w:val="0"/>
          <w:marRight w:val="0"/>
          <w:marTop w:val="0"/>
          <w:marBottom w:val="0"/>
          <w:divBdr>
            <w:top w:val="none" w:sz="0" w:space="0" w:color="auto"/>
            <w:left w:val="none" w:sz="0" w:space="0" w:color="auto"/>
            <w:bottom w:val="none" w:sz="0" w:space="0" w:color="auto"/>
            <w:right w:val="none" w:sz="0" w:space="0" w:color="auto"/>
          </w:divBdr>
          <w:divsChild>
            <w:div w:id="883520815">
              <w:marLeft w:val="0"/>
              <w:marRight w:val="0"/>
              <w:marTop w:val="0"/>
              <w:marBottom w:val="0"/>
              <w:divBdr>
                <w:top w:val="none" w:sz="0" w:space="0" w:color="auto"/>
                <w:left w:val="none" w:sz="0" w:space="0" w:color="auto"/>
                <w:bottom w:val="none" w:sz="0" w:space="0" w:color="auto"/>
                <w:right w:val="none" w:sz="0" w:space="0" w:color="auto"/>
              </w:divBdr>
              <w:divsChild>
                <w:div w:id="858619527">
                  <w:marLeft w:val="0"/>
                  <w:marRight w:val="0"/>
                  <w:marTop w:val="0"/>
                  <w:marBottom w:val="0"/>
                  <w:divBdr>
                    <w:top w:val="none" w:sz="0" w:space="0" w:color="auto"/>
                    <w:left w:val="none" w:sz="0" w:space="0" w:color="auto"/>
                    <w:bottom w:val="none" w:sz="0" w:space="0" w:color="auto"/>
                    <w:right w:val="none" w:sz="0" w:space="0" w:color="auto"/>
                  </w:divBdr>
                  <w:divsChild>
                    <w:div w:id="51660823">
                      <w:marLeft w:val="0"/>
                      <w:marRight w:val="0"/>
                      <w:marTop w:val="0"/>
                      <w:marBottom w:val="0"/>
                      <w:divBdr>
                        <w:top w:val="none" w:sz="0" w:space="0" w:color="auto"/>
                        <w:left w:val="none" w:sz="0" w:space="0" w:color="auto"/>
                        <w:bottom w:val="none" w:sz="0" w:space="0" w:color="auto"/>
                        <w:right w:val="none" w:sz="0" w:space="0" w:color="auto"/>
                      </w:divBdr>
                      <w:divsChild>
                        <w:div w:id="2106222135">
                          <w:marLeft w:val="-113"/>
                          <w:marRight w:val="-113"/>
                          <w:marTop w:val="0"/>
                          <w:marBottom w:val="0"/>
                          <w:divBdr>
                            <w:top w:val="none" w:sz="0" w:space="0" w:color="auto"/>
                            <w:left w:val="none" w:sz="0" w:space="0" w:color="auto"/>
                            <w:bottom w:val="none" w:sz="0" w:space="0" w:color="auto"/>
                            <w:right w:val="none" w:sz="0" w:space="0" w:color="auto"/>
                          </w:divBdr>
                          <w:divsChild>
                            <w:div w:id="384792844">
                              <w:marLeft w:val="0"/>
                              <w:marRight w:val="0"/>
                              <w:marTop w:val="0"/>
                              <w:marBottom w:val="0"/>
                              <w:divBdr>
                                <w:top w:val="none" w:sz="0" w:space="0" w:color="auto"/>
                                <w:left w:val="none" w:sz="0" w:space="0" w:color="auto"/>
                                <w:bottom w:val="none" w:sz="0" w:space="0" w:color="auto"/>
                                <w:right w:val="none" w:sz="0" w:space="0" w:color="auto"/>
                              </w:divBdr>
                              <w:divsChild>
                                <w:div w:id="768738875">
                                  <w:marLeft w:val="0"/>
                                  <w:marRight w:val="0"/>
                                  <w:marTop w:val="0"/>
                                  <w:marBottom w:val="0"/>
                                  <w:divBdr>
                                    <w:top w:val="none" w:sz="0" w:space="0" w:color="auto"/>
                                    <w:left w:val="none" w:sz="0" w:space="0" w:color="auto"/>
                                    <w:bottom w:val="none" w:sz="0" w:space="0" w:color="auto"/>
                                    <w:right w:val="none" w:sz="0" w:space="0" w:color="auto"/>
                                  </w:divBdr>
                                  <w:divsChild>
                                    <w:div w:id="1682311974">
                                      <w:marLeft w:val="0"/>
                                      <w:marRight w:val="0"/>
                                      <w:marTop w:val="0"/>
                                      <w:marBottom w:val="0"/>
                                      <w:divBdr>
                                        <w:top w:val="none" w:sz="0" w:space="0" w:color="auto"/>
                                        <w:left w:val="none" w:sz="0" w:space="0" w:color="auto"/>
                                        <w:bottom w:val="none" w:sz="0" w:space="0" w:color="auto"/>
                                        <w:right w:val="none" w:sz="0" w:space="0" w:color="auto"/>
                                      </w:divBdr>
                                      <w:divsChild>
                                        <w:div w:id="944730673">
                                          <w:marLeft w:val="0"/>
                                          <w:marRight w:val="0"/>
                                          <w:marTop w:val="300"/>
                                          <w:marBottom w:val="300"/>
                                          <w:divBdr>
                                            <w:top w:val="single" w:sz="6" w:space="0" w:color="395F77"/>
                                            <w:left w:val="single" w:sz="6" w:space="0" w:color="395F77"/>
                                            <w:bottom w:val="single" w:sz="6" w:space="0" w:color="395F77"/>
                                            <w:right w:val="single" w:sz="6" w:space="0" w:color="395F77"/>
                                          </w:divBdr>
                                          <w:divsChild>
                                            <w:div w:id="2134668544">
                                              <w:marLeft w:val="0"/>
                                              <w:marRight w:val="0"/>
                                              <w:marTop w:val="0"/>
                                              <w:marBottom w:val="0"/>
                                              <w:divBdr>
                                                <w:top w:val="none" w:sz="0" w:space="0" w:color="auto"/>
                                                <w:left w:val="none" w:sz="0" w:space="0" w:color="auto"/>
                                                <w:bottom w:val="none" w:sz="0" w:space="0" w:color="auto"/>
                                                <w:right w:val="none" w:sz="0" w:space="0" w:color="auto"/>
                                              </w:divBdr>
                                              <w:divsChild>
                                                <w:div w:id="4191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539726">
      <w:bodyDiv w:val="1"/>
      <w:marLeft w:val="0"/>
      <w:marRight w:val="0"/>
      <w:marTop w:val="0"/>
      <w:marBottom w:val="0"/>
      <w:divBdr>
        <w:top w:val="none" w:sz="0" w:space="0" w:color="auto"/>
        <w:left w:val="none" w:sz="0" w:space="0" w:color="auto"/>
        <w:bottom w:val="none" w:sz="0" w:space="0" w:color="auto"/>
        <w:right w:val="none" w:sz="0" w:space="0" w:color="auto"/>
      </w:divBdr>
    </w:div>
    <w:div w:id="14557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acdi5ZEDFY" TargetMode="External"/><Relationship Id="rId1" Type="http://schemas.openxmlformats.org/officeDocument/2006/relationships/hyperlink" Target="http://oecdpublichealthexplore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Jensen\ALkohol%20&amp;%20Samfund\Data%20-%20Dokumenter\Kommunikation\DESIGN\Skabeloner%20-%20notat,%20dagsorden%20og%20referat\Notatskabelon.dotx" TargetMode="External"/></Relationships>
</file>

<file path=word/theme/theme1.xml><?xml version="1.0" encoding="utf-8"?>
<a:theme xmlns:a="http://schemas.openxmlformats.org/drawingml/2006/main" name="Kontortema">
  <a:themeElements>
    <a:clrScheme name="Alkohol &amp; Samfund">
      <a:dk1>
        <a:sysClr val="windowText" lastClr="000000"/>
      </a:dk1>
      <a:lt1>
        <a:sysClr val="window" lastClr="FFFFFF"/>
      </a:lt1>
      <a:dk2>
        <a:srgbClr val="44546A"/>
      </a:dk2>
      <a:lt2>
        <a:srgbClr val="E7E6E6"/>
      </a:lt2>
      <a:accent1>
        <a:srgbClr val="330066"/>
      </a:accent1>
      <a:accent2>
        <a:srgbClr val="CC0066"/>
      </a:accent2>
      <a:accent3>
        <a:srgbClr val="00CCCC"/>
      </a:accent3>
      <a:accent4>
        <a:srgbClr val="FFCC33"/>
      </a:accent4>
      <a:accent5>
        <a:srgbClr val="005762"/>
      </a:accent5>
      <a:accent6>
        <a:srgbClr val="005FAB"/>
      </a:accent6>
      <a:hlink>
        <a:srgbClr val="330066"/>
      </a:hlink>
      <a:folHlink>
        <a:srgbClr val="CC0066"/>
      </a:folHlink>
    </a:clrScheme>
    <a:fontScheme name="Alkohol &amp; Samfund">
      <a:majorFont>
        <a:latin typeface="Roboto Medium"/>
        <a:ea typeface=""/>
        <a:cs typeface=""/>
      </a:majorFont>
      <a:minorFont>
        <a:latin typeface="Roboto"/>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D946F9245C7F541B1A4188F0242F016" ma:contentTypeVersion="13" ma:contentTypeDescription="Opret et nyt dokument." ma:contentTypeScope="" ma:versionID="8a85d756b5eaa1dd67dd2e9971f0318d">
  <xsd:schema xmlns:xsd="http://www.w3.org/2001/XMLSchema" xmlns:xs="http://www.w3.org/2001/XMLSchema" xmlns:p="http://schemas.microsoft.com/office/2006/metadata/properties" xmlns:ns2="9363e465-7431-4576-b695-e57b65725e52" xmlns:ns3="d7e511f9-52f5-4e9b-b6b2-d0baf13b1007" targetNamespace="http://schemas.microsoft.com/office/2006/metadata/properties" ma:root="true" ma:fieldsID="c1413d12320f39c65261dd2bd285e3a3" ns2:_="" ns3:_="">
    <xsd:import namespace="9363e465-7431-4576-b695-e57b65725e52"/>
    <xsd:import namespace="d7e511f9-52f5-4e9b-b6b2-d0baf13b10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3e465-7431-4576-b695-e57b65725e5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511f9-52f5-4e9b-b6b2-d0baf13b10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039E2-8C1F-43D4-8BEE-762570FB4337}">
  <ds:schemaRefs>
    <ds:schemaRef ds:uri="http://schemas.openxmlformats.org/officeDocument/2006/bibliography"/>
  </ds:schemaRefs>
</ds:datastoreItem>
</file>

<file path=customXml/itemProps2.xml><?xml version="1.0" encoding="utf-8"?>
<ds:datastoreItem xmlns:ds="http://schemas.openxmlformats.org/officeDocument/2006/customXml" ds:itemID="{4CBD6F9D-20FA-4627-A330-871A811F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3e465-7431-4576-b695-e57b65725e52"/>
    <ds:schemaRef ds:uri="d7e511f9-52f5-4e9b-b6b2-d0baf13b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18033-089A-4FF6-8B93-BAC3E4E282C0}">
  <ds:schemaRefs>
    <ds:schemaRef ds:uri="http://schemas.microsoft.com/sharepoint/v3/contenttype/forms"/>
  </ds:schemaRefs>
</ds:datastoreItem>
</file>

<file path=customXml/itemProps4.xml><?xml version="1.0" encoding="utf-8"?>
<ds:datastoreItem xmlns:ds="http://schemas.openxmlformats.org/officeDocument/2006/customXml" ds:itemID="{7D38A4FC-BC35-48E2-9D96-F6B66B4A9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Notatskabelon</Template>
  <TotalTime>51</TotalTime>
  <Pages>4</Pages>
  <Words>1381</Words>
  <Characters>8428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Jensen</dc:creator>
  <cp:lastModifiedBy>Michael Jensen</cp:lastModifiedBy>
  <cp:revision>5</cp:revision>
  <cp:lastPrinted>2016-12-15T08:59:00Z</cp:lastPrinted>
  <dcterms:created xsi:type="dcterms:W3CDTF">2023-12-18T09:55:00Z</dcterms:created>
  <dcterms:modified xsi:type="dcterms:W3CDTF">2023-12-18T10:46:00Z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0x0101003D946F9245C7F541B1A4188F0242F016</vt:lpwstr>
  </property>
  <property fmtid="{D5CDD505-2E9C-101B-9397-08002B2CF9AE}" pid="3" name="Order">
    <vt:r8>456400</vt:r8>
  </property>
</Properties>
</file>